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bookmarkStart w:id="0" w:name="_Toc477177790"/>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r>
        <w:rPr>
          <w:rFonts w:hint="eastAsia"/>
          <w:sz w:val="52"/>
          <w:szCs w:val="52"/>
        </w:rPr>
        <w:t>招 标 文 件</w:t>
      </w:r>
      <w:bookmarkEnd w:id="0"/>
    </w:p>
    <w:p>
      <w:pPr>
        <w:pStyle w:val="58"/>
      </w:pPr>
    </w:p>
    <w:p>
      <w:pPr>
        <w:pStyle w:val="58"/>
      </w:pPr>
    </w:p>
    <w:p>
      <w:pPr>
        <w:pStyle w:val="58"/>
      </w:pPr>
    </w:p>
    <w:p>
      <w:pPr>
        <w:pStyle w:val="58"/>
      </w:pPr>
    </w:p>
    <w:p>
      <w:pPr>
        <w:pStyle w:val="58"/>
      </w:pPr>
    </w:p>
    <w:p>
      <w:pPr>
        <w:pStyle w:val="58"/>
      </w:pPr>
    </w:p>
    <w:p>
      <w:pPr>
        <w:pStyle w:val="58"/>
      </w:pPr>
      <w:r>
        <w:rPr>
          <w:rFonts w:hint="eastAsia"/>
        </w:rPr>
        <w:t>项目编号：</w:t>
      </w:r>
      <w:r>
        <w:t>FW-2019025</w:t>
      </w:r>
    </w:p>
    <w:p>
      <w:pPr>
        <w:pStyle w:val="58"/>
      </w:pPr>
      <w:r>
        <w:rPr>
          <w:rFonts w:hint="eastAsia"/>
        </w:rPr>
        <w:t>项目名称：</w:t>
      </w:r>
      <w:bookmarkStart w:id="1" w:name="项目名称"/>
      <w:r>
        <w:rPr>
          <w:rFonts w:hint="eastAsia"/>
        </w:rPr>
        <w:t>中央财经大学二级网站新建、改版与移动化采购项目</w:t>
      </w:r>
      <w:bookmarkEnd w:id="1"/>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8"/>
        <w:jc w:val="center"/>
      </w:pPr>
      <w:r>
        <w:rPr>
          <w:rFonts w:hint="eastAsia"/>
        </w:rPr>
        <w:t>中央财经大学</w:t>
      </w:r>
    </w:p>
    <w:p>
      <w:pPr>
        <w:pStyle w:val="58"/>
        <w:jc w:val="center"/>
      </w:pPr>
      <w:r>
        <w:t>招标与采购事务中心</w:t>
      </w:r>
    </w:p>
    <w:p>
      <w:pPr>
        <w:pStyle w:val="58"/>
        <w:jc w:val="center"/>
      </w:pPr>
      <w:r>
        <w:rPr>
          <w:rFonts w:hint="eastAsia"/>
        </w:rPr>
        <w:t>二零一九年</w:t>
      </w:r>
    </w:p>
    <w:p/>
    <w:p>
      <w:pPr>
        <w:sectPr>
          <w:footerReference r:id="rId3" w:type="default"/>
          <w:footerReference r:id="rId4" w:type="even"/>
          <w:pgSz w:w="11907" w:h="16840"/>
          <w:pgMar w:top="1134" w:right="1134" w:bottom="1021" w:left="1418" w:header="851" w:footer="851" w:gutter="0"/>
          <w:pgNumType w:start="0"/>
          <w:cols w:space="720" w:num="1"/>
          <w:docGrid w:type="linesAndChars" w:linePitch="312" w:charSpace="0"/>
        </w:sectPr>
      </w:pPr>
    </w:p>
    <w:sdt>
      <w:sdtPr>
        <w:rPr>
          <w:rFonts w:ascii="Times New Roman" w:hAnsi="Times New Roman" w:eastAsia="宋体" w:cs="Times New Roman"/>
          <w:color w:val="auto"/>
          <w:kern w:val="2"/>
          <w:sz w:val="21"/>
          <w:szCs w:val="20"/>
          <w:lang w:val="zh-CN"/>
        </w:rPr>
        <w:id w:val="1258953840"/>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63"/>
            <w:jc w:val="center"/>
          </w:pPr>
          <w:r>
            <w:rPr>
              <w:color w:val="auto"/>
              <w:lang w:val="zh-CN"/>
            </w:rPr>
            <w:t>目</w:t>
          </w:r>
          <w:r>
            <w:rPr>
              <w:rFonts w:hint="eastAsia"/>
              <w:color w:val="auto"/>
              <w:lang w:val="zh-CN"/>
            </w:rPr>
            <w:t xml:space="preserve">  </w:t>
          </w:r>
          <w:r>
            <w:rPr>
              <w:color w:val="auto"/>
              <w:lang w:val="zh-CN"/>
            </w:rPr>
            <w:t>录</w:t>
          </w:r>
          <w:r>
            <w:fldChar w:fldCharType="begin"/>
          </w:r>
          <w:r>
            <w:instrText xml:space="preserve"> TOC \o "1-3" \h \z \u </w:instrText>
          </w:r>
          <w:r>
            <w:fldChar w:fldCharType="separate"/>
          </w:r>
        </w:p>
        <w:p>
          <w:pPr>
            <w:pStyle w:val="18"/>
            <w:tabs>
              <w:tab w:val="right" w:leader="dot" w:pos="9344"/>
            </w:tabs>
            <w:rPr>
              <w:rFonts w:asciiTheme="minorHAnsi" w:hAnsiTheme="minorHAnsi" w:eastAsiaTheme="minorEastAsia" w:cstheme="minorBidi"/>
              <w:szCs w:val="22"/>
            </w:rPr>
          </w:pPr>
          <w:r>
            <w:fldChar w:fldCharType="begin"/>
          </w:r>
          <w:r>
            <w:instrText xml:space="preserve"> HYPERLINK \l "_Toc524103435" </w:instrText>
          </w:r>
          <w:r>
            <w:fldChar w:fldCharType="separate"/>
          </w:r>
          <w:r>
            <w:rPr>
              <w:rStyle w:val="25"/>
              <w:rFonts w:hint="eastAsia" w:eastAsiaTheme="majorEastAsia"/>
            </w:rPr>
            <w:t>第一部分</w:t>
          </w:r>
          <w:r>
            <w:rPr>
              <w:rStyle w:val="25"/>
              <w:rFonts w:eastAsiaTheme="majorEastAsia"/>
            </w:rPr>
            <w:t xml:space="preserve">  </w:t>
          </w:r>
          <w:r>
            <w:rPr>
              <w:rStyle w:val="25"/>
              <w:rFonts w:hint="eastAsia" w:eastAsiaTheme="majorEastAsia"/>
            </w:rPr>
            <w:t>投标邀请</w:t>
          </w:r>
          <w:r>
            <w:tab/>
          </w:r>
          <w:r>
            <w:fldChar w:fldCharType="begin"/>
          </w:r>
          <w:r>
            <w:instrText xml:space="preserve"> PAGEREF _Toc524103435 \h </w:instrText>
          </w:r>
          <w:r>
            <w:fldChar w:fldCharType="separate"/>
          </w:r>
          <w:r>
            <w:t>1</w:t>
          </w:r>
          <w:r>
            <w:fldChar w:fldCharType="end"/>
          </w:r>
          <w:r>
            <w:fldChar w:fldCharType="end"/>
          </w:r>
        </w:p>
        <w:p>
          <w:pPr>
            <w:pStyle w:val="18"/>
            <w:tabs>
              <w:tab w:val="right" w:leader="dot" w:pos="9344"/>
            </w:tabs>
            <w:rPr>
              <w:rFonts w:asciiTheme="minorHAnsi" w:hAnsiTheme="minorHAnsi" w:eastAsiaTheme="minorEastAsia" w:cstheme="minorBidi"/>
              <w:szCs w:val="22"/>
            </w:rPr>
          </w:pPr>
          <w:r>
            <w:fldChar w:fldCharType="begin"/>
          </w:r>
          <w:r>
            <w:instrText xml:space="preserve"> HYPERLINK \l "_Toc524103436" </w:instrText>
          </w:r>
          <w:r>
            <w:fldChar w:fldCharType="separate"/>
          </w:r>
          <w:r>
            <w:rPr>
              <w:rStyle w:val="25"/>
              <w:rFonts w:hint="eastAsia" w:eastAsiaTheme="majorEastAsia"/>
            </w:rPr>
            <w:t>第二部分</w:t>
          </w:r>
          <w:r>
            <w:rPr>
              <w:rStyle w:val="25"/>
              <w:rFonts w:eastAsiaTheme="majorEastAsia"/>
            </w:rPr>
            <w:t xml:space="preserve">  </w:t>
          </w:r>
          <w:r>
            <w:rPr>
              <w:rStyle w:val="25"/>
              <w:rFonts w:hint="eastAsia" w:eastAsiaTheme="majorEastAsia"/>
            </w:rPr>
            <w:t>投标人须知前附表</w:t>
          </w:r>
          <w:r>
            <w:tab/>
          </w:r>
          <w:r>
            <w:fldChar w:fldCharType="begin"/>
          </w:r>
          <w:r>
            <w:instrText xml:space="preserve"> PAGEREF _Toc524103436 \h </w:instrText>
          </w:r>
          <w:r>
            <w:fldChar w:fldCharType="separate"/>
          </w:r>
          <w:r>
            <w:t>3</w:t>
          </w:r>
          <w:r>
            <w:fldChar w:fldCharType="end"/>
          </w:r>
          <w:r>
            <w:fldChar w:fldCharType="end"/>
          </w:r>
        </w:p>
        <w:p>
          <w:pPr>
            <w:pStyle w:val="18"/>
            <w:tabs>
              <w:tab w:val="right" w:leader="dot" w:pos="9344"/>
            </w:tabs>
            <w:rPr>
              <w:rFonts w:asciiTheme="minorHAnsi" w:hAnsiTheme="minorHAnsi" w:eastAsiaTheme="minorEastAsia" w:cstheme="minorBidi"/>
              <w:szCs w:val="22"/>
            </w:rPr>
          </w:pPr>
          <w:r>
            <w:fldChar w:fldCharType="begin"/>
          </w:r>
          <w:r>
            <w:instrText xml:space="preserve"> HYPERLINK \l "_Toc524103437" </w:instrText>
          </w:r>
          <w:r>
            <w:fldChar w:fldCharType="separate"/>
          </w:r>
          <w:r>
            <w:rPr>
              <w:rStyle w:val="25"/>
              <w:rFonts w:hint="eastAsia"/>
            </w:rPr>
            <w:t>第三部分</w:t>
          </w:r>
          <w:r>
            <w:rPr>
              <w:rStyle w:val="25"/>
            </w:rPr>
            <w:t xml:space="preserve"> </w:t>
          </w:r>
          <w:r>
            <w:rPr>
              <w:rStyle w:val="25"/>
              <w:rFonts w:eastAsiaTheme="majorEastAsia"/>
            </w:rPr>
            <w:t xml:space="preserve"> </w:t>
          </w:r>
          <w:r>
            <w:rPr>
              <w:rStyle w:val="25"/>
              <w:rFonts w:hint="eastAsia" w:eastAsiaTheme="majorEastAsia"/>
            </w:rPr>
            <w:t>投标人须知</w:t>
          </w:r>
          <w:r>
            <w:tab/>
          </w:r>
          <w:r>
            <w:fldChar w:fldCharType="begin"/>
          </w:r>
          <w:r>
            <w:instrText xml:space="preserve"> PAGEREF _Toc524103437 \h </w:instrText>
          </w:r>
          <w:r>
            <w:fldChar w:fldCharType="separate"/>
          </w:r>
          <w:r>
            <w:t>8</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"_Toc524103438" </w:instrText>
          </w:r>
          <w:r>
            <w:fldChar w:fldCharType="separate"/>
          </w:r>
          <w:r>
            <w:rPr>
              <w:rStyle w:val="25"/>
              <w:rFonts w:hint="eastAsia"/>
            </w:rPr>
            <w:t>一、</w:t>
          </w:r>
          <w:r>
            <w:rPr>
              <w:rFonts w:asciiTheme="minorHAnsi" w:hAnsiTheme="minorHAnsi" w:eastAsiaTheme="minorEastAsia" w:cstheme="minorBidi"/>
              <w:szCs w:val="22"/>
            </w:rPr>
            <w:tab/>
          </w:r>
          <w:r>
            <w:rPr>
              <w:rStyle w:val="25"/>
              <w:rFonts w:hint="eastAsia"/>
            </w:rPr>
            <w:t>总</w:t>
          </w:r>
          <w:r>
            <w:rPr>
              <w:rStyle w:val="25"/>
            </w:rPr>
            <w:t xml:space="preserve">  </w:t>
          </w:r>
          <w:r>
            <w:rPr>
              <w:rStyle w:val="25"/>
              <w:rFonts w:hint="eastAsia"/>
            </w:rPr>
            <w:t>则</w:t>
          </w:r>
          <w:r>
            <w:tab/>
          </w:r>
          <w:r>
            <w:fldChar w:fldCharType="begin"/>
          </w:r>
          <w:r>
            <w:instrText xml:space="preserve"> PAGEREF _Toc524103438 \h </w:instrText>
          </w:r>
          <w:r>
            <w:fldChar w:fldCharType="separate"/>
          </w:r>
          <w:r>
            <w:t>8</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"_Toc524103439" </w:instrText>
          </w:r>
          <w:r>
            <w:fldChar w:fldCharType="separate"/>
          </w:r>
          <w:r>
            <w:rPr>
              <w:rStyle w:val="25"/>
              <w:rFonts w:hint="eastAsia"/>
            </w:rPr>
            <w:t>二、</w:t>
          </w:r>
          <w:r>
            <w:rPr>
              <w:rFonts w:asciiTheme="minorHAnsi" w:hAnsiTheme="minorHAnsi" w:eastAsiaTheme="minorEastAsia" w:cstheme="minorBidi"/>
              <w:szCs w:val="22"/>
            </w:rPr>
            <w:tab/>
          </w:r>
          <w:r>
            <w:rPr>
              <w:rStyle w:val="25"/>
              <w:rFonts w:hint="eastAsia"/>
            </w:rPr>
            <w:t>招标文件</w:t>
          </w:r>
          <w:r>
            <w:tab/>
          </w:r>
          <w:r>
            <w:fldChar w:fldCharType="begin"/>
          </w:r>
          <w:r>
            <w:instrText xml:space="preserve"> PAGEREF _Toc524103439 \h </w:instrText>
          </w:r>
          <w:r>
            <w:fldChar w:fldCharType="separate"/>
          </w:r>
          <w:r>
            <w:t>10</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"_Toc524103440" </w:instrText>
          </w:r>
          <w:r>
            <w:fldChar w:fldCharType="separate"/>
          </w:r>
          <w:r>
            <w:rPr>
              <w:rStyle w:val="25"/>
              <w:rFonts w:hint="eastAsia"/>
            </w:rPr>
            <w:t>三、</w:t>
          </w:r>
          <w:r>
            <w:rPr>
              <w:rFonts w:asciiTheme="minorHAnsi" w:hAnsiTheme="minorHAnsi" w:eastAsiaTheme="minorEastAsia" w:cstheme="minorBidi"/>
              <w:szCs w:val="22"/>
            </w:rPr>
            <w:tab/>
          </w:r>
          <w:r>
            <w:rPr>
              <w:rStyle w:val="25"/>
              <w:rFonts w:hint="eastAsia"/>
            </w:rPr>
            <w:t>投标文件</w:t>
          </w:r>
          <w:r>
            <w:tab/>
          </w:r>
          <w:r>
            <w:fldChar w:fldCharType="begin"/>
          </w:r>
          <w:r>
            <w:instrText xml:space="preserve"> PAGEREF _Toc524103440 \h </w:instrText>
          </w:r>
          <w:r>
            <w:fldChar w:fldCharType="separate"/>
          </w:r>
          <w:r>
            <w:t>11</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"_Toc524103441" </w:instrText>
          </w:r>
          <w:r>
            <w:fldChar w:fldCharType="separate"/>
          </w:r>
          <w:r>
            <w:rPr>
              <w:rStyle w:val="25"/>
              <w:rFonts w:hint="eastAsia"/>
            </w:rPr>
            <w:t>四、</w:t>
          </w:r>
          <w:r>
            <w:rPr>
              <w:rFonts w:asciiTheme="minorHAnsi" w:hAnsiTheme="minorHAnsi" w:eastAsiaTheme="minorEastAsia" w:cstheme="minorBidi"/>
              <w:szCs w:val="22"/>
            </w:rPr>
            <w:tab/>
          </w:r>
          <w:r>
            <w:rPr>
              <w:rStyle w:val="25"/>
              <w:rFonts w:hint="eastAsia"/>
            </w:rPr>
            <w:t>投标文件的递交</w:t>
          </w:r>
          <w:r>
            <w:tab/>
          </w:r>
          <w:r>
            <w:fldChar w:fldCharType="begin"/>
          </w:r>
          <w:r>
            <w:instrText xml:space="preserve"> PAGEREF _Toc524103441 \h </w:instrText>
          </w:r>
          <w:r>
            <w:fldChar w:fldCharType="separate"/>
          </w:r>
          <w:r>
            <w:t>15</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"_Toc524103442" </w:instrText>
          </w:r>
          <w:r>
            <w:fldChar w:fldCharType="separate"/>
          </w:r>
          <w:r>
            <w:rPr>
              <w:rStyle w:val="25"/>
              <w:rFonts w:hint="eastAsia"/>
            </w:rPr>
            <w:t>五、</w:t>
          </w:r>
          <w:r>
            <w:rPr>
              <w:rFonts w:asciiTheme="minorHAnsi" w:hAnsiTheme="minorHAnsi" w:eastAsiaTheme="minorEastAsia" w:cstheme="minorBidi"/>
              <w:szCs w:val="22"/>
            </w:rPr>
            <w:tab/>
          </w:r>
          <w:r>
            <w:rPr>
              <w:rStyle w:val="25"/>
              <w:rFonts w:hint="eastAsia"/>
            </w:rPr>
            <w:t>开标</w:t>
          </w:r>
          <w:r>
            <w:tab/>
          </w:r>
          <w:r>
            <w:fldChar w:fldCharType="begin"/>
          </w:r>
          <w:r>
            <w:instrText xml:space="preserve"> PAGEREF _Toc524103442 \h </w:instrText>
          </w:r>
          <w:r>
            <w:fldChar w:fldCharType="separate"/>
          </w:r>
          <w:r>
            <w:t>15</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"_Toc524103443" </w:instrText>
          </w:r>
          <w:r>
            <w:fldChar w:fldCharType="separate"/>
          </w:r>
          <w:r>
            <w:rPr>
              <w:rStyle w:val="25"/>
              <w:rFonts w:hint="eastAsia"/>
            </w:rPr>
            <w:t>六、</w:t>
          </w:r>
          <w:r>
            <w:rPr>
              <w:rFonts w:asciiTheme="minorHAnsi" w:hAnsiTheme="minorHAnsi" w:eastAsiaTheme="minorEastAsia" w:cstheme="minorBidi"/>
              <w:szCs w:val="22"/>
            </w:rPr>
            <w:tab/>
          </w:r>
          <w:r>
            <w:rPr>
              <w:rStyle w:val="25"/>
              <w:rFonts w:hint="eastAsia"/>
            </w:rPr>
            <w:t>评标步骤和要求</w:t>
          </w:r>
          <w:r>
            <w:tab/>
          </w:r>
          <w:r>
            <w:fldChar w:fldCharType="begin"/>
          </w:r>
          <w:r>
            <w:instrText xml:space="preserve"> PAGEREF _Toc524103443 \h </w:instrText>
          </w:r>
          <w:r>
            <w:fldChar w:fldCharType="separate"/>
          </w:r>
          <w:r>
            <w:t>16</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"_Toc524103444" </w:instrText>
          </w:r>
          <w:r>
            <w:fldChar w:fldCharType="separate"/>
          </w:r>
          <w:r>
            <w:rPr>
              <w:rStyle w:val="25"/>
              <w:rFonts w:hint="eastAsia"/>
            </w:rPr>
            <w:t>七、</w:t>
          </w:r>
          <w:r>
            <w:rPr>
              <w:rFonts w:asciiTheme="minorHAnsi" w:hAnsiTheme="minorHAnsi" w:eastAsiaTheme="minorEastAsia" w:cstheme="minorBidi"/>
              <w:szCs w:val="22"/>
            </w:rPr>
            <w:tab/>
          </w:r>
          <w:r>
            <w:rPr>
              <w:rStyle w:val="25"/>
              <w:rFonts w:hint="eastAsia"/>
            </w:rPr>
            <w:t>签订合同</w:t>
          </w:r>
          <w:r>
            <w:tab/>
          </w:r>
          <w:r>
            <w:fldChar w:fldCharType="begin"/>
          </w:r>
          <w:r>
            <w:instrText xml:space="preserve"> PAGEREF _Toc524103444 \h </w:instrText>
          </w:r>
          <w:r>
            <w:fldChar w:fldCharType="separate"/>
          </w:r>
          <w:r>
            <w:t>18</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"_Toc524103445" </w:instrText>
          </w:r>
          <w:r>
            <w:fldChar w:fldCharType="separate"/>
          </w:r>
          <w:r>
            <w:rPr>
              <w:rStyle w:val="25"/>
              <w:rFonts w:hint="eastAsia"/>
            </w:rPr>
            <w:t>八、</w:t>
          </w:r>
          <w:r>
            <w:rPr>
              <w:rFonts w:asciiTheme="minorHAnsi" w:hAnsiTheme="minorHAnsi" w:eastAsiaTheme="minorEastAsia" w:cstheme="minorBidi"/>
              <w:szCs w:val="22"/>
            </w:rPr>
            <w:tab/>
          </w:r>
          <w:r>
            <w:rPr>
              <w:rStyle w:val="25"/>
              <w:rFonts w:hint="eastAsia"/>
            </w:rPr>
            <w:t>中标服务费</w:t>
          </w:r>
          <w:r>
            <w:tab/>
          </w:r>
          <w:r>
            <w:fldChar w:fldCharType="begin"/>
          </w:r>
          <w:r>
            <w:instrText xml:space="preserve"> PAGEREF _Toc524103445 \h </w:instrText>
          </w:r>
          <w:r>
            <w:fldChar w:fldCharType="separate"/>
          </w:r>
          <w:r>
            <w:t>19</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"_Toc524103446" </w:instrText>
          </w:r>
          <w:r>
            <w:fldChar w:fldCharType="separate"/>
          </w:r>
          <w:r>
            <w:rPr>
              <w:rStyle w:val="25"/>
              <w:rFonts w:hint="eastAsia"/>
            </w:rPr>
            <w:t>九、</w:t>
          </w:r>
          <w:r>
            <w:rPr>
              <w:rFonts w:asciiTheme="minorHAnsi" w:hAnsiTheme="minorHAnsi" w:eastAsiaTheme="minorEastAsia" w:cstheme="minorBidi"/>
              <w:szCs w:val="22"/>
            </w:rPr>
            <w:tab/>
          </w:r>
          <w:r>
            <w:rPr>
              <w:rStyle w:val="25"/>
              <w:rFonts w:hint="eastAsia"/>
            </w:rPr>
            <w:t>处罚、询问和质疑</w:t>
          </w:r>
          <w:r>
            <w:tab/>
          </w:r>
          <w:r>
            <w:fldChar w:fldCharType="begin"/>
          </w:r>
          <w:r>
            <w:instrText xml:space="preserve"> PAGEREF _Toc524103446 \h </w:instrText>
          </w:r>
          <w:r>
            <w:fldChar w:fldCharType="separate"/>
          </w:r>
          <w:r>
            <w:t>19</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"_Toc524103447" </w:instrText>
          </w:r>
          <w:r>
            <w:fldChar w:fldCharType="separate"/>
          </w:r>
          <w:r>
            <w:rPr>
              <w:rStyle w:val="25"/>
              <w:rFonts w:hint="eastAsia"/>
            </w:rPr>
            <w:t>十、</w:t>
          </w:r>
          <w:r>
            <w:rPr>
              <w:rFonts w:asciiTheme="minorHAnsi" w:hAnsiTheme="minorHAnsi" w:eastAsiaTheme="minorEastAsia" w:cstheme="minorBidi"/>
              <w:szCs w:val="22"/>
            </w:rPr>
            <w:tab/>
          </w:r>
          <w:r>
            <w:rPr>
              <w:rStyle w:val="25"/>
              <w:rFonts w:hint="eastAsia"/>
            </w:rPr>
            <w:t>保密和披露</w:t>
          </w:r>
          <w:r>
            <w:tab/>
          </w:r>
          <w:r>
            <w:fldChar w:fldCharType="begin"/>
          </w:r>
          <w:r>
            <w:instrText xml:space="preserve"> PAGEREF _Toc524103447 \h </w:instrText>
          </w:r>
          <w:r>
            <w:fldChar w:fldCharType="separate"/>
          </w:r>
          <w:r>
            <w:t>20</w:t>
          </w:r>
          <w:r>
            <w:fldChar w:fldCharType="end"/>
          </w:r>
          <w:r>
            <w:fldChar w:fldCharType="end"/>
          </w:r>
        </w:p>
        <w:p>
          <w:pPr>
            <w:pStyle w:val="18"/>
            <w:tabs>
              <w:tab w:val="right" w:leader="dot" w:pos="9344"/>
            </w:tabs>
            <w:rPr>
              <w:rFonts w:asciiTheme="minorHAnsi" w:hAnsiTheme="minorHAnsi" w:eastAsiaTheme="minorEastAsia" w:cstheme="minorBidi"/>
              <w:szCs w:val="22"/>
            </w:rPr>
          </w:pPr>
          <w:r>
            <w:fldChar w:fldCharType="begin"/>
          </w:r>
          <w:r>
            <w:instrText xml:space="preserve"> HYPERLINK \l "_Toc524103448" </w:instrText>
          </w:r>
          <w:r>
            <w:fldChar w:fldCharType="separate"/>
          </w:r>
          <w:r>
            <w:rPr>
              <w:rStyle w:val="25"/>
              <w:rFonts w:hint="eastAsia" w:eastAsiaTheme="majorEastAsia"/>
            </w:rPr>
            <w:t>第四部分</w:t>
          </w:r>
          <w:r>
            <w:rPr>
              <w:rStyle w:val="25"/>
              <w:rFonts w:eastAsiaTheme="majorEastAsia"/>
            </w:rPr>
            <w:t xml:space="preserve">  </w:t>
          </w:r>
          <w:r>
            <w:rPr>
              <w:rStyle w:val="25"/>
              <w:rFonts w:hint="eastAsia" w:eastAsiaTheme="majorEastAsia"/>
            </w:rPr>
            <w:t>评标标准和评标办法</w:t>
          </w:r>
          <w:r>
            <w:tab/>
          </w:r>
          <w:r>
            <w:fldChar w:fldCharType="begin"/>
          </w:r>
          <w:r>
            <w:instrText xml:space="preserve"> PAGEREF _Toc524103448 \h </w:instrText>
          </w:r>
          <w:r>
            <w:fldChar w:fldCharType="separate"/>
          </w:r>
          <w:r>
            <w:t>22</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"_Toc524103449" </w:instrText>
          </w:r>
          <w:r>
            <w:fldChar w:fldCharType="separate"/>
          </w:r>
          <w:r>
            <w:rPr>
              <w:rStyle w:val="25"/>
              <w:rFonts w:hint="eastAsia"/>
            </w:rPr>
            <w:t>一、</w:t>
          </w:r>
          <w:r>
            <w:rPr>
              <w:rFonts w:asciiTheme="minorHAnsi" w:hAnsiTheme="minorHAnsi" w:eastAsiaTheme="minorEastAsia" w:cstheme="minorBidi"/>
              <w:szCs w:val="22"/>
            </w:rPr>
            <w:tab/>
          </w:r>
          <w:r>
            <w:rPr>
              <w:rStyle w:val="25"/>
              <w:rFonts w:hint="eastAsia"/>
            </w:rPr>
            <w:t>评标标准和办法：综合评分法</w:t>
          </w:r>
          <w:r>
            <w:tab/>
          </w:r>
          <w:r>
            <w:fldChar w:fldCharType="begin"/>
          </w:r>
          <w:r>
            <w:instrText xml:space="preserve"> PAGEREF _Toc524103449 \h </w:instrText>
          </w:r>
          <w:r>
            <w:fldChar w:fldCharType="separate"/>
          </w:r>
          <w:r>
            <w:t>22</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"_Toc524103450" </w:instrText>
          </w:r>
          <w:r>
            <w:fldChar w:fldCharType="separate"/>
          </w:r>
          <w:r>
            <w:rPr>
              <w:rStyle w:val="25"/>
              <w:rFonts w:hint="eastAsia"/>
            </w:rPr>
            <w:t>二、</w:t>
          </w:r>
          <w:r>
            <w:rPr>
              <w:rFonts w:asciiTheme="minorHAnsi" w:hAnsiTheme="minorHAnsi" w:eastAsiaTheme="minorEastAsia" w:cstheme="minorBidi"/>
              <w:szCs w:val="22"/>
            </w:rPr>
            <w:tab/>
          </w:r>
          <w:r>
            <w:rPr>
              <w:rStyle w:val="25"/>
              <w:rFonts w:hint="eastAsia"/>
            </w:rPr>
            <w:t>评标标准和办法：最低价法</w:t>
          </w:r>
          <w:r>
            <w:tab/>
          </w:r>
          <w:r>
            <w:fldChar w:fldCharType="begin"/>
          </w:r>
          <w:r>
            <w:instrText xml:space="preserve"> PAGEREF _Toc524103450 \h </w:instrText>
          </w:r>
          <w:r>
            <w:fldChar w:fldCharType="separate"/>
          </w:r>
          <w:r>
            <w:t>23</w:t>
          </w:r>
          <w:r>
            <w:fldChar w:fldCharType="end"/>
          </w:r>
          <w:r>
            <w:fldChar w:fldCharType="end"/>
          </w:r>
        </w:p>
        <w:p>
          <w:pPr>
            <w:pStyle w:val="18"/>
            <w:tabs>
              <w:tab w:val="right" w:leader="dot" w:pos="9344"/>
            </w:tabs>
            <w:rPr>
              <w:rFonts w:asciiTheme="minorHAnsi" w:hAnsiTheme="minorHAnsi" w:eastAsiaTheme="minorEastAsia" w:cstheme="minorBidi"/>
              <w:szCs w:val="22"/>
            </w:rPr>
          </w:pPr>
          <w:r>
            <w:fldChar w:fldCharType="begin"/>
          </w:r>
          <w:r>
            <w:instrText xml:space="preserve"> HYPERLINK \l "_Toc524103451" </w:instrText>
          </w:r>
          <w:r>
            <w:fldChar w:fldCharType="separate"/>
          </w:r>
          <w:r>
            <w:rPr>
              <w:rStyle w:val="25"/>
              <w:rFonts w:hint="eastAsia" w:eastAsiaTheme="majorEastAsia"/>
            </w:rPr>
            <w:t>第五部分</w:t>
          </w:r>
          <w:r>
            <w:rPr>
              <w:rStyle w:val="25"/>
              <w:rFonts w:eastAsiaTheme="majorEastAsia"/>
            </w:rPr>
            <w:t xml:space="preserve">  </w:t>
          </w:r>
          <w:r>
            <w:rPr>
              <w:rStyle w:val="25"/>
              <w:rFonts w:hint="eastAsia" w:eastAsiaTheme="majorEastAsia"/>
            </w:rPr>
            <w:t>招标货物、服务的清单、质量要求和供货</w:t>
          </w:r>
          <w:r>
            <w:tab/>
          </w:r>
          <w:r>
            <w:fldChar w:fldCharType="begin"/>
          </w:r>
          <w:r>
            <w:instrText xml:space="preserve"> PAGEREF _Toc524103451 \h </w:instrText>
          </w:r>
          <w:r>
            <w:fldChar w:fldCharType="separate"/>
          </w:r>
          <w:r>
            <w:t>24</w:t>
          </w:r>
          <w:r>
            <w:fldChar w:fldCharType="end"/>
          </w:r>
          <w:r>
            <w:fldChar w:fldCharType="end"/>
          </w:r>
        </w:p>
        <w:p>
          <w:pPr>
            <w:pStyle w:val="18"/>
            <w:tabs>
              <w:tab w:val="right" w:leader="dot" w:pos="9344"/>
            </w:tabs>
            <w:rPr>
              <w:rFonts w:asciiTheme="minorHAnsi" w:hAnsiTheme="minorHAnsi" w:eastAsiaTheme="minorEastAsia" w:cstheme="minorBidi"/>
              <w:szCs w:val="22"/>
            </w:rPr>
          </w:pPr>
          <w:r>
            <w:fldChar w:fldCharType="begin"/>
          </w:r>
          <w:r>
            <w:instrText xml:space="preserve"> HYPERLINK \l "_Toc524103452" </w:instrText>
          </w:r>
          <w:r>
            <w:fldChar w:fldCharType="separate"/>
          </w:r>
          <w:r>
            <w:rPr>
              <w:rStyle w:val="25"/>
              <w:rFonts w:hint="eastAsia" w:eastAsiaTheme="majorEastAsia"/>
            </w:rPr>
            <w:t>第六部分</w:t>
          </w:r>
          <w:r>
            <w:rPr>
              <w:rStyle w:val="25"/>
              <w:rFonts w:eastAsiaTheme="majorEastAsia"/>
            </w:rPr>
            <w:t xml:space="preserve">  </w:t>
          </w:r>
          <w:r>
            <w:rPr>
              <w:rStyle w:val="25"/>
              <w:rFonts w:hint="eastAsia" w:eastAsiaTheme="majorEastAsia"/>
            </w:rPr>
            <w:t>拟签订的合同文本</w:t>
          </w:r>
          <w:r>
            <w:tab/>
          </w:r>
          <w:r>
            <w:fldChar w:fldCharType="begin"/>
          </w:r>
          <w:r>
            <w:instrText xml:space="preserve"> PAGEREF _Toc524103452 \h </w:instrText>
          </w:r>
          <w:r>
            <w:fldChar w:fldCharType="separate"/>
          </w:r>
          <w:r>
            <w:t>25</w:t>
          </w:r>
          <w:r>
            <w:fldChar w:fldCharType="end"/>
          </w:r>
          <w:r>
            <w:fldChar w:fldCharType="end"/>
          </w:r>
        </w:p>
        <w:p>
          <w:pPr>
            <w:pStyle w:val="18"/>
            <w:tabs>
              <w:tab w:val="right" w:leader="dot" w:pos="9344"/>
            </w:tabs>
            <w:rPr>
              <w:rFonts w:asciiTheme="minorHAnsi" w:hAnsiTheme="minorHAnsi" w:eastAsiaTheme="minorEastAsia" w:cstheme="minorBidi"/>
              <w:szCs w:val="22"/>
            </w:rPr>
          </w:pPr>
          <w:r>
            <w:fldChar w:fldCharType="begin"/>
          </w:r>
          <w:r>
            <w:instrText xml:space="preserve"> HYPERLINK \l "_Toc524103453" </w:instrText>
          </w:r>
          <w:r>
            <w:fldChar w:fldCharType="separate"/>
          </w:r>
          <w:r>
            <w:rPr>
              <w:rStyle w:val="25"/>
              <w:rFonts w:hint="eastAsia" w:eastAsiaTheme="majorEastAsia"/>
            </w:rPr>
            <w:t>第七部分</w:t>
          </w:r>
          <w:r>
            <w:rPr>
              <w:rStyle w:val="25"/>
              <w:rFonts w:eastAsiaTheme="majorEastAsia"/>
            </w:rPr>
            <w:t xml:space="preserve">  </w:t>
          </w:r>
          <w:r>
            <w:rPr>
              <w:rStyle w:val="25"/>
              <w:rFonts w:hint="eastAsia" w:eastAsiaTheme="majorEastAsia"/>
            </w:rPr>
            <w:t>投标文件格式</w:t>
          </w:r>
          <w:r>
            <w:tab/>
          </w:r>
          <w:r>
            <w:fldChar w:fldCharType="begin"/>
          </w:r>
          <w:r>
            <w:instrText xml:space="preserve"> PAGEREF _Toc524103453 \h </w:instrText>
          </w:r>
          <w:r>
            <w:fldChar w:fldCharType="separate"/>
          </w:r>
          <w:r>
            <w:t>26</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"_Toc524103454" </w:instrText>
          </w:r>
          <w:r>
            <w:fldChar w:fldCharType="separate"/>
          </w:r>
          <w:r>
            <w:rPr>
              <w:rStyle w:val="25"/>
              <w:rFonts w:hint="eastAsia"/>
            </w:rPr>
            <w:t>一、</w:t>
          </w:r>
          <w:r>
            <w:rPr>
              <w:rFonts w:asciiTheme="minorHAnsi" w:hAnsiTheme="minorHAnsi" w:eastAsiaTheme="minorEastAsia" w:cstheme="minorBidi"/>
              <w:szCs w:val="22"/>
            </w:rPr>
            <w:tab/>
          </w:r>
          <w:r>
            <w:rPr>
              <w:rStyle w:val="25"/>
              <w:rFonts w:hint="eastAsia"/>
            </w:rPr>
            <w:t>投标人提交文件须知</w:t>
          </w:r>
          <w:r>
            <w:tab/>
          </w:r>
          <w:r>
            <w:fldChar w:fldCharType="begin"/>
          </w:r>
          <w:r>
            <w:instrText xml:space="preserve"> PAGEREF _Toc524103454 \h </w:instrText>
          </w:r>
          <w:r>
            <w:fldChar w:fldCharType="separate"/>
          </w:r>
          <w:r>
            <w:t>26</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"_Toc524103455" </w:instrText>
          </w:r>
          <w:r>
            <w:fldChar w:fldCharType="separate"/>
          </w:r>
          <w:r>
            <w:rPr>
              <w:rStyle w:val="25"/>
              <w:rFonts w:hint="eastAsia"/>
            </w:rPr>
            <w:t>二、</w:t>
          </w:r>
          <w:r>
            <w:rPr>
              <w:rFonts w:asciiTheme="minorHAnsi" w:hAnsiTheme="minorHAnsi" w:eastAsiaTheme="minorEastAsia" w:cstheme="minorBidi"/>
              <w:szCs w:val="22"/>
            </w:rPr>
            <w:tab/>
          </w:r>
          <w:r>
            <w:rPr>
              <w:rStyle w:val="25"/>
              <w:rFonts w:hint="eastAsia"/>
            </w:rPr>
            <w:t>标书顺序</w:t>
          </w:r>
          <w:r>
            <w:tab/>
          </w:r>
          <w:r>
            <w:fldChar w:fldCharType="begin"/>
          </w:r>
          <w:r>
            <w:instrText xml:space="preserve"> PAGEREF _Toc524103455 \h </w:instrText>
          </w:r>
          <w:r>
            <w:fldChar w:fldCharType="separate"/>
          </w:r>
          <w:r>
            <w:t>27</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"_Toc524103456" </w:instrText>
          </w:r>
          <w:r>
            <w:fldChar w:fldCharType="separate"/>
          </w:r>
          <w:r>
            <w:rPr>
              <w:rStyle w:val="25"/>
              <w:rFonts w:hint="eastAsia"/>
            </w:rPr>
            <w:t>附件1</w:t>
          </w:r>
          <w:r>
            <w:rPr>
              <w:rFonts w:asciiTheme="minorHAnsi" w:hAnsiTheme="minorHAnsi" w:eastAsiaTheme="minorEastAsia" w:cstheme="minorBidi"/>
              <w:szCs w:val="22"/>
            </w:rPr>
            <w:tab/>
          </w:r>
          <w:r>
            <w:rPr>
              <w:rStyle w:val="25"/>
              <w:rFonts w:hint="eastAsia"/>
            </w:rPr>
            <w:t>投标确认函</w:t>
          </w:r>
          <w:r>
            <w:tab/>
          </w:r>
          <w:r>
            <w:fldChar w:fldCharType="begin"/>
          </w:r>
          <w:r>
            <w:instrText xml:space="preserve"> PAGEREF _Toc524103456 \h </w:instrText>
          </w:r>
          <w:r>
            <w:fldChar w:fldCharType="separate"/>
          </w:r>
          <w:r>
            <w:t>29</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"_Toc524103457" </w:instrText>
          </w:r>
          <w:r>
            <w:fldChar w:fldCharType="separate"/>
          </w:r>
          <w:r>
            <w:rPr>
              <w:rStyle w:val="25"/>
              <w:rFonts w:hint="eastAsia"/>
            </w:rPr>
            <w:t>附件2</w:t>
          </w:r>
          <w:r>
            <w:rPr>
              <w:rFonts w:asciiTheme="minorHAnsi" w:hAnsiTheme="minorHAnsi" w:eastAsiaTheme="minorEastAsia" w:cstheme="minorBidi"/>
              <w:szCs w:val="22"/>
            </w:rPr>
            <w:tab/>
          </w:r>
          <w:r>
            <w:rPr>
              <w:rStyle w:val="25"/>
              <w:rFonts w:hint="eastAsia"/>
            </w:rPr>
            <w:t>投标函</w:t>
          </w:r>
          <w:r>
            <w:tab/>
          </w:r>
          <w:r>
            <w:fldChar w:fldCharType="begin"/>
          </w:r>
          <w:r>
            <w:instrText xml:space="preserve"> PAGEREF _Toc524103457 \h </w:instrText>
          </w:r>
          <w:r>
            <w:fldChar w:fldCharType="separate"/>
          </w:r>
          <w:r>
            <w:t>30</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"_Toc524103458" </w:instrText>
          </w:r>
          <w:r>
            <w:fldChar w:fldCharType="separate"/>
          </w:r>
          <w:r>
            <w:rPr>
              <w:rStyle w:val="25"/>
              <w:rFonts w:hint="eastAsia"/>
            </w:rPr>
            <w:t>附件3</w:t>
          </w:r>
          <w:r>
            <w:rPr>
              <w:rFonts w:asciiTheme="minorHAnsi" w:hAnsiTheme="minorHAnsi" w:eastAsiaTheme="minorEastAsia" w:cstheme="minorBidi"/>
              <w:szCs w:val="22"/>
            </w:rPr>
            <w:tab/>
          </w:r>
          <w:r>
            <w:rPr>
              <w:rStyle w:val="25"/>
              <w:rFonts w:hint="eastAsia"/>
            </w:rPr>
            <w:t>法定代表人授权委托书</w:t>
          </w:r>
          <w:r>
            <w:tab/>
          </w:r>
          <w:r>
            <w:fldChar w:fldCharType="begin"/>
          </w:r>
          <w:r>
            <w:instrText xml:space="preserve"> PAGEREF _Toc524103458 \h </w:instrText>
          </w:r>
          <w:r>
            <w:fldChar w:fldCharType="separate"/>
          </w:r>
          <w:r>
            <w:t>32</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"_Toc524103459" </w:instrText>
          </w:r>
          <w:r>
            <w:fldChar w:fldCharType="separate"/>
          </w:r>
          <w:r>
            <w:rPr>
              <w:rStyle w:val="25"/>
              <w:rFonts w:hint="eastAsia"/>
            </w:rPr>
            <w:t>附件4</w:t>
          </w:r>
          <w:r>
            <w:rPr>
              <w:rFonts w:asciiTheme="minorHAnsi" w:hAnsiTheme="minorHAnsi" w:eastAsiaTheme="minorEastAsia" w:cstheme="minorBidi"/>
              <w:szCs w:val="22"/>
            </w:rPr>
            <w:tab/>
          </w:r>
          <w:r>
            <w:rPr>
              <w:rStyle w:val="25"/>
              <w:rFonts w:hint="eastAsia"/>
            </w:rPr>
            <w:t>制造厂家授权委托书</w:t>
          </w:r>
          <w:r>
            <w:tab/>
          </w:r>
          <w:r>
            <w:fldChar w:fldCharType="begin"/>
          </w:r>
          <w:r>
            <w:instrText xml:space="preserve"> PAGEREF _Toc524103459 \h </w:instrText>
          </w:r>
          <w:r>
            <w:fldChar w:fldCharType="separate"/>
          </w:r>
          <w:r>
            <w:t>33</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"_Toc524103460" </w:instrText>
          </w:r>
          <w:r>
            <w:fldChar w:fldCharType="separate"/>
          </w:r>
          <w:r>
            <w:rPr>
              <w:rStyle w:val="25"/>
              <w:rFonts w:hint="eastAsia"/>
            </w:rPr>
            <w:t>附件5</w:t>
          </w:r>
          <w:r>
            <w:rPr>
              <w:rFonts w:asciiTheme="minorHAnsi" w:hAnsiTheme="minorHAnsi" w:eastAsiaTheme="minorEastAsia" w:cstheme="minorBidi"/>
              <w:szCs w:val="22"/>
            </w:rPr>
            <w:tab/>
          </w:r>
          <w:r>
            <w:rPr>
              <w:rStyle w:val="25"/>
              <w:rFonts w:hint="eastAsia"/>
            </w:rPr>
            <w:t>商务条款偏离表</w:t>
          </w:r>
          <w:r>
            <w:tab/>
          </w:r>
          <w:r>
            <w:fldChar w:fldCharType="begin"/>
          </w:r>
          <w:r>
            <w:instrText xml:space="preserve"> PAGEREF _Toc524103460 \h </w:instrText>
          </w:r>
          <w:r>
            <w:fldChar w:fldCharType="separate"/>
          </w:r>
          <w:r>
            <w:t>34</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"_Toc524103461" </w:instrText>
          </w:r>
          <w:r>
            <w:fldChar w:fldCharType="separate"/>
          </w:r>
          <w:r>
            <w:rPr>
              <w:rStyle w:val="25"/>
              <w:rFonts w:hint="eastAsia"/>
            </w:rPr>
            <w:t>附件6</w:t>
          </w:r>
          <w:r>
            <w:rPr>
              <w:rFonts w:asciiTheme="minorHAnsi" w:hAnsiTheme="minorHAnsi" w:eastAsiaTheme="minorEastAsia" w:cstheme="minorBidi"/>
              <w:szCs w:val="22"/>
            </w:rPr>
            <w:tab/>
          </w:r>
          <w:r>
            <w:rPr>
              <w:rStyle w:val="25"/>
              <w:rFonts w:hint="eastAsia"/>
            </w:rPr>
            <w:t>投标人货物、服务项目偏离表</w:t>
          </w:r>
          <w:r>
            <w:tab/>
          </w:r>
          <w:r>
            <w:fldChar w:fldCharType="begin"/>
          </w:r>
          <w:r>
            <w:instrText xml:space="preserve"> PAGEREF _Toc524103461 \h </w:instrText>
          </w:r>
          <w:r>
            <w:fldChar w:fldCharType="separate"/>
          </w:r>
          <w:r>
            <w:t>35</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"_Toc524103462" </w:instrText>
          </w:r>
          <w:r>
            <w:fldChar w:fldCharType="separate"/>
          </w:r>
          <w:r>
            <w:rPr>
              <w:rStyle w:val="25"/>
              <w:rFonts w:hint="eastAsia"/>
            </w:rPr>
            <w:t>附件7</w:t>
          </w:r>
          <w:r>
            <w:rPr>
              <w:rFonts w:asciiTheme="minorHAnsi" w:hAnsiTheme="minorHAnsi" w:eastAsiaTheme="minorEastAsia" w:cstheme="minorBidi"/>
              <w:szCs w:val="22"/>
            </w:rPr>
            <w:tab/>
          </w:r>
          <w:r>
            <w:rPr>
              <w:rStyle w:val="25"/>
            </w:rPr>
            <w:t xml:space="preserve">  </w:t>
          </w:r>
          <w:r>
            <w:rPr>
              <w:rStyle w:val="25"/>
              <w:rFonts w:hint="eastAsia"/>
            </w:rPr>
            <w:t>开标一览表</w:t>
          </w:r>
          <w:r>
            <w:tab/>
          </w:r>
          <w:r>
            <w:fldChar w:fldCharType="begin"/>
          </w:r>
          <w:r>
            <w:instrText xml:space="preserve"> PAGEREF _Toc524103462 \h </w:instrText>
          </w:r>
          <w:r>
            <w:fldChar w:fldCharType="separate"/>
          </w:r>
          <w:r>
            <w:t>36</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"_Toc524103463" </w:instrText>
          </w:r>
          <w:r>
            <w:fldChar w:fldCharType="separate"/>
          </w:r>
          <w:r>
            <w:rPr>
              <w:rStyle w:val="25"/>
              <w:rFonts w:hint="eastAsia"/>
            </w:rPr>
            <w:t>附件8</w:t>
          </w:r>
          <w:r>
            <w:rPr>
              <w:rFonts w:asciiTheme="minorHAnsi" w:hAnsiTheme="minorHAnsi" w:eastAsiaTheme="minorEastAsia" w:cstheme="minorBidi"/>
              <w:szCs w:val="22"/>
            </w:rPr>
            <w:tab/>
          </w:r>
          <w:r>
            <w:rPr>
              <w:rStyle w:val="25"/>
            </w:rPr>
            <w:t xml:space="preserve">  </w:t>
          </w:r>
          <w:r>
            <w:rPr>
              <w:rStyle w:val="25"/>
              <w:rFonts w:hint="eastAsia"/>
            </w:rPr>
            <w:t>货物、服务分项报价表</w:t>
          </w:r>
          <w:r>
            <w:tab/>
          </w:r>
          <w:r>
            <w:fldChar w:fldCharType="begin"/>
          </w:r>
          <w:r>
            <w:instrText xml:space="preserve"> PAGEREF _Toc524103463 \h </w:instrText>
          </w:r>
          <w:r>
            <w:fldChar w:fldCharType="separate"/>
          </w:r>
          <w:r>
            <w:t>37</w:t>
          </w:r>
          <w:r>
            <w:fldChar w:fldCharType="end"/>
          </w:r>
          <w:r>
            <w:fldChar w:fldCharType="end"/>
          </w:r>
        </w:p>
        <w:p>
          <w:pPr>
            <w:pStyle w:val="12"/>
            <w:tabs>
              <w:tab w:val="left" w:pos="1680"/>
              <w:tab w:val="right" w:leader="dot" w:pos="9344"/>
            </w:tabs>
            <w:rPr>
              <w:rFonts w:asciiTheme="minorHAnsi" w:hAnsiTheme="minorHAnsi" w:eastAsiaTheme="minorEastAsia" w:cstheme="minorBidi"/>
              <w:szCs w:val="22"/>
            </w:rPr>
          </w:pPr>
          <w:r>
            <w:fldChar w:fldCharType="begin"/>
          </w:r>
          <w:r>
            <w:instrText xml:space="preserve"> HYPERLINK \l "_Toc524103464" </w:instrText>
          </w:r>
          <w:r>
            <w:fldChar w:fldCharType="separate"/>
          </w:r>
          <w:r>
            <w:rPr>
              <w:rStyle w:val="25"/>
              <w:rFonts w:hint="eastAsia"/>
            </w:rPr>
            <w:t>附件9</w:t>
          </w:r>
          <w:r>
            <w:rPr>
              <w:rFonts w:asciiTheme="minorHAnsi" w:hAnsiTheme="minorHAnsi" w:eastAsiaTheme="minorEastAsia" w:cstheme="minorBidi"/>
              <w:szCs w:val="22"/>
            </w:rPr>
            <w:tab/>
          </w:r>
          <w:r>
            <w:rPr>
              <w:rStyle w:val="25"/>
            </w:rPr>
            <w:t xml:space="preserve">  </w:t>
          </w:r>
          <w:r>
            <w:rPr>
              <w:rStyle w:val="25"/>
              <w:rFonts w:hint="eastAsia"/>
            </w:rPr>
            <w:t>投标保证金提交承诺书</w:t>
          </w:r>
          <w:r>
            <w:tab/>
          </w:r>
          <w:r>
            <w:fldChar w:fldCharType="begin"/>
          </w:r>
          <w:r>
            <w:instrText xml:space="preserve"> PAGEREF _Toc524103464 \h </w:instrText>
          </w:r>
          <w:r>
            <w:fldChar w:fldCharType="separate"/>
          </w:r>
          <w:r>
            <w:t>38</w:t>
          </w:r>
          <w:r>
            <w:fldChar w:fldCharType="end"/>
          </w:r>
          <w:r>
            <w:fldChar w:fldCharType="end"/>
          </w:r>
        </w:p>
        <w:p>
          <w:pPr>
            <w:rPr>
              <w:b/>
              <w:bCs/>
              <w:lang w:val="zh-CN"/>
            </w:rPr>
          </w:pPr>
          <w:r>
            <w:rPr>
              <w:b/>
              <w:bCs/>
              <w:lang w:val="zh-CN"/>
            </w:rPr>
            <w:fldChar w:fldCharType="end"/>
          </w:r>
        </w:p>
      </w:sdtContent>
    </w:sdt>
    <w:p>
      <w:pPr>
        <w:sectPr>
          <w:headerReference r:id="rId5" w:type="default"/>
          <w:pgSz w:w="11906" w:h="16838"/>
          <w:pgMar w:top="1134" w:right="1134" w:bottom="1021" w:left="1418" w:header="851" w:footer="851" w:gutter="0"/>
          <w:cols w:space="720" w:num="1"/>
          <w:docGrid w:type="linesAndChars" w:linePitch="312" w:charSpace="0"/>
        </w:sectPr>
      </w:pPr>
    </w:p>
    <w:p>
      <w:pPr>
        <w:pStyle w:val="3"/>
        <w:spacing w:line="415" w:lineRule="auto"/>
        <w:ind w:left="420" w:hanging="420"/>
        <w:jc w:val="center"/>
        <w:rPr>
          <w:rFonts w:ascii="Times New Roman" w:hAnsi="Times New Roman" w:eastAsiaTheme="majorEastAsia"/>
        </w:rPr>
      </w:pPr>
      <w:bookmarkStart w:id="2" w:name="_Toc524103435"/>
      <w:bookmarkStart w:id="3" w:name="_Ref492453757"/>
      <w:r>
        <w:rPr>
          <w:rFonts w:ascii="Times New Roman" w:hAnsi="Times New Roman" w:eastAsiaTheme="majorEastAsia"/>
        </w:rPr>
        <w:t>第一部分</w:t>
      </w:r>
      <w:r>
        <w:rPr>
          <w:rFonts w:hint="eastAsia" w:ascii="Times New Roman" w:hAnsi="Times New Roman" w:eastAsiaTheme="majorEastAsia"/>
        </w:rPr>
        <w:t xml:space="preserve"> </w:t>
      </w:r>
      <w:r>
        <w:rPr>
          <w:rFonts w:ascii="Times New Roman" w:hAnsi="Times New Roman" w:eastAsiaTheme="majorEastAsia"/>
        </w:rPr>
        <w:t xml:space="preserve"> </w:t>
      </w:r>
      <w:r>
        <w:rPr>
          <w:rFonts w:hint="eastAsia" w:ascii="Times New Roman" w:hAnsi="Times New Roman" w:eastAsiaTheme="majorEastAsia"/>
        </w:rPr>
        <w:t>投标邀请</w:t>
      </w:r>
      <w:bookmarkEnd w:id="2"/>
      <w:bookmarkEnd w:id="3"/>
    </w:p>
    <w:p>
      <w:pPr>
        <w:pStyle w:val="58"/>
      </w:pPr>
      <w:r>
        <w:rPr>
          <w:rFonts w:hint="eastAsia"/>
        </w:rPr>
        <w:t>中央财经大学招标与采购事务中心受中央财经大学委托，对中央财经大学二级网站新建、改版与移动化采购项目进行公开招标采购。现邀请合格投标人提交密封投标文件，并将有关事宜告知如下：</w:t>
      </w:r>
    </w:p>
    <w:p>
      <w:pPr>
        <w:pStyle w:val="58"/>
      </w:pPr>
      <w:r>
        <w:rPr>
          <w:rFonts w:hint="eastAsia"/>
        </w:rPr>
        <w:t>一、</w:t>
      </w:r>
      <w:r>
        <w:rPr>
          <w:rFonts w:hint="eastAsia"/>
        </w:rPr>
        <w:tab/>
      </w:r>
      <w:r>
        <w:rPr>
          <w:rFonts w:hint="eastAsia"/>
        </w:rPr>
        <w:t>招标内容</w:t>
      </w:r>
    </w:p>
    <w:p>
      <w:pPr>
        <w:pStyle w:val="58"/>
      </w:pPr>
      <w:r>
        <w:rPr>
          <w:rFonts w:hint="eastAsia"/>
        </w:rPr>
        <w:t>1、</w:t>
      </w:r>
      <w:r>
        <w:rPr>
          <w:rFonts w:hint="eastAsia"/>
        </w:rPr>
        <w:tab/>
      </w:r>
      <w:r>
        <w:rPr>
          <w:rFonts w:hint="eastAsia"/>
        </w:rPr>
        <w:t>采购项目名称：</w:t>
      </w:r>
      <w:r>
        <w:fldChar w:fldCharType="begin"/>
      </w:r>
      <w:r>
        <w:instrText xml:space="preserve"> </w:instrText>
      </w:r>
      <w:r>
        <w:rPr>
          <w:rFonts w:hint="eastAsia"/>
        </w:rPr>
        <w:instrText xml:space="preserve">REF 项目名称 \h</w:instrText>
      </w:r>
      <w:r>
        <w:instrText xml:space="preserve">  \* MERGEFORMAT </w:instrText>
      </w:r>
      <w:r>
        <w:fldChar w:fldCharType="separate"/>
      </w:r>
      <w:r>
        <w:rPr>
          <w:rFonts w:hint="eastAsia"/>
        </w:rPr>
        <w:t>中央财经大学二级网站新建、改版与移动化采购项目</w:t>
      </w:r>
      <w:r>
        <w:fldChar w:fldCharType="end"/>
      </w:r>
      <w:r>
        <w:rPr>
          <w:rFonts w:hint="eastAsia"/>
        </w:rPr>
        <w:t>；</w:t>
      </w:r>
    </w:p>
    <w:p>
      <w:pPr>
        <w:pStyle w:val="58"/>
      </w:pPr>
      <w:r>
        <w:rPr>
          <w:rFonts w:hint="eastAsia"/>
        </w:rPr>
        <w:t>2、</w:t>
      </w:r>
      <w:r>
        <w:rPr>
          <w:rFonts w:hint="eastAsia"/>
        </w:rPr>
        <w:tab/>
      </w:r>
      <w:r>
        <w:rPr>
          <w:rFonts w:hint="eastAsia"/>
        </w:rPr>
        <w:t>采购项目编号：</w:t>
      </w:r>
      <w:r>
        <w:t>FW-2019025</w:t>
      </w:r>
      <w:r>
        <w:rPr>
          <w:rFonts w:hint="eastAsia"/>
        </w:rPr>
        <w:t>；</w:t>
      </w:r>
    </w:p>
    <w:p>
      <w:pPr>
        <w:pStyle w:val="58"/>
      </w:pPr>
      <w:r>
        <w:rPr>
          <w:rFonts w:hint="eastAsia"/>
        </w:rPr>
        <w:t>3、</w:t>
      </w:r>
      <w:r>
        <w:rPr>
          <w:rFonts w:hint="eastAsia"/>
        </w:rPr>
        <w:tab/>
      </w:r>
      <w:r>
        <w:rPr>
          <w:rFonts w:hint="eastAsia"/>
        </w:rPr>
        <w:t>招标项目性质：公开招标</w:t>
      </w:r>
    </w:p>
    <w:p>
      <w:pPr>
        <w:pStyle w:val="58"/>
      </w:pPr>
      <w:r>
        <w:rPr>
          <w:rFonts w:hint="eastAsia"/>
        </w:rPr>
        <w:t>4、</w:t>
      </w:r>
      <w:r>
        <w:rPr>
          <w:rFonts w:hint="eastAsia"/>
        </w:rPr>
        <w:tab/>
      </w:r>
      <w:r>
        <w:rPr>
          <w:rFonts w:hint="eastAsia"/>
        </w:rPr>
        <w:t>简要规格描述或项目基本情况介绍</w:t>
      </w:r>
    </w:p>
    <w:p>
      <w:pPr>
        <w:pStyle w:val="58"/>
      </w:pPr>
      <w:r>
        <w:rPr>
          <w:rFonts w:hint="eastAsia"/>
        </w:rPr>
        <w:t>招标范围包括：货物的供应、运输、安装调试、施工、培训、系统集成及售后服务。</w:t>
      </w:r>
    </w:p>
    <w:p>
      <w:pPr>
        <w:pStyle w:val="58"/>
      </w:pPr>
      <w:r>
        <w:rPr>
          <w:rFonts w:hint="eastAsia"/>
        </w:rPr>
        <w:t>具体采购范围及所应达到的具体要求，以本采购文件中商务、技术和服务的相应规定为准，其中，具体货物或服务要求见</w:t>
      </w:r>
      <w:r>
        <w:t>本文件第五部分</w:t>
      </w:r>
      <w:r>
        <w:rPr>
          <w:rFonts w:hint="eastAsia"/>
        </w:rPr>
        <w:t>“</w:t>
      </w:r>
      <w:r>
        <w:fldChar w:fldCharType="begin"/>
      </w:r>
      <w:r>
        <w:instrText xml:space="preserve"> </w:instrText>
      </w:r>
      <w:r>
        <w:rPr>
          <w:rFonts w:hint="eastAsia"/>
        </w:rPr>
        <w:instrText xml:space="preserve">REF diwubufen \h</w:instrText>
      </w:r>
      <w:r>
        <w:instrText xml:space="preserve">  \* MERGEFORMAT </w:instrText>
      </w:r>
      <w:r>
        <w:fldChar w:fldCharType="separate"/>
      </w:r>
      <w:r>
        <w:rPr>
          <w:rFonts w:hint="eastAsia" w:ascii="Times New Roman" w:hAnsi="Times New Roman" w:eastAsiaTheme="majorEastAsia"/>
        </w:rPr>
        <w:t>招标货物、服务的清单、质量要求和供货</w:t>
      </w:r>
      <w:r>
        <w:fldChar w:fldCharType="end"/>
      </w:r>
      <w:r>
        <w:rPr>
          <w:rFonts w:hint="eastAsia"/>
        </w:rPr>
        <w:t>”。</w:t>
      </w:r>
    </w:p>
    <w:p>
      <w:pPr>
        <w:pStyle w:val="58"/>
      </w:pPr>
      <w:r>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pPr>
        <w:pStyle w:val="58"/>
      </w:pPr>
      <w:r>
        <w:rPr>
          <w:rFonts w:hint="eastAsia"/>
        </w:rPr>
        <w:t xml:space="preserve">履约时间：  </w:t>
      </w:r>
      <w:r>
        <w:rPr>
          <w:rFonts w:hint="eastAsia"/>
          <w:u w:val="single"/>
        </w:rPr>
        <w:t xml:space="preserve">           合同签订后</w:t>
      </w:r>
      <w:r>
        <w:rPr>
          <w:u w:val="single"/>
        </w:rPr>
        <w:t>3</w:t>
      </w:r>
      <w:r>
        <w:rPr>
          <w:rFonts w:hint="eastAsia"/>
          <w:u w:val="single"/>
        </w:rPr>
        <w:t xml:space="preserve">个自然月             </w:t>
      </w:r>
      <w:r>
        <w:rPr>
          <w:rFonts w:hint="eastAsia"/>
        </w:rPr>
        <w:t xml:space="preserve">     。</w:t>
      </w:r>
    </w:p>
    <w:p>
      <w:pPr>
        <w:pStyle w:val="58"/>
      </w:pPr>
      <w:r>
        <w:rPr>
          <w:rFonts w:hint="eastAsia"/>
        </w:rPr>
        <w:t xml:space="preserve">履约地点：  </w:t>
      </w:r>
      <w:r>
        <w:rPr>
          <w:rFonts w:hint="eastAsia"/>
          <w:u w:val="single"/>
        </w:rPr>
        <w:t xml:space="preserve">           中央财经大学学院南路校区         </w:t>
      </w:r>
      <w:r>
        <w:rPr>
          <w:rFonts w:hint="eastAsia"/>
        </w:rPr>
        <w:t xml:space="preserve">     。</w:t>
      </w:r>
    </w:p>
    <w:p>
      <w:pPr>
        <w:pStyle w:val="58"/>
      </w:pPr>
      <w:r>
        <w:rPr>
          <w:rFonts w:hint="eastAsia"/>
        </w:rPr>
        <w:t>5.需要落实的政府采购政策</w:t>
      </w:r>
    </w:p>
    <w:p>
      <w:pPr>
        <w:pStyle w:val="58"/>
      </w:pPr>
      <w:r>
        <w:rPr>
          <w:rFonts w:hint="eastAsia"/>
        </w:rPr>
        <w:t>详见《中央财经大学二级网站新建、改版与移动化采购项目招标文件》。</w:t>
      </w:r>
    </w:p>
    <w:p>
      <w:pPr>
        <w:pStyle w:val="58"/>
      </w:pPr>
      <w:r>
        <w:rPr>
          <w:rFonts w:hint="eastAsia"/>
        </w:rPr>
        <w:t>二、</w:t>
      </w:r>
      <w:r>
        <w:rPr>
          <w:rFonts w:hint="eastAsia"/>
        </w:rPr>
        <w:tab/>
      </w:r>
      <w:r>
        <w:rPr>
          <w:rFonts w:hint="eastAsia"/>
        </w:rPr>
        <w:t>项目预算金额：</w:t>
      </w:r>
      <w:r>
        <w:t>60</w:t>
      </w:r>
      <w:r>
        <w:rPr>
          <w:rFonts w:hint="eastAsia"/>
        </w:rPr>
        <w:t>万元</w:t>
      </w:r>
      <w:r>
        <w:t>（</w:t>
      </w:r>
      <w:r>
        <w:rPr>
          <w:rFonts w:hint="eastAsia"/>
        </w:rPr>
        <w:t>人民币</w:t>
      </w:r>
      <w:r>
        <w:t>陆拾万元整）</w:t>
      </w:r>
    </w:p>
    <w:p>
      <w:pPr>
        <w:pStyle w:val="58"/>
      </w:pPr>
      <w:r>
        <w:rPr>
          <w:rFonts w:hint="eastAsia"/>
        </w:rPr>
        <w:t>三、</w:t>
      </w:r>
      <w:r>
        <w:rPr>
          <w:rFonts w:hint="eastAsia"/>
        </w:rPr>
        <w:tab/>
      </w:r>
      <w:r>
        <w:rPr>
          <w:rFonts w:hint="eastAsia"/>
        </w:rPr>
        <w:t>投标人资格要求：</w:t>
      </w:r>
    </w:p>
    <w:p>
      <w:pPr>
        <w:pStyle w:val="58"/>
      </w:pPr>
      <w:r>
        <w:rPr>
          <w:rFonts w:hint="eastAsia"/>
        </w:rPr>
        <w:t>详见本文件第二部分“</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w:t>
      </w:r>
    </w:p>
    <w:p>
      <w:pPr>
        <w:pStyle w:val="58"/>
      </w:pPr>
      <w:r>
        <w:rPr>
          <w:rFonts w:hint="eastAsia"/>
        </w:rPr>
        <w:t>四、</w:t>
      </w:r>
      <w:r>
        <w:rPr>
          <w:rFonts w:hint="eastAsia"/>
        </w:rPr>
        <w:tab/>
      </w:r>
      <w:r>
        <w:rPr>
          <w:rFonts w:hint="eastAsia"/>
        </w:rPr>
        <w:t>获取招标文件的方法</w:t>
      </w:r>
    </w:p>
    <w:p>
      <w:pPr>
        <w:pStyle w:val="58"/>
      </w:pPr>
      <w:r>
        <w:rPr>
          <w:rFonts w:hint="eastAsia"/>
        </w:rPr>
        <w:t>1、</w:t>
      </w:r>
      <w:r>
        <w:rPr>
          <w:rFonts w:hint="eastAsia"/>
        </w:rPr>
        <w:tab/>
      </w:r>
      <w:r>
        <w:rPr>
          <w:rFonts w:hint="eastAsia"/>
        </w:rPr>
        <w:t>招标文件发售时间：</w:t>
      </w:r>
    </w:p>
    <w:p>
      <w:pPr>
        <w:pStyle w:val="58"/>
        <w:rPr>
          <w:rFonts w:hint="eastAsia"/>
        </w:rPr>
      </w:pPr>
      <w:r>
        <w:rPr>
          <w:rFonts w:hint="eastAsia"/>
        </w:rPr>
        <w:t xml:space="preserve">    </w:t>
      </w:r>
      <w:r>
        <w:t>2019</w:t>
      </w:r>
      <w:r>
        <w:rPr>
          <w:rFonts w:hint="eastAsia"/>
        </w:rPr>
        <w:t>年4月</w:t>
      </w:r>
      <w:r>
        <w:t>22</w:t>
      </w:r>
      <w:r>
        <w:rPr>
          <w:rFonts w:hint="eastAsia"/>
        </w:rPr>
        <w:t>日至2019年4月25日；2019年4月28日</w:t>
      </w:r>
      <w:r>
        <w:t>至</w:t>
      </w:r>
      <w:r>
        <w:rPr>
          <w:rFonts w:hint="eastAsia"/>
        </w:rPr>
        <w:t>2019年4月29日</w:t>
      </w:r>
    </w:p>
    <w:p>
      <w:pPr>
        <w:pStyle w:val="58"/>
      </w:pPr>
      <w:r>
        <w:rPr>
          <w:rFonts w:hint="eastAsia"/>
        </w:rPr>
        <w:t>上午9:00-11:00，下午14:00-16:00</w:t>
      </w:r>
    </w:p>
    <w:p>
      <w:pPr>
        <w:pStyle w:val="58"/>
      </w:pPr>
      <w:r>
        <w:rPr>
          <w:rFonts w:hint="eastAsia"/>
        </w:rPr>
        <w:t>2、</w:t>
      </w:r>
      <w:r>
        <w:rPr>
          <w:rFonts w:hint="eastAsia"/>
        </w:rPr>
        <w:tab/>
      </w:r>
      <w:r>
        <w:rPr>
          <w:rFonts w:hint="eastAsia"/>
        </w:rPr>
        <w:t>招标文件发售地点：</w:t>
      </w:r>
    </w:p>
    <w:p>
      <w:pPr>
        <w:pStyle w:val="58"/>
      </w:pPr>
      <w:r>
        <w:rPr>
          <w:rFonts w:hint="eastAsia"/>
        </w:rPr>
        <w:t>北京市海淀区学院南路39号中央财经大学行政楼203室。</w:t>
      </w:r>
    </w:p>
    <w:p>
      <w:pPr>
        <w:pStyle w:val="58"/>
      </w:pPr>
      <w:r>
        <w:rPr>
          <w:rFonts w:hint="eastAsia"/>
        </w:rPr>
        <w:t>3、</w:t>
      </w:r>
      <w:r>
        <w:rPr>
          <w:rFonts w:hint="eastAsia"/>
        </w:rPr>
        <w:tab/>
      </w:r>
      <w:r>
        <w:rPr>
          <w:rFonts w:hint="eastAsia"/>
        </w:rPr>
        <w:t>招标文件售价：</w:t>
      </w:r>
      <w:r>
        <w:tab/>
      </w:r>
    </w:p>
    <w:p>
      <w:pPr>
        <w:pStyle w:val="58"/>
      </w:pPr>
      <w:r>
        <w:rPr>
          <w:rFonts w:hint="eastAsia"/>
        </w:rPr>
        <w:t>每份人民币500元（刷卡），招标文件售后不退。</w:t>
      </w:r>
    </w:p>
    <w:p>
      <w:pPr>
        <w:pStyle w:val="58"/>
      </w:pPr>
      <w:r>
        <w:rPr>
          <w:rFonts w:hint="eastAsia"/>
        </w:rPr>
        <w:t>4、</w:t>
      </w:r>
      <w:r>
        <w:rPr>
          <w:rFonts w:hint="eastAsia"/>
        </w:rPr>
        <w:tab/>
      </w:r>
      <w:r>
        <w:rPr>
          <w:rFonts w:hint="eastAsia"/>
        </w:rPr>
        <w:t>注意事项</w:t>
      </w:r>
    </w:p>
    <w:p>
      <w:pPr>
        <w:pStyle w:val="58"/>
      </w:pPr>
      <w:r>
        <w:rPr>
          <w:rFonts w:hint="eastAsia"/>
        </w:rPr>
        <w:t>购买标书时必须携带以下文件：</w:t>
      </w:r>
    </w:p>
    <w:p>
      <w:pPr>
        <w:pStyle w:val="58"/>
      </w:pPr>
      <w:r>
        <w:rPr>
          <w:rFonts w:hint="eastAsia"/>
        </w:rPr>
        <w:t>（1）、</w:t>
      </w:r>
      <w:r>
        <w:rPr>
          <w:rFonts w:hint="eastAsia"/>
        </w:rPr>
        <w:tab/>
      </w:r>
      <w:r>
        <w:rPr>
          <w:rFonts w:hint="eastAsia"/>
        </w:rPr>
        <w:t>投标单位的营业执照副本原件及副本复印件（加盖公章）；</w:t>
      </w:r>
    </w:p>
    <w:p>
      <w:pPr>
        <w:pStyle w:val="58"/>
      </w:pPr>
      <w:r>
        <w:rPr>
          <w:rFonts w:hint="eastAsia"/>
        </w:rPr>
        <w:t>（2）、</w:t>
      </w:r>
      <w:r>
        <w:rPr>
          <w:rFonts w:hint="eastAsia"/>
        </w:rPr>
        <w:tab/>
      </w:r>
      <w:r>
        <w:rPr>
          <w:rFonts w:hint="eastAsia"/>
        </w:rPr>
        <w:t>法人授权委托书原件及被授权人身份证原件及复印件（加盖公章）；</w:t>
      </w:r>
    </w:p>
    <w:p>
      <w:pPr>
        <w:pStyle w:val="58"/>
      </w:pPr>
      <w:r>
        <w:rPr>
          <w:rFonts w:hint="eastAsia"/>
        </w:rPr>
        <w:t>五、</w:t>
      </w:r>
      <w:r>
        <w:rPr>
          <w:rFonts w:hint="eastAsia"/>
        </w:rPr>
        <w:tab/>
      </w:r>
      <w:r>
        <w:rPr>
          <w:rFonts w:hint="eastAsia"/>
        </w:rPr>
        <w:t>投标接收时间及地点</w:t>
      </w:r>
    </w:p>
    <w:p>
      <w:pPr>
        <w:pStyle w:val="58"/>
        <w:ind w:firstLine="630" w:firstLineChars="300"/>
      </w:pPr>
      <w:bookmarkStart w:id="4" w:name="招标时间"/>
      <w:r>
        <w:rPr>
          <w:rFonts w:hint="eastAsia"/>
        </w:rPr>
        <w:t xml:space="preserve"> </w:t>
      </w:r>
      <w:r>
        <w:t>2019</w:t>
      </w:r>
      <w:r>
        <w:rPr>
          <w:rFonts w:hint="eastAsia"/>
        </w:rPr>
        <w:t>年5月10日</w:t>
      </w:r>
      <w:bookmarkEnd w:id="4"/>
      <w:r>
        <w:rPr>
          <w:rFonts w:hint="eastAsia"/>
        </w:rPr>
        <w:t>上午8:</w:t>
      </w:r>
      <w:r>
        <w:t>2</w:t>
      </w:r>
      <w:r>
        <w:rPr>
          <w:rFonts w:hint="eastAsia"/>
        </w:rPr>
        <w:t>0至8:</w:t>
      </w:r>
      <w:r>
        <w:t>3</w:t>
      </w:r>
      <w:r>
        <w:rPr>
          <w:rFonts w:hint="eastAsia"/>
        </w:rPr>
        <w:t>0</w:t>
      </w:r>
    </w:p>
    <w:p>
      <w:pPr>
        <w:pStyle w:val="58"/>
      </w:pPr>
      <w:r>
        <w:rPr>
          <w:rFonts w:hint="eastAsia"/>
        </w:rPr>
        <w:t>北京市海淀区学院南路39号中央财经大学学六楼201室（学校操场西南侧近邻宝快递收发站旁）。</w:t>
      </w:r>
    </w:p>
    <w:p>
      <w:pPr>
        <w:pStyle w:val="58"/>
      </w:pPr>
      <w:r>
        <w:rPr>
          <w:rFonts w:hint="eastAsia"/>
        </w:rPr>
        <w:t>届时请投标人的法定代表人或其授权的投标人代表准时到场参加。</w:t>
      </w:r>
    </w:p>
    <w:p>
      <w:pPr>
        <w:pStyle w:val="58"/>
      </w:pPr>
      <w:r>
        <w:rPr>
          <w:rFonts w:hint="eastAsia"/>
        </w:rPr>
        <w:t>投标</w:t>
      </w:r>
      <w:r>
        <w:t>截止时间后送达的投标文件</w:t>
      </w:r>
      <w:r>
        <w:rPr>
          <w:rFonts w:hint="eastAsia"/>
        </w:rPr>
        <w:t>将被</w:t>
      </w:r>
      <w:r>
        <w:t>拒收</w:t>
      </w:r>
      <w:r>
        <w:rPr>
          <w:rFonts w:hint="eastAsia"/>
        </w:rPr>
        <w:t>，在规定时间内所提交的文件不符合相关规定要求的也将被</w:t>
      </w:r>
      <w:r>
        <w:t>拒收</w:t>
      </w:r>
      <w:r>
        <w:rPr>
          <w:rFonts w:hint="eastAsia"/>
        </w:rPr>
        <w:t>。</w:t>
      </w:r>
    </w:p>
    <w:p>
      <w:pPr>
        <w:pStyle w:val="58"/>
      </w:pPr>
      <w:r>
        <w:t>投标人应提供的投标保证金额详见</w:t>
      </w:r>
      <w:r>
        <w:rPr>
          <w:rFonts w:hint="eastAsia"/>
        </w:rPr>
        <w:t>“</w:t>
      </w:r>
      <w:r>
        <w:fldChar w:fldCharType="begin"/>
      </w:r>
      <w:r>
        <w:instrText xml:space="preserve"> REF _Ref492453758 \h  \* MERGEFORMAT </w:instrText>
      </w:r>
      <w:r>
        <w:fldChar w:fldCharType="separate"/>
      </w:r>
      <w:r>
        <w:rPr>
          <w:rFonts w:hint="eastAsia" w:ascii="Times New Roman" w:hAnsi="Times New Roman" w:eastAsiaTheme="majorEastAsia"/>
        </w:rPr>
        <w:t>第二部分  投标人须知前附表</w:t>
      </w:r>
      <w:r>
        <w:fldChar w:fldCharType="end"/>
      </w:r>
      <w:r>
        <w:rPr>
          <w:rFonts w:hint="eastAsia"/>
        </w:rPr>
        <w:t>”</w:t>
      </w:r>
      <w:r>
        <w:t>；各位投标人请在递交投标文件时出示单独密封的</w:t>
      </w:r>
      <w:r>
        <w:rPr>
          <w:rFonts w:hint="eastAsia"/>
        </w:rPr>
        <w:t>“</w:t>
      </w:r>
      <w:r>
        <w:fldChar w:fldCharType="begin"/>
      </w:r>
      <w:r>
        <w:instrText xml:space="preserve"> REF _Ref524102681 \r \h  \* MERGEFORMAT </w:instrText>
      </w:r>
      <w:r>
        <w:fldChar w:fldCharType="separate"/>
      </w:r>
      <w:r>
        <w:rPr>
          <w:rFonts w:hint="eastAsia"/>
        </w:rPr>
        <w:t>附件9</w:t>
      </w:r>
      <w:r>
        <w:fldChar w:fldCharType="end"/>
      </w:r>
      <w:r>
        <w:fldChar w:fldCharType="begin"/>
      </w:r>
      <w:r>
        <w:instrText xml:space="preserve"> </w:instrText>
      </w:r>
      <w:r>
        <w:rPr>
          <w:rFonts w:hint="eastAsia"/>
        </w:rPr>
        <w:instrText xml:space="preserve">REF _Ref524102681 \h</w:instrText>
      </w:r>
      <w:r>
        <w:instrText xml:space="preserve">  \* MERGEFORMAT </w:instrText>
      </w:r>
      <w:r>
        <w:fldChar w:fldCharType="separate"/>
      </w:r>
      <w:r>
        <w:rPr>
          <w:rFonts w:hint="eastAsia"/>
        </w:rPr>
        <w:t xml:space="preserve"> </w:t>
      </w:r>
      <w:r>
        <w:t xml:space="preserve"> 投标保证金提交承诺书</w:t>
      </w:r>
      <w:r>
        <w:fldChar w:fldCharType="end"/>
      </w:r>
      <w:r>
        <w:rPr>
          <w:rFonts w:hint="eastAsia"/>
        </w:rPr>
        <w:t>”（保证金金额为0元的无需提交该文件）。</w:t>
      </w:r>
    </w:p>
    <w:p>
      <w:pPr>
        <w:pStyle w:val="58"/>
      </w:pPr>
      <w:r>
        <w:rPr>
          <w:rFonts w:hint="eastAsia"/>
        </w:rPr>
        <w:t>六、</w:t>
      </w:r>
      <w:r>
        <w:rPr>
          <w:rFonts w:hint="eastAsia"/>
        </w:rPr>
        <w:tab/>
      </w:r>
      <w:r>
        <w:rPr>
          <w:rFonts w:hint="eastAsia"/>
        </w:rPr>
        <w:t>开标时间及地点</w:t>
      </w:r>
    </w:p>
    <w:p>
      <w:pPr>
        <w:pStyle w:val="58"/>
      </w:pPr>
      <w:r>
        <w:fldChar w:fldCharType="begin"/>
      </w:r>
      <w:r>
        <w:instrText xml:space="preserve"> </w:instrText>
      </w:r>
      <w:r>
        <w:rPr>
          <w:rFonts w:hint="eastAsia"/>
        </w:rPr>
        <w:instrText xml:space="preserve">REF 招标时间 \h</w:instrText>
      </w:r>
      <w:r>
        <w:instrText xml:space="preserve">  \* MERGEFORMAT </w:instrText>
      </w:r>
      <w:r>
        <w:fldChar w:fldCharType="separate"/>
      </w:r>
      <w:r>
        <w:rPr>
          <w:rFonts w:hint="eastAsia"/>
        </w:rPr>
        <w:t xml:space="preserve">   </w:t>
      </w:r>
      <w:r>
        <w:t>2019</w:t>
      </w:r>
      <w:r>
        <w:rPr>
          <w:rFonts w:hint="eastAsia"/>
        </w:rPr>
        <w:t>年5月10日</w:t>
      </w:r>
      <w:r>
        <w:fldChar w:fldCharType="end"/>
      </w:r>
      <w:r>
        <w:rPr>
          <w:rFonts w:hint="eastAsia"/>
        </w:rPr>
        <w:t>上午9:00</w:t>
      </w:r>
    </w:p>
    <w:p>
      <w:pPr>
        <w:pStyle w:val="58"/>
      </w:pPr>
      <w:r>
        <w:rPr>
          <w:rFonts w:hint="eastAsia"/>
        </w:rPr>
        <w:t>北京市海淀区学院南路39号中央财经大学学六楼201室</w:t>
      </w:r>
    </w:p>
    <w:p>
      <w:pPr>
        <w:pStyle w:val="58"/>
      </w:pPr>
      <w:r>
        <w:rPr>
          <w:rFonts w:hint="eastAsia"/>
        </w:rPr>
        <w:t>七、</w:t>
      </w:r>
      <w:r>
        <w:rPr>
          <w:rFonts w:hint="eastAsia"/>
        </w:rPr>
        <w:tab/>
      </w:r>
      <w:r>
        <w:rPr>
          <w:rFonts w:hint="eastAsia"/>
        </w:rPr>
        <w:t>投标确认函截止时间</w:t>
      </w:r>
    </w:p>
    <w:p>
      <w:pPr>
        <w:pStyle w:val="58"/>
      </w:pPr>
      <w:bookmarkStart w:id="5" w:name="确认函发送信息"/>
      <w:r>
        <w:rPr>
          <w:rFonts w:hint="eastAsia"/>
        </w:rPr>
        <w:t>请确认参加投标的供应商于</w:t>
      </w:r>
      <w:bookmarkStart w:id="6" w:name="querenhanshijian"/>
      <w:r>
        <w:t>2019</w:t>
      </w:r>
      <w:r>
        <w:rPr>
          <w:rFonts w:hint="eastAsia"/>
        </w:rPr>
        <w:t>年5月7日15:00前将盖章扫描件发送至邮箱：cufexscg@cufe.edu.cn，请务必保证您的</w:t>
      </w:r>
      <w:r>
        <w:rPr>
          <w:rFonts w:hint="eastAsia"/>
          <w:b/>
        </w:rPr>
        <w:t>邮件主题为“投标确认函+公司简称+项目名称+项目编号”，以免邮件漏检！</w:t>
      </w:r>
    </w:p>
    <w:bookmarkEnd w:id="5"/>
    <w:bookmarkEnd w:id="6"/>
    <w:p>
      <w:pPr>
        <w:pStyle w:val="58"/>
      </w:pPr>
      <w:r>
        <w:rPr>
          <w:rFonts w:hint="eastAsia"/>
        </w:rPr>
        <w:t>八、</w:t>
      </w:r>
      <w:r>
        <w:rPr>
          <w:rFonts w:hint="eastAsia"/>
        </w:rPr>
        <w:tab/>
      </w:r>
      <w:r>
        <w:rPr>
          <w:rFonts w:hint="eastAsia"/>
        </w:rPr>
        <w:t>采购人信息</w:t>
      </w:r>
    </w:p>
    <w:p>
      <w:pPr>
        <w:pStyle w:val="58"/>
      </w:pPr>
      <w:r>
        <w:t>采购人名称：</w:t>
      </w:r>
      <w:r>
        <w:rPr>
          <w:rFonts w:hint="eastAsia"/>
        </w:rPr>
        <w:t>中央财经大学</w:t>
      </w:r>
    </w:p>
    <w:p>
      <w:pPr>
        <w:pStyle w:val="58"/>
      </w:pPr>
      <w:r>
        <w:t>采购人地址：</w:t>
      </w:r>
      <w:r>
        <w:rPr>
          <w:rFonts w:hint="eastAsia"/>
        </w:rPr>
        <w:t>北京海淀区学院南路39号</w:t>
      </w:r>
    </w:p>
    <w:p>
      <w:pPr>
        <w:pStyle w:val="58"/>
      </w:pPr>
      <w:bookmarkStart w:id="7" w:name="联系人及信息"/>
      <w:r>
        <w:rPr>
          <w:rFonts w:hint="eastAsia"/>
        </w:rPr>
        <w:t>联系人：王老师</w:t>
      </w:r>
    </w:p>
    <w:p>
      <w:pPr>
        <w:pStyle w:val="58"/>
      </w:pPr>
      <w:r>
        <w:rPr>
          <w:rFonts w:hint="eastAsia"/>
        </w:rPr>
        <w:t>联系电话：010-62288125</w:t>
      </w:r>
    </w:p>
    <w:p>
      <w:pPr>
        <w:pStyle w:val="58"/>
      </w:pPr>
      <w:r>
        <w:rPr>
          <w:rFonts w:hint="eastAsia"/>
        </w:rPr>
        <w:t>联系邮箱：cufexscg@cufe.edu.cn</w:t>
      </w:r>
    </w:p>
    <w:bookmarkEnd w:id="7"/>
    <w:p>
      <w:pPr>
        <w:pStyle w:val="58"/>
      </w:pPr>
      <w:r>
        <w:rPr>
          <w:rFonts w:hint="eastAsia"/>
        </w:rPr>
        <w:t>九、 其他</w:t>
      </w:r>
    </w:p>
    <w:p>
      <w:pPr>
        <w:pStyle w:val="58"/>
      </w:pPr>
      <w:r>
        <w:t>本项目其余信息均在</w:t>
      </w:r>
      <w:r>
        <w:rPr>
          <w:rFonts w:hint="eastAsia"/>
        </w:rPr>
        <w:t>“</w:t>
      </w:r>
      <w:r>
        <w:t>中国政府采购网</w:t>
      </w:r>
      <w:r>
        <w:rPr>
          <w:rFonts w:hint="eastAsia"/>
        </w:rPr>
        <w:t>”、“中国教育装备</w:t>
      </w:r>
      <w:r>
        <w:t>网</w:t>
      </w:r>
      <w:r>
        <w:rPr>
          <w:rFonts w:hint="eastAsia"/>
        </w:rPr>
        <w:t>”、“中央财经大学官网”</w:t>
      </w:r>
      <w:r>
        <w:t>等媒体发布。</w:t>
      </w:r>
    </w:p>
    <w:p>
      <w:pPr>
        <w:pStyle w:val="65"/>
        <w:spacing w:before="0" w:after="0" w:line="400" w:lineRule="exact"/>
        <w:ind w:left="0" w:leftChars="0" w:firstLine="422"/>
      </w:pPr>
      <w:r>
        <w:rPr>
          <w:rFonts w:hint="eastAsia" w:eastAsiaTheme="minorEastAsia"/>
          <w:b/>
          <w:color w:val="000000"/>
          <w:sz w:val="21"/>
          <w:szCs w:val="21"/>
        </w:rPr>
        <w:t>招标文件中加“*”的项目为必须响应项，若有实质性修改或非实质性响应，将导致响应被拒绝且不允许在响应截止后补正，请各位投标人务必按照招标文件要求准备投标文件。</w:t>
      </w:r>
    </w:p>
    <w:p>
      <w:pPr>
        <w:pStyle w:val="58"/>
        <w:rPr>
          <w:sz w:val="32"/>
          <w:szCs w:val="32"/>
        </w:rPr>
      </w:pPr>
      <w:r>
        <w:br w:type="page"/>
      </w:r>
    </w:p>
    <w:p>
      <w:pPr>
        <w:pStyle w:val="3"/>
        <w:spacing w:line="415" w:lineRule="auto"/>
        <w:ind w:left="420" w:hanging="420"/>
        <w:jc w:val="center"/>
      </w:pPr>
      <w:bookmarkStart w:id="8" w:name="_Toc524103436"/>
      <w:bookmarkStart w:id="9" w:name="_Ref527018655"/>
      <w:bookmarkStart w:id="10" w:name="_Ref492453975"/>
      <w:bookmarkStart w:id="11" w:name="_Ref492453758"/>
      <w:r>
        <w:rPr>
          <w:rFonts w:hint="eastAsia" w:ascii="Times New Roman" w:hAnsi="Times New Roman" w:eastAsiaTheme="majorEastAsia"/>
        </w:rPr>
        <w:t xml:space="preserve">第二部分  </w:t>
      </w:r>
      <w:bookmarkStart w:id="12" w:name="xuzhiqianfubiao"/>
      <w:r>
        <w:rPr>
          <w:rFonts w:hint="eastAsia" w:ascii="Times New Roman" w:hAnsi="Times New Roman" w:eastAsiaTheme="majorEastAsia"/>
        </w:rPr>
        <w:t>投标人须知前附表</w:t>
      </w:r>
      <w:bookmarkEnd w:id="8"/>
      <w:bookmarkEnd w:id="9"/>
      <w:bookmarkEnd w:id="10"/>
      <w:bookmarkEnd w:id="11"/>
      <w:bookmarkEnd w:id="12"/>
    </w:p>
    <w:tbl>
      <w:tblPr>
        <w:tblStyle w:val="21"/>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8" w:type="dxa"/>
            <w:vAlign w:val="center"/>
          </w:tcPr>
          <w:p>
            <w:pPr>
              <w:pStyle w:val="58"/>
            </w:pPr>
            <w:r>
              <w:t>序号</w:t>
            </w:r>
          </w:p>
        </w:tc>
        <w:tc>
          <w:tcPr>
            <w:tcW w:w="2415" w:type="dxa"/>
            <w:vAlign w:val="center"/>
          </w:tcPr>
          <w:p>
            <w:pPr>
              <w:pStyle w:val="58"/>
            </w:pPr>
            <w:r>
              <w:t>内容</w:t>
            </w:r>
          </w:p>
        </w:tc>
        <w:tc>
          <w:tcPr>
            <w:tcW w:w="5880" w:type="dxa"/>
            <w:vAlign w:val="center"/>
          </w:tcPr>
          <w:p>
            <w:pPr>
              <w:pStyle w:val="58"/>
            </w:pPr>
            <w: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8" w:type="dxa"/>
            <w:vAlign w:val="center"/>
          </w:tcPr>
          <w:p>
            <w:pPr>
              <w:pStyle w:val="64"/>
              <w:numPr>
                <w:ilvl w:val="0"/>
                <w:numId w:val="1"/>
              </w:numPr>
              <w:spacing w:line="400" w:lineRule="exact"/>
              <w:ind w:firstLineChars="0"/>
              <w:jc w:val="center"/>
            </w:pPr>
            <w:bookmarkStart w:id="13" w:name="_Ref477459818"/>
          </w:p>
          <w:bookmarkEnd w:id="13"/>
        </w:tc>
        <w:tc>
          <w:tcPr>
            <w:tcW w:w="2415" w:type="dxa"/>
            <w:vAlign w:val="center"/>
          </w:tcPr>
          <w:p>
            <w:pPr>
              <w:pStyle w:val="58"/>
            </w:pPr>
            <w:r>
              <w:t>采购人名称</w:t>
            </w:r>
          </w:p>
        </w:tc>
        <w:tc>
          <w:tcPr>
            <w:tcW w:w="5880" w:type="dxa"/>
            <w:vAlign w:val="center"/>
          </w:tcPr>
          <w:p>
            <w:pPr>
              <w:pStyle w:val="58"/>
            </w:pPr>
            <w: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64"/>
              <w:numPr>
                <w:ilvl w:val="0"/>
                <w:numId w:val="1"/>
              </w:numPr>
              <w:spacing w:line="400" w:lineRule="exact"/>
              <w:ind w:firstLineChars="0"/>
              <w:jc w:val="center"/>
            </w:pPr>
            <w:bookmarkStart w:id="14" w:name="_Ref477459854"/>
          </w:p>
          <w:bookmarkEnd w:id="14"/>
        </w:tc>
        <w:tc>
          <w:tcPr>
            <w:tcW w:w="2415" w:type="dxa"/>
            <w:vAlign w:val="center"/>
          </w:tcPr>
          <w:p>
            <w:pPr>
              <w:pStyle w:val="58"/>
            </w:pPr>
            <w:r>
              <w:t>投标人的资质要求</w:t>
            </w:r>
          </w:p>
        </w:tc>
        <w:tc>
          <w:tcPr>
            <w:tcW w:w="5880" w:type="dxa"/>
            <w:vAlign w:val="center"/>
          </w:tcPr>
          <w:p>
            <w:pPr>
              <w:pStyle w:val="58"/>
            </w:pPr>
            <w: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64"/>
              <w:numPr>
                <w:ilvl w:val="0"/>
                <w:numId w:val="1"/>
              </w:numPr>
              <w:spacing w:line="400" w:lineRule="exact"/>
              <w:ind w:firstLineChars="0"/>
              <w:jc w:val="center"/>
            </w:pPr>
            <w:bookmarkStart w:id="15" w:name="_Ref477459862"/>
          </w:p>
          <w:bookmarkEnd w:id="15"/>
        </w:tc>
        <w:tc>
          <w:tcPr>
            <w:tcW w:w="2415" w:type="dxa"/>
            <w:vAlign w:val="center"/>
          </w:tcPr>
          <w:p>
            <w:pPr>
              <w:pStyle w:val="58"/>
            </w:pPr>
            <w:r>
              <w:t>是否允许代理商投标</w:t>
            </w:r>
          </w:p>
        </w:tc>
        <w:tc>
          <w:tcPr>
            <w:tcW w:w="5880" w:type="dxa"/>
            <w:vAlign w:val="center"/>
          </w:tcPr>
          <w:p>
            <w:pPr>
              <w:pStyle w:val="58"/>
            </w:pPr>
            <w:r>
              <w:rPr>
                <w:rFonts w:hint="eastAsia"/>
              </w:rPr>
              <w:t>否</w:t>
            </w:r>
          </w:p>
          <w:p>
            <w:pPr>
              <w:pStyle w:val="58"/>
            </w:pPr>
            <w:r>
              <w:t>说明</w:t>
            </w:r>
            <w:r>
              <w:rPr>
                <w:rFonts w:hint="eastAsia"/>
              </w:rPr>
              <w:t>：若本项为是，则按照本表第4项执行。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64"/>
              <w:numPr>
                <w:ilvl w:val="0"/>
                <w:numId w:val="1"/>
              </w:numPr>
              <w:spacing w:line="400" w:lineRule="exact"/>
              <w:ind w:firstLineChars="0"/>
              <w:jc w:val="center"/>
            </w:pPr>
            <w:bookmarkStart w:id="16" w:name="_Ref477459898"/>
          </w:p>
          <w:bookmarkEnd w:id="16"/>
        </w:tc>
        <w:tc>
          <w:tcPr>
            <w:tcW w:w="2415" w:type="dxa"/>
            <w:vAlign w:val="center"/>
          </w:tcPr>
          <w:p>
            <w:pPr>
              <w:pStyle w:val="58"/>
            </w:pPr>
            <w:r>
              <w:t>是否允许联合体投标</w:t>
            </w:r>
          </w:p>
        </w:tc>
        <w:tc>
          <w:tcPr>
            <w:tcW w:w="5880" w:type="dxa"/>
            <w:vAlign w:val="center"/>
          </w:tcPr>
          <w:p>
            <w:pPr>
              <w:pStyle w:val="58"/>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64"/>
              <w:numPr>
                <w:ilvl w:val="0"/>
                <w:numId w:val="1"/>
              </w:numPr>
              <w:spacing w:line="400" w:lineRule="exact"/>
              <w:ind w:firstLineChars="0"/>
              <w:jc w:val="center"/>
            </w:pPr>
            <w:bookmarkStart w:id="17" w:name="_Ref477459912"/>
          </w:p>
          <w:bookmarkEnd w:id="17"/>
        </w:tc>
        <w:tc>
          <w:tcPr>
            <w:tcW w:w="2415" w:type="dxa"/>
            <w:vAlign w:val="center"/>
          </w:tcPr>
          <w:p>
            <w:pPr>
              <w:pStyle w:val="58"/>
            </w:pPr>
            <w:r>
              <w:t>投标人应提交的商务文件</w:t>
            </w:r>
          </w:p>
        </w:tc>
        <w:tc>
          <w:tcPr>
            <w:tcW w:w="5880" w:type="dxa"/>
            <w:vAlign w:val="center"/>
          </w:tcPr>
          <w:p>
            <w:pPr>
              <w:pStyle w:val="58"/>
              <w:numPr>
                <w:ilvl w:val="0"/>
                <w:numId w:val="2"/>
              </w:numPr>
              <w:ind w:firstLineChars="0"/>
            </w:pPr>
            <w:r>
              <w:t>投标确认函</w:t>
            </w:r>
            <w:r>
              <w:rPr>
                <w:rFonts w:hint="eastAsia"/>
              </w:rPr>
              <w:t>；</w:t>
            </w:r>
          </w:p>
          <w:p>
            <w:pPr>
              <w:pStyle w:val="58"/>
              <w:numPr>
                <w:ilvl w:val="0"/>
                <w:numId w:val="2"/>
              </w:numPr>
              <w:ind w:firstLineChars="0"/>
            </w:pPr>
            <w:bookmarkStart w:id="18" w:name="_Ref492454876"/>
            <w:r>
              <w:t>* 投标函；</w:t>
            </w:r>
            <w:bookmarkEnd w:id="18"/>
          </w:p>
          <w:p>
            <w:pPr>
              <w:pStyle w:val="58"/>
              <w:numPr>
                <w:ilvl w:val="0"/>
                <w:numId w:val="2"/>
              </w:numPr>
              <w:ind w:firstLineChars="0"/>
            </w:pPr>
            <w:bookmarkStart w:id="19" w:name="_Ref492454877"/>
            <w:r>
              <w:t>*</w:t>
            </w:r>
            <w:r>
              <w:rPr>
                <w:rFonts w:hint="eastAsia"/>
              </w:rPr>
              <w:t xml:space="preserve"> </w:t>
            </w:r>
            <w:r>
              <w:t>法定代表人授权委托书</w:t>
            </w:r>
            <w:bookmarkEnd w:id="19"/>
            <w:r>
              <w:rPr>
                <w:rFonts w:hint="eastAsia"/>
              </w:rPr>
              <w:t>，</w:t>
            </w:r>
            <w:r>
              <w:t>除装订在投标文件中外</w:t>
            </w:r>
            <w:r>
              <w:rPr>
                <w:rFonts w:hint="eastAsia"/>
              </w:rPr>
              <w:t>，</w:t>
            </w:r>
            <w:r>
              <w:t>还需要提供单独密封的法定代表人授权委托书一份；</w:t>
            </w:r>
          </w:p>
          <w:p>
            <w:pPr>
              <w:pStyle w:val="58"/>
              <w:numPr>
                <w:ilvl w:val="0"/>
                <w:numId w:val="2"/>
              </w:numPr>
              <w:ind w:firstLineChars="0"/>
            </w:pPr>
            <w:bookmarkStart w:id="20" w:name="OLE_LINK7"/>
            <w:bookmarkStart w:id="21" w:name="OLE_LINK6"/>
            <w:bookmarkStart w:id="22" w:name="_Ref492454880"/>
            <w:r>
              <w:t xml:space="preserve">* </w:t>
            </w:r>
            <w:bookmarkEnd w:id="20"/>
            <w:bookmarkEnd w:id="21"/>
            <w:r>
              <w:t>有效的企业法人营业执照或事业单位法人证书、组织机构代码、税务登记证（副本复印件并加盖投标人公章；按规定需要年检的，年检章要清楚）</w:t>
            </w:r>
            <w:r>
              <w:rPr>
                <w:rFonts w:hint="eastAsia"/>
              </w:rPr>
              <w:t>，三证合一的提供有效文件复印件并加盖公章</w:t>
            </w:r>
            <w:r>
              <w:t>；</w:t>
            </w:r>
            <w:bookmarkEnd w:id="22"/>
          </w:p>
          <w:p>
            <w:pPr>
              <w:pStyle w:val="58"/>
              <w:numPr>
                <w:ilvl w:val="0"/>
                <w:numId w:val="2"/>
              </w:numPr>
              <w:ind w:firstLineChars="0"/>
            </w:pPr>
            <w:bookmarkStart w:id="23" w:name="_Ref492454882"/>
            <w:r>
              <w:t>* 投标人的资质要求对应的证书（副本复印件加盖投标人公章）</w:t>
            </w:r>
            <w:r>
              <w:rPr>
                <w:rFonts w:hint="eastAsia"/>
              </w:rPr>
              <w:t>；</w:t>
            </w:r>
            <w:bookmarkEnd w:id="23"/>
          </w:p>
          <w:p>
            <w:pPr>
              <w:pStyle w:val="58"/>
              <w:numPr>
                <w:ilvl w:val="0"/>
                <w:numId w:val="2"/>
              </w:numPr>
              <w:ind w:firstLineChars="0"/>
            </w:pPr>
            <w:bookmarkStart w:id="24" w:name="_Ref492454885"/>
            <w:r>
              <w:t>* 提交参与采购活动前三年内在经营活动中没有重大违法记录的书面声明函；</w:t>
            </w:r>
            <w:bookmarkEnd w:id="24"/>
          </w:p>
          <w:p>
            <w:pPr>
              <w:pStyle w:val="58"/>
              <w:numPr>
                <w:ilvl w:val="0"/>
                <w:numId w:val="2"/>
              </w:numPr>
              <w:ind w:firstLineChars="0"/>
            </w:pPr>
            <w:bookmarkStart w:id="25" w:name="_Ref492454886"/>
            <w:r>
              <w:rPr>
                <w:rFonts w:hint="eastAsia"/>
              </w:rPr>
              <w:tab/>
            </w:r>
            <w:r>
              <w:rPr>
                <w:rFonts w:hint="eastAsia"/>
              </w:rPr>
              <w:t>*近两年度任意一年度经会计师事务所审计的财务审计报告，至少包含资产负债表、损益表（利润表）和现金流量表，或提供银行出具的资信证明；</w:t>
            </w:r>
            <w:bookmarkEnd w:id="25"/>
          </w:p>
          <w:p>
            <w:pPr>
              <w:pStyle w:val="58"/>
              <w:numPr>
                <w:ilvl w:val="0"/>
                <w:numId w:val="2"/>
              </w:numPr>
              <w:ind w:firstLineChars="0"/>
            </w:pPr>
            <w:bookmarkStart w:id="26" w:name="_Ref492454887"/>
            <w:r>
              <w:t xml:space="preserve">* </w:t>
            </w:r>
            <w:r>
              <w:rPr>
                <w:rFonts w:hint="eastAsia"/>
              </w:rPr>
              <w:t>开标日前半年内不少于一个月缴纳税收 及 不少于一个月的社会保障资金的证明材料（缴纳凭证复印件或税务部门及社保中心开具的缴纳证明扫描件）；</w:t>
            </w:r>
            <w:bookmarkEnd w:id="26"/>
          </w:p>
          <w:p>
            <w:pPr>
              <w:pStyle w:val="58"/>
              <w:numPr>
                <w:ilvl w:val="0"/>
                <w:numId w:val="2"/>
              </w:numPr>
              <w:ind w:firstLineChars="0"/>
            </w:pPr>
            <w:bookmarkStart w:id="27" w:name="信用记录"/>
            <w:bookmarkStart w:id="28" w:name="_Ref492454890"/>
            <w:r>
              <w:rPr>
                <w:rFonts w:hint="eastAsia"/>
              </w:rPr>
              <w:t>* 信用信息查询记录及查询结果</w:t>
            </w:r>
            <w:bookmarkEnd w:id="27"/>
            <w:r>
              <w:rPr>
                <w:rFonts w:hint="eastAsia"/>
              </w:rPr>
              <w:t>：根据财政部《关于在政府采购活动中查询及使用信用记录有关问题的通知》（财库（2016）125号）文件要求，投标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bookmarkEnd w:id="28"/>
          </w:p>
          <w:p>
            <w:pPr>
              <w:pStyle w:val="58"/>
              <w:numPr>
                <w:ilvl w:val="0"/>
                <w:numId w:val="2"/>
              </w:numPr>
              <w:ind w:firstLineChars="0"/>
            </w:pPr>
            <w:bookmarkStart w:id="29" w:name="_Ref492454895"/>
            <w:r>
              <w:t>* 开标一览表</w:t>
            </w:r>
            <w:r>
              <w:rPr>
                <w:rFonts w:hint="eastAsia"/>
              </w:rPr>
              <w:t>，</w:t>
            </w:r>
            <w:r>
              <w:t>除装订在投标文件中外</w:t>
            </w:r>
            <w:r>
              <w:rPr>
                <w:rFonts w:hint="eastAsia"/>
              </w:rPr>
              <w:t>，</w:t>
            </w:r>
            <w:r>
              <w:t>还需要提供单独密封的报价一览表一份；</w:t>
            </w:r>
            <w:bookmarkEnd w:id="29"/>
          </w:p>
          <w:p>
            <w:pPr>
              <w:pStyle w:val="58"/>
            </w:pPr>
          </w:p>
          <w:p>
            <w:pPr>
              <w:pStyle w:val="58"/>
            </w:pPr>
            <w:r>
              <w:rPr>
                <w:rFonts w:hint="eastAsia"/>
              </w:rPr>
              <w:t>上述“</w:t>
            </w:r>
            <w:r>
              <w:fldChar w:fldCharType="begin"/>
            </w:r>
            <w:r>
              <w:instrText xml:space="preserve"> </w:instrText>
            </w:r>
            <w:r>
              <w:rPr>
                <w:rFonts w:hint="eastAsia"/>
              </w:rPr>
              <w:instrText xml:space="preserve">REF _Ref492454876 \r \h</w:instrText>
            </w:r>
            <w:r>
              <w:instrText xml:space="preserve"> </w:instrText>
            </w:r>
            <w:r>
              <w:fldChar w:fldCharType="separate"/>
            </w:r>
            <w:r>
              <w:rPr>
                <w:rFonts w:hint="eastAsia"/>
              </w:rPr>
              <w:t>2、</w:t>
            </w:r>
            <w:r>
              <w:fldChar w:fldCharType="end"/>
            </w:r>
            <w:r>
              <w:rPr>
                <w:rFonts w:hint="eastAsia"/>
              </w:rPr>
              <w:t>”</w:t>
            </w:r>
            <w:r>
              <w:t>到</w:t>
            </w:r>
            <w:r>
              <w:rPr>
                <w:rFonts w:hint="eastAsia"/>
              </w:rPr>
              <w:t>“</w:t>
            </w:r>
            <w:r>
              <w:fldChar w:fldCharType="begin"/>
            </w:r>
            <w:r>
              <w:instrText xml:space="preserve"> REF _Ref492454895 \r \h </w:instrText>
            </w:r>
            <w:r>
              <w:fldChar w:fldCharType="separate"/>
            </w:r>
            <w:r>
              <w:rPr>
                <w:rFonts w:hint="eastAsia"/>
              </w:rPr>
              <w:t>10、</w:t>
            </w:r>
            <w:r>
              <w:fldChar w:fldCharType="end"/>
            </w:r>
            <w:r>
              <w:rPr>
                <w:rFonts w:hint="eastAsia"/>
              </w:rPr>
              <w:t>”项</w:t>
            </w:r>
            <w:r>
              <w:t>对应文件</w:t>
            </w:r>
            <w:r>
              <w:rPr>
                <w:rFonts w:hint="eastAsia"/>
              </w:rPr>
              <w:t>需单独装订成册，正本一份，副本一份，并在封面注明为“资格文件”及“正本”、“副本”字样，其余文件（含商务和技术部分）再单独装订，请勿重复装订。</w:t>
            </w:r>
          </w:p>
          <w:p>
            <w:pPr>
              <w:pStyle w:val="58"/>
            </w:pPr>
          </w:p>
          <w:p>
            <w:pPr>
              <w:pStyle w:val="58"/>
            </w:pPr>
            <w:r>
              <w:rPr>
                <w:rFonts w:hint="eastAsia"/>
              </w:rPr>
              <w:t>第“</w:t>
            </w:r>
            <w:r>
              <w:fldChar w:fldCharType="begin"/>
            </w:r>
            <w:r>
              <w:instrText xml:space="preserve"> </w:instrText>
            </w:r>
            <w:r>
              <w:rPr>
                <w:rFonts w:hint="eastAsia"/>
              </w:rPr>
              <w:instrText xml:space="preserve">REF _Ref492454876 \r \h</w:instrText>
            </w:r>
            <w:r>
              <w:instrText xml:space="preserve"> </w:instrText>
            </w:r>
            <w:r>
              <w:fldChar w:fldCharType="separate"/>
            </w:r>
            <w:r>
              <w:rPr>
                <w:rFonts w:hint="eastAsia"/>
              </w:rPr>
              <w:t>2、</w:t>
            </w:r>
            <w:r>
              <w:fldChar w:fldCharType="end"/>
            </w:r>
            <w:r>
              <w:rPr>
                <w:rFonts w:hint="eastAsia"/>
              </w:rPr>
              <w:t>”项法人代表授权委托书、第“</w:t>
            </w:r>
            <w:r>
              <w:fldChar w:fldCharType="begin"/>
            </w:r>
            <w:r>
              <w:instrText xml:space="preserve"> REF _Ref492454895 \r \h </w:instrText>
            </w:r>
            <w:r>
              <w:fldChar w:fldCharType="separate"/>
            </w:r>
            <w:r>
              <w:rPr>
                <w:rFonts w:hint="eastAsia"/>
              </w:rPr>
              <w:t>10、</w:t>
            </w:r>
            <w:r>
              <w:fldChar w:fldCharType="end"/>
            </w:r>
            <w:r>
              <w:rPr>
                <w:rFonts w:hint="eastAsia"/>
              </w:rPr>
              <w:t>”项开标一览表</w:t>
            </w:r>
            <w:r>
              <w:t>除装订在</w:t>
            </w:r>
            <w:r>
              <w:rPr>
                <w:rFonts w:hint="eastAsia"/>
              </w:rPr>
              <w:t>“资格文件”</w:t>
            </w:r>
            <w:r>
              <w:t>中外</w:t>
            </w:r>
            <w:r>
              <w:rPr>
                <w:rFonts w:hint="eastAsia"/>
              </w:rPr>
              <w:t>，</w:t>
            </w:r>
            <w:r>
              <w:t>还需要提供单独密封的报价一览表一份；</w:t>
            </w:r>
          </w:p>
          <w:p>
            <w:pPr>
              <w:pStyle w:val="58"/>
              <w:numPr>
                <w:ilvl w:val="0"/>
                <w:numId w:val="2"/>
              </w:numPr>
              <w:ind w:firstLineChars="0"/>
            </w:pPr>
            <w:r>
              <w:t xml:space="preserve">同类型项目案例： </w:t>
            </w:r>
          </w:p>
          <w:p>
            <w:pPr>
              <w:pStyle w:val="58"/>
              <w:numPr>
                <w:ilvl w:val="0"/>
                <w:numId w:val="2"/>
              </w:numPr>
              <w:ind w:firstLineChars="0"/>
            </w:pPr>
            <w:r>
              <w:t>商务条款偏离表；</w:t>
            </w:r>
          </w:p>
          <w:p>
            <w:pPr>
              <w:pStyle w:val="58"/>
            </w:pPr>
            <w:r>
              <w:t>投标人认为需要提供的其他商务资料。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64"/>
              <w:numPr>
                <w:ilvl w:val="0"/>
                <w:numId w:val="1"/>
              </w:numPr>
              <w:spacing w:line="400" w:lineRule="exact"/>
              <w:ind w:firstLineChars="0"/>
              <w:jc w:val="center"/>
            </w:pPr>
            <w:bookmarkStart w:id="30" w:name="_Ref477459926"/>
          </w:p>
          <w:bookmarkEnd w:id="30"/>
        </w:tc>
        <w:tc>
          <w:tcPr>
            <w:tcW w:w="2415" w:type="dxa"/>
            <w:vAlign w:val="center"/>
          </w:tcPr>
          <w:p>
            <w:pPr>
              <w:pStyle w:val="58"/>
            </w:pPr>
            <w:r>
              <w:t>投标人应提交的技术文件</w:t>
            </w:r>
          </w:p>
        </w:tc>
        <w:tc>
          <w:tcPr>
            <w:tcW w:w="5880" w:type="dxa"/>
            <w:vAlign w:val="center"/>
          </w:tcPr>
          <w:p>
            <w:pPr>
              <w:pStyle w:val="58"/>
              <w:numPr>
                <w:ilvl w:val="0"/>
                <w:numId w:val="3"/>
              </w:numPr>
              <w:ind w:firstLineChars="0"/>
            </w:pPr>
            <w:r>
              <w:t>分项报价表</w:t>
            </w:r>
            <w:r>
              <w:rPr>
                <w:rFonts w:hint="eastAsia"/>
              </w:rPr>
              <w:t>；</w:t>
            </w:r>
          </w:p>
          <w:p>
            <w:pPr>
              <w:pStyle w:val="58"/>
              <w:numPr>
                <w:ilvl w:val="0"/>
                <w:numId w:val="3"/>
              </w:numPr>
              <w:ind w:firstLineChars="0"/>
            </w:pPr>
            <w:r>
              <w:t>拟配备的项目服务团队表；</w:t>
            </w:r>
          </w:p>
          <w:p>
            <w:pPr>
              <w:pStyle w:val="58"/>
              <w:numPr>
                <w:ilvl w:val="0"/>
                <w:numId w:val="3"/>
              </w:numPr>
              <w:ind w:firstLineChars="0"/>
            </w:pPr>
            <w:r>
              <w:t>项目经理需与投标人存在缴纳社保关系（开标前一年内至少连续6个月）的有效证明，学习及工作履历；</w:t>
            </w:r>
          </w:p>
          <w:p>
            <w:pPr>
              <w:pStyle w:val="58"/>
              <w:numPr>
                <w:ilvl w:val="0"/>
                <w:numId w:val="3"/>
              </w:numPr>
              <w:ind w:firstLineChars="0"/>
            </w:pPr>
            <w:r>
              <w:t>售后培训、维修和服务计划表；</w:t>
            </w:r>
          </w:p>
          <w:p>
            <w:pPr>
              <w:pStyle w:val="58"/>
              <w:numPr>
                <w:ilvl w:val="0"/>
                <w:numId w:val="3"/>
              </w:numPr>
              <w:ind w:firstLineChars="0"/>
            </w:pPr>
            <w:r>
              <w:t>售后服务网点明细表；</w:t>
            </w:r>
          </w:p>
          <w:p>
            <w:pPr>
              <w:pStyle w:val="58"/>
              <w:numPr>
                <w:ilvl w:val="0"/>
                <w:numId w:val="3"/>
              </w:numPr>
              <w:ind w:firstLineChars="0"/>
            </w:pPr>
            <w:r>
              <w:t xml:space="preserve">投标人服务项目偏离表； </w:t>
            </w:r>
          </w:p>
          <w:p>
            <w:pPr>
              <w:pStyle w:val="58"/>
              <w:numPr>
                <w:ilvl w:val="0"/>
                <w:numId w:val="3"/>
              </w:numPr>
              <w:ind w:firstLineChars="0"/>
            </w:pPr>
            <w:r>
              <w:t>投标人认为需要提供的其它说明和资料。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64"/>
              <w:numPr>
                <w:ilvl w:val="0"/>
                <w:numId w:val="1"/>
              </w:numPr>
              <w:spacing w:line="400" w:lineRule="exact"/>
              <w:ind w:firstLineChars="0"/>
              <w:jc w:val="center"/>
            </w:pPr>
            <w:bookmarkStart w:id="31" w:name="_Ref477459940"/>
          </w:p>
          <w:bookmarkEnd w:id="31"/>
        </w:tc>
        <w:tc>
          <w:tcPr>
            <w:tcW w:w="2415" w:type="dxa"/>
            <w:vAlign w:val="center"/>
          </w:tcPr>
          <w:p>
            <w:pPr>
              <w:pStyle w:val="58"/>
            </w:pPr>
            <w:r>
              <w:t>投标人自行编写的技术文件</w:t>
            </w:r>
          </w:p>
        </w:tc>
        <w:tc>
          <w:tcPr>
            <w:tcW w:w="5880" w:type="dxa"/>
            <w:vAlign w:val="center"/>
          </w:tcPr>
          <w:p>
            <w:pPr>
              <w:pStyle w:val="58"/>
            </w:pPr>
            <w:r>
              <w:t>服务方案及措施：</w:t>
            </w:r>
          </w:p>
          <w:p>
            <w:pPr>
              <w:pStyle w:val="58"/>
              <w:numPr>
                <w:ilvl w:val="0"/>
                <w:numId w:val="4"/>
              </w:numPr>
              <w:ind w:firstLineChars="0"/>
            </w:pPr>
            <w:r>
              <w:t>对本项目的服务重点、难点分析</w:t>
            </w:r>
          </w:p>
          <w:p>
            <w:pPr>
              <w:pStyle w:val="58"/>
              <w:numPr>
                <w:ilvl w:val="0"/>
                <w:numId w:val="4"/>
              </w:numPr>
              <w:ind w:firstLineChars="0"/>
            </w:pPr>
            <w:r>
              <w:t>针对本项目的日常管理及措施</w:t>
            </w:r>
          </w:p>
          <w:p>
            <w:pPr>
              <w:pStyle w:val="58"/>
              <w:numPr>
                <w:ilvl w:val="0"/>
                <w:numId w:val="4"/>
              </w:numPr>
              <w:ind w:firstLineChars="0"/>
            </w:pPr>
            <w:r>
              <w:t>应急预案及措施</w:t>
            </w:r>
          </w:p>
          <w:p>
            <w:pPr>
              <w:pStyle w:val="58"/>
            </w:pPr>
            <w:r>
              <w:t>（以上内容必须与本项目联系紧密，符合实际需求，否则会影响评审委员会认定）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64"/>
              <w:numPr>
                <w:ilvl w:val="0"/>
                <w:numId w:val="1"/>
              </w:numPr>
              <w:spacing w:line="400" w:lineRule="exact"/>
              <w:ind w:firstLineChars="0"/>
              <w:jc w:val="center"/>
            </w:pPr>
            <w:bookmarkStart w:id="32" w:name="_Ref477449497"/>
          </w:p>
          <w:bookmarkEnd w:id="32"/>
        </w:tc>
        <w:tc>
          <w:tcPr>
            <w:tcW w:w="2415" w:type="dxa"/>
            <w:vAlign w:val="center"/>
          </w:tcPr>
          <w:p>
            <w:pPr>
              <w:pStyle w:val="58"/>
            </w:pPr>
            <w:r>
              <w:t>投标保证金额</w:t>
            </w:r>
          </w:p>
        </w:tc>
        <w:tc>
          <w:tcPr>
            <w:tcW w:w="5880" w:type="dxa"/>
            <w:vAlign w:val="center"/>
          </w:tcPr>
          <w:p>
            <w:pPr>
              <w:pStyle w:val="58"/>
            </w:pPr>
            <w:r>
              <w:t>本项目投标保证金 10000元</w:t>
            </w:r>
            <w:r>
              <w:rPr>
                <w:rFonts w:hint="eastAsia"/>
              </w:rPr>
              <w:t>（人民币</w:t>
            </w:r>
            <w:r>
              <w:t>壹万元整</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64"/>
              <w:numPr>
                <w:ilvl w:val="0"/>
                <w:numId w:val="1"/>
              </w:numPr>
              <w:spacing w:line="400" w:lineRule="exact"/>
              <w:ind w:firstLineChars="0"/>
              <w:jc w:val="center"/>
            </w:pPr>
            <w:bookmarkStart w:id="33" w:name="_Ref477459957"/>
          </w:p>
          <w:bookmarkEnd w:id="33"/>
        </w:tc>
        <w:tc>
          <w:tcPr>
            <w:tcW w:w="2415" w:type="dxa"/>
            <w:vAlign w:val="center"/>
          </w:tcPr>
          <w:p>
            <w:pPr>
              <w:pStyle w:val="58"/>
            </w:pPr>
            <w:r>
              <w:t>是否接受可选择或可调整的投标和报价</w:t>
            </w:r>
          </w:p>
        </w:tc>
        <w:tc>
          <w:tcPr>
            <w:tcW w:w="5880" w:type="dxa"/>
            <w:vAlign w:val="center"/>
          </w:tcPr>
          <w:p>
            <w:pPr>
              <w:pStyle w:val="58"/>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64"/>
              <w:numPr>
                <w:ilvl w:val="0"/>
                <w:numId w:val="1"/>
              </w:numPr>
              <w:spacing w:line="400" w:lineRule="exact"/>
              <w:ind w:firstLineChars="0"/>
              <w:jc w:val="center"/>
            </w:pPr>
          </w:p>
        </w:tc>
        <w:tc>
          <w:tcPr>
            <w:tcW w:w="2415" w:type="dxa"/>
            <w:vAlign w:val="center"/>
          </w:tcPr>
          <w:p>
            <w:pPr>
              <w:pStyle w:val="58"/>
            </w:pPr>
            <w:r>
              <w:t>是否允许投标人将项目非主体、非关键性工作交由他人完成</w:t>
            </w:r>
          </w:p>
        </w:tc>
        <w:tc>
          <w:tcPr>
            <w:tcW w:w="5880" w:type="dxa"/>
            <w:vAlign w:val="center"/>
          </w:tcPr>
          <w:p>
            <w:pPr>
              <w:pStyle w:val="58"/>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64"/>
              <w:numPr>
                <w:ilvl w:val="0"/>
                <w:numId w:val="1"/>
              </w:numPr>
              <w:spacing w:line="400" w:lineRule="exact"/>
              <w:ind w:firstLineChars="0"/>
              <w:jc w:val="center"/>
            </w:pPr>
          </w:p>
        </w:tc>
        <w:tc>
          <w:tcPr>
            <w:tcW w:w="2415" w:type="dxa"/>
            <w:vAlign w:val="center"/>
          </w:tcPr>
          <w:p>
            <w:pPr>
              <w:pStyle w:val="58"/>
            </w:pPr>
            <w:r>
              <w:t>现场踏勘</w:t>
            </w:r>
          </w:p>
        </w:tc>
        <w:tc>
          <w:tcPr>
            <w:tcW w:w="5880" w:type="dxa"/>
            <w:vAlign w:val="center"/>
          </w:tcPr>
          <w:p>
            <w:pPr>
              <w:spacing w:line="400" w:lineRule="exact"/>
              <w:ind w:firstLine="420" w:firstLineChars="200"/>
              <w:rPr>
                <w:rFonts w:eastAsiaTheme="minorEastAsia"/>
                <w:b/>
                <w:szCs w:val="21"/>
              </w:rPr>
            </w:pPr>
            <w:bookmarkStart w:id="34" w:name="_Toc477456203"/>
            <w:bookmarkStart w:id="35" w:name="_Toc477456272"/>
            <w:r>
              <w:rPr>
                <w:rFonts w:eastAsiaTheme="minorEastAsia"/>
                <w:szCs w:val="21"/>
              </w:rPr>
              <w:t>否</w:t>
            </w:r>
            <w:bookmarkEnd w:id="34"/>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64"/>
              <w:numPr>
                <w:ilvl w:val="0"/>
                <w:numId w:val="1"/>
              </w:numPr>
              <w:spacing w:line="400" w:lineRule="exact"/>
              <w:ind w:firstLineChars="0"/>
              <w:jc w:val="center"/>
            </w:pPr>
            <w:bookmarkStart w:id="36" w:name="_Ref477459974"/>
          </w:p>
          <w:bookmarkEnd w:id="36"/>
        </w:tc>
        <w:tc>
          <w:tcPr>
            <w:tcW w:w="2415" w:type="dxa"/>
            <w:vAlign w:val="center"/>
          </w:tcPr>
          <w:p>
            <w:pPr>
              <w:pStyle w:val="58"/>
            </w:pPr>
            <w:r>
              <w:t>现场演示</w:t>
            </w:r>
          </w:p>
        </w:tc>
        <w:tc>
          <w:tcPr>
            <w:tcW w:w="5880" w:type="dxa"/>
            <w:vAlign w:val="center"/>
          </w:tcPr>
          <w:p>
            <w:pPr>
              <w:spacing w:line="400" w:lineRule="exact"/>
              <w:ind w:firstLine="420" w:firstLineChars="200"/>
              <w:rPr>
                <w:rFonts w:eastAsiaTheme="minorEastAsia"/>
                <w:szCs w:val="21"/>
              </w:rPr>
            </w:pPr>
            <w:bookmarkStart w:id="37" w:name="_Toc477456274"/>
            <w:bookmarkStart w:id="38" w:name="_Toc477456204"/>
            <w:r>
              <w:rPr>
                <w:rFonts w:eastAsiaTheme="minorEastAsia"/>
                <w:szCs w:val="21"/>
              </w:rPr>
              <w:t>否</w:t>
            </w:r>
            <w:r>
              <w:rPr>
                <w:rFonts w:hint="eastAsia" w:eastAsiaTheme="minorEastAsia"/>
                <w:szCs w:val="21"/>
              </w:rPr>
              <w:t>：</w:t>
            </w:r>
            <w:bookmarkEnd w:id="37"/>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pPr>
            <w:bookmarkStart w:id="39" w:name="_Ref477459985"/>
          </w:p>
          <w:bookmarkEnd w:id="39"/>
        </w:tc>
        <w:tc>
          <w:tcPr>
            <w:tcW w:w="2415" w:type="dxa"/>
            <w:vAlign w:val="center"/>
          </w:tcPr>
          <w:p>
            <w:pPr>
              <w:pStyle w:val="58"/>
            </w:pPr>
            <w:r>
              <w:t>投标文件有效期</w:t>
            </w:r>
          </w:p>
        </w:tc>
        <w:tc>
          <w:tcPr>
            <w:tcW w:w="5880" w:type="dxa"/>
            <w:vAlign w:val="center"/>
          </w:tcPr>
          <w:p>
            <w:pPr>
              <w:pStyle w:val="58"/>
            </w:pPr>
            <w:r>
              <w:t>90日历天（从开标日起计算）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pPr>
            <w:bookmarkStart w:id="40" w:name="_Ref477460026"/>
          </w:p>
          <w:bookmarkEnd w:id="40"/>
        </w:tc>
        <w:tc>
          <w:tcPr>
            <w:tcW w:w="2415" w:type="dxa"/>
            <w:vAlign w:val="center"/>
          </w:tcPr>
          <w:p>
            <w:pPr>
              <w:pStyle w:val="58"/>
            </w:pPr>
            <w:r>
              <w:t>投标文件份数</w:t>
            </w:r>
          </w:p>
        </w:tc>
        <w:tc>
          <w:tcPr>
            <w:tcW w:w="5880" w:type="dxa"/>
            <w:vAlign w:val="center"/>
          </w:tcPr>
          <w:p>
            <w:pPr>
              <w:pStyle w:val="58"/>
            </w:pPr>
            <w:r>
              <w:t>投标文件中</w:t>
            </w:r>
            <w:r>
              <w:rPr>
                <w:rFonts w:hint="eastAsia"/>
              </w:rPr>
              <w:t>：</w:t>
            </w:r>
            <w:r>
              <w:t>资格文件正副本各</w:t>
            </w:r>
            <w:r>
              <w:rPr>
                <w:rFonts w:hint="eastAsia"/>
              </w:rPr>
              <w:t>1份，其余文件</w:t>
            </w:r>
            <w:r>
              <w:t>正本1份，副本6份、单独密封的开标一览表</w:t>
            </w:r>
            <w:r>
              <w:rPr>
                <w:rFonts w:hint="eastAsia"/>
              </w:rPr>
              <w:t>1份</w:t>
            </w:r>
            <w:r>
              <w:t>、电子文档1份。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pPr>
          </w:p>
        </w:tc>
        <w:tc>
          <w:tcPr>
            <w:tcW w:w="2415" w:type="dxa"/>
            <w:vAlign w:val="center"/>
          </w:tcPr>
          <w:p>
            <w:pPr>
              <w:pStyle w:val="58"/>
            </w:pPr>
            <w:r>
              <w:t>节能环保要求</w:t>
            </w:r>
          </w:p>
        </w:tc>
        <w:tc>
          <w:tcPr>
            <w:tcW w:w="5880" w:type="dxa"/>
            <w:vAlign w:val="center"/>
          </w:tcPr>
          <w:p>
            <w:pPr>
              <w:pStyle w:val="58"/>
            </w:pPr>
            <w:r>
              <w:t>按照国家节能环保政策执行。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64"/>
              <w:numPr>
                <w:ilvl w:val="0"/>
                <w:numId w:val="1"/>
              </w:numPr>
              <w:spacing w:line="400" w:lineRule="exact"/>
              <w:ind w:firstLineChars="0"/>
              <w:jc w:val="center"/>
            </w:pPr>
          </w:p>
        </w:tc>
        <w:tc>
          <w:tcPr>
            <w:tcW w:w="2415" w:type="dxa"/>
            <w:vAlign w:val="center"/>
          </w:tcPr>
          <w:p>
            <w:pPr>
              <w:pStyle w:val="58"/>
            </w:pPr>
            <w:r>
              <w:t>其他事项</w:t>
            </w:r>
          </w:p>
        </w:tc>
        <w:tc>
          <w:tcPr>
            <w:tcW w:w="5880" w:type="dxa"/>
            <w:vAlign w:val="center"/>
          </w:tcPr>
          <w:p>
            <w:pPr>
              <w:pStyle w:val="58"/>
            </w:pPr>
            <w:r>
              <w:t>1、本项目预算人民币60万元</w:t>
            </w:r>
            <w:r>
              <w:rPr>
                <w:rFonts w:hint="eastAsia"/>
              </w:rPr>
              <w:t>（人民币</w:t>
            </w:r>
            <w:r>
              <w:t>陆拾万</w:t>
            </w:r>
            <w:r>
              <w:rPr>
                <w:rFonts w:hint="eastAsia"/>
              </w:rPr>
              <w:t>元整）</w:t>
            </w:r>
            <w:r>
              <w:t>，超过此预算上限的投标将被拒绝</w:t>
            </w:r>
            <w:r>
              <w:rPr>
                <w:rFonts w:hint="eastAsia"/>
              </w:rPr>
              <w:t>；</w:t>
            </w:r>
          </w:p>
          <w:p>
            <w:pPr>
              <w:pStyle w:val="58"/>
            </w:pPr>
            <w:r>
              <w:t>2、评审工作要符合《财政部关于进一步规范政府采购评审工作有关问题的通知》（财库【2012】69号）</w:t>
            </w:r>
            <w:r>
              <w:rPr>
                <w:rFonts w:hint="eastAsia"/>
              </w:rPr>
              <w:t>；</w:t>
            </w:r>
          </w:p>
          <w:p>
            <w:pPr>
              <w:pStyle w:val="58"/>
            </w:pPr>
            <w:r>
              <w:rPr>
                <w:rFonts w:hint="eastAsia"/>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bl>
    <w:p>
      <w:pPr>
        <w:pStyle w:val="58"/>
      </w:pPr>
    </w:p>
    <w:p>
      <w:pPr>
        <w:pStyle w:val="58"/>
      </w:pPr>
      <w:r>
        <w:t>注：</w:t>
      </w:r>
    </w:p>
    <w:p>
      <w:pPr>
        <w:pStyle w:val="58"/>
      </w:pPr>
      <w:r>
        <w:t>1</w:t>
      </w:r>
      <w:r>
        <w:rPr>
          <w:rFonts w:hint="eastAsia"/>
        </w:rPr>
        <w:t>、</w:t>
      </w:r>
      <w:r>
        <w:t>本表中加*项目若有实质性修改或非实质性响应，将导致响应被拒绝且不允许在响应截止后补正</w:t>
      </w:r>
      <w:r>
        <w:rPr>
          <w:rFonts w:hint="eastAsia"/>
        </w:rPr>
        <w:t>，</w:t>
      </w:r>
      <w:r>
        <w:t>请各位投标人务必按照招标文件要求准备投标文件</w:t>
      </w:r>
      <w:r>
        <w:rPr>
          <w:rFonts w:hint="eastAsia"/>
        </w:rPr>
        <w:t>。</w:t>
      </w:r>
    </w:p>
    <w:p>
      <w:pPr>
        <w:pStyle w:val="58"/>
      </w:pPr>
      <w:r>
        <w:t>2</w:t>
      </w:r>
      <w:r>
        <w:rPr>
          <w:rFonts w:hint="eastAsia"/>
        </w:rPr>
        <w:t>、</w:t>
      </w:r>
      <w:r>
        <w:t>本表内容若与招标文件其他部分的内容不一致，以本表内容为准。</w:t>
      </w:r>
    </w:p>
    <w:p>
      <w:pPr>
        <w:widowControl/>
        <w:jc w:val="left"/>
        <w:rPr>
          <w:rFonts w:ascii="Arial" w:hAnsi="Arial" w:eastAsia="黑体"/>
          <w:bCs/>
          <w:sz w:val="32"/>
          <w:szCs w:val="32"/>
        </w:rPr>
      </w:pPr>
      <w:bookmarkStart w:id="41" w:name="_Toc86202581"/>
      <w:r>
        <w:rPr>
          <w:rFonts w:hint="eastAsia"/>
        </w:rPr>
        <w:br w:type="page"/>
      </w:r>
    </w:p>
    <w:p>
      <w:pPr>
        <w:pStyle w:val="3"/>
        <w:spacing w:line="415" w:lineRule="auto"/>
        <w:ind w:left="420" w:hanging="420"/>
        <w:jc w:val="center"/>
        <w:rPr>
          <w:rFonts w:ascii="Times New Roman" w:hAnsi="Times New Roman" w:eastAsiaTheme="majorEastAsia"/>
        </w:rPr>
      </w:pPr>
      <w:bookmarkStart w:id="42" w:name="_Ref492453760"/>
      <w:bookmarkStart w:id="43" w:name="_Toc524103437"/>
      <w:r>
        <w:rPr>
          <w:rFonts w:hint="eastAsia"/>
          <w:b w:val="0"/>
        </w:rPr>
        <w:t xml:space="preserve">第三部分 </w:t>
      </w:r>
      <w:r>
        <w:rPr>
          <w:rFonts w:hint="eastAsia" w:ascii="Times New Roman" w:hAnsi="Times New Roman" w:eastAsiaTheme="majorEastAsia"/>
        </w:rPr>
        <w:t xml:space="preserve"> 投标人须知</w:t>
      </w:r>
      <w:bookmarkEnd w:id="42"/>
      <w:bookmarkEnd w:id="43"/>
    </w:p>
    <w:p>
      <w:pPr>
        <w:pStyle w:val="4"/>
        <w:numPr>
          <w:ilvl w:val="0"/>
          <w:numId w:val="5"/>
        </w:numPr>
        <w:spacing w:line="415" w:lineRule="auto"/>
        <w:rPr>
          <w:rFonts w:asciiTheme="minorHAnsi" w:hAnsiTheme="minorHAnsi" w:eastAsiaTheme="minorEastAsia" w:cstheme="minorBidi"/>
          <w:sz w:val="28"/>
        </w:rPr>
      </w:pPr>
      <w:bookmarkStart w:id="44" w:name="_Toc524103438"/>
      <w:r>
        <w:rPr>
          <w:rFonts w:hint="eastAsia" w:asciiTheme="minorHAnsi" w:hAnsiTheme="minorHAnsi" w:eastAsiaTheme="minorEastAsia" w:cstheme="minorBidi"/>
          <w:sz w:val="28"/>
        </w:rPr>
        <w:t>总  则</w:t>
      </w:r>
      <w:bookmarkEnd w:id="44"/>
    </w:p>
    <w:p>
      <w:pPr>
        <w:pStyle w:val="58"/>
      </w:pPr>
      <w:r>
        <w:rPr>
          <w:rFonts w:hint="eastAsia"/>
        </w:rPr>
        <w:t>本招标文件适用于本文件第五部分中所述货物、服务的招标投标。</w:t>
      </w:r>
    </w:p>
    <w:p>
      <w:pPr>
        <w:pStyle w:val="5"/>
        <w:numPr>
          <w:ilvl w:val="0"/>
          <w:numId w:val="6"/>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定义：</w:t>
      </w:r>
    </w:p>
    <w:p>
      <w:pPr>
        <w:pStyle w:val="58"/>
      </w:pPr>
      <w:r>
        <w:rPr>
          <w:rFonts w:hint="eastAsia"/>
        </w:rPr>
        <w:t>“采购人”名称详见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_Ref477459818 \r \h</w:instrText>
      </w:r>
      <w:r>
        <w:instrText xml:space="preserve"> </w:instrText>
      </w:r>
      <w:r>
        <w:fldChar w:fldCharType="separate"/>
      </w:r>
      <w:r>
        <w:t>1</w:t>
      </w:r>
      <w:r>
        <w:fldChar w:fldCharType="end"/>
      </w:r>
      <w:r>
        <w:rPr>
          <w:rFonts w:hint="eastAsia"/>
        </w:rPr>
        <w:t>条。</w:t>
      </w:r>
    </w:p>
    <w:p>
      <w:pPr>
        <w:pStyle w:val="58"/>
      </w:pPr>
      <w:r>
        <w:rPr>
          <w:rFonts w:hint="eastAsia"/>
        </w:rPr>
        <w:t>“招标货物”指本招标文件中第五部分所述所有货物、服务。</w:t>
      </w:r>
    </w:p>
    <w:p>
      <w:pPr>
        <w:pStyle w:val="58"/>
      </w:pPr>
      <w:r>
        <w:rPr>
          <w:rFonts w:hint="eastAsia"/>
        </w:rPr>
        <w:t>“</w:t>
      </w:r>
      <w:r>
        <w:t>服务</w:t>
      </w:r>
      <w:r>
        <w:rPr>
          <w:rFonts w:hint="eastAsia"/>
        </w:rPr>
        <w:t>”</w:t>
      </w:r>
      <w:r>
        <w:t>指</w:t>
      </w:r>
      <w:r>
        <w:rPr>
          <w:rFonts w:hint="eastAsia"/>
        </w:rPr>
        <w:t>本招标文件第五部分所述投标人应该履行的</w:t>
      </w:r>
      <w:r>
        <w:t>承诺</w:t>
      </w:r>
      <w:r>
        <w:rPr>
          <w:rFonts w:hint="eastAsia"/>
        </w:rPr>
        <w:t>和</w:t>
      </w:r>
      <w:r>
        <w:t>义务。</w:t>
      </w:r>
    </w:p>
    <w:p>
      <w:pPr>
        <w:pStyle w:val="58"/>
      </w:pPr>
      <w:r>
        <w:rPr>
          <w:rFonts w:hint="eastAsia"/>
        </w:rPr>
        <w:t>“潜在投标人”指符合本招标文件各项规定的合格供应商。</w:t>
      </w:r>
    </w:p>
    <w:p>
      <w:pPr>
        <w:pStyle w:val="58"/>
      </w:pPr>
      <w:r>
        <w:rPr>
          <w:rFonts w:hint="eastAsia"/>
        </w:rPr>
        <w:t>“投标人”指符合本招标文件规定并参加投标的供应商。</w:t>
      </w:r>
    </w:p>
    <w:p>
      <w:pPr>
        <w:pStyle w:val="58"/>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5"/>
        <w:numPr>
          <w:ilvl w:val="0"/>
          <w:numId w:val="6"/>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合格投标人的条件</w:t>
      </w:r>
    </w:p>
    <w:p>
      <w:pPr>
        <w:pStyle w:val="58"/>
      </w:pPr>
      <w:r>
        <w:rPr>
          <w:rFonts w:hint="eastAsia"/>
        </w:rPr>
        <w:t>具有本项目生产、制造、供应或实施能力，符合、承认并承诺履行本招标文件各项规定的国内供应商均可参加投标。</w:t>
      </w:r>
    </w:p>
    <w:p>
      <w:pPr>
        <w:pStyle w:val="58"/>
      </w:pPr>
      <w:r>
        <w:rPr>
          <w:rFonts w:hint="eastAsia"/>
        </w:rPr>
        <w:t>投标人应遵守有关的国家法律、法规和条例，具备《中华人民共和国政府采购法》和本招标文件中规定的条件：</w:t>
      </w:r>
    </w:p>
    <w:p>
      <w:pPr>
        <w:pStyle w:val="58"/>
      </w:pPr>
      <w:r>
        <w:rPr>
          <w:rFonts w:hint="eastAsia"/>
        </w:rPr>
        <w:t>具有独立承担民事责任的能力；</w:t>
      </w:r>
    </w:p>
    <w:p>
      <w:pPr>
        <w:pStyle w:val="58"/>
      </w:pPr>
      <w:r>
        <w:rPr>
          <w:rFonts w:hint="eastAsia"/>
        </w:rPr>
        <w:t>具有良好的商业信誉和健全的财务会计制度；</w:t>
      </w:r>
    </w:p>
    <w:p>
      <w:pPr>
        <w:pStyle w:val="58"/>
      </w:pPr>
      <w:r>
        <w:rPr>
          <w:rFonts w:hint="eastAsia"/>
        </w:rPr>
        <w:t>具有履行合同所必需的设备和专业技术能力；</w:t>
      </w:r>
    </w:p>
    <w:p>
      <w:pPr>
        <w:pStyle w:val="58"/>
      </w:pPr>
      <w:r>
        <w:rPr>
          <w:rFonts w:hint="eastAsia"/>
        </w:rPr>
        <w:t>具有依法缴纳税收和社会保障资金的良好记录；</w:t>
      </w:r>
    </w:p>
    <w:p>
      <w:pPr>
        <w:pStyle w:val="58"/>
      </w:pPr>
      <w:r>
        <w:rPr>
          <w:rFonts w:hint="eastAsia"/>
        </w:rPr>
        <w:t>参加此项采购活动前三年内，在经营活动中没有重大违法记录；</w:t>
      </w:r>
    </w:p>
    <w:p>
      <w:pPr>
        <w:pStyle w:val="58"/>
      </w:pPr>
      <w:r>
        <w:rPr>
          <w:rFonts w:hint="eastAsia"/>
        </w:rPr>
        <w:t>具有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_Ref477459854 \r \h</w:instrText>
      </w:r>
      <w:r>
        <w:instrText xml:space="preserve"> </w:instrText>
      </w:r>
      <w:r>
        <w:fldChar w:fldCharType="separate"/>
      </w:r>
      <w:r>
        <w:t>2</w:t>
      </w:r>
      <w:r>
        <w:fldChar w:fldCharType="end"/>
      </w:r>
      <w:r>
        <w:t>条</w:t>
      </w:r>
      <w:r>
        <w:rPr>
          <w:rFonts w:hint="eastAsia"/>
        </w:rPr>
        <w:t>规定的资质条件。</w:t>
      </w:r>
    </w:p>
    <w:p>
      <w:pPr>
        <w:pStyle w:val="58"/>
      </w:pPr>
      <w:r>
        <w:rPr>
          <w:rFonts w:hint="eastAsia"/>
        </w:rPr>
        <w:t>本次招标是否允许代理商（投标人提供的货物不是自己制造的，下同）投标，以及多家代理商参加同一品牌产品投标的处理规则详见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w:t>
      </w:r>
      <w:r>
        <w:fldChar w:fldCharType="begin"/>
      </w:r>
      <w:r>
        <w:instrText xml:space="preserve"> </w:instrText>
      </w:r>
      <w:r>
        <w:rPr>
          <w:rFonts w:hint="eastAsia"/>
        </w:rPr>
        <w:instrText xml:space="preserve">REF _Ref477459862 \r \h</w:instrText>
      </w:r>
      <w:r>
        <w:instrText xml:space="preserve"> </w:instrText>
      </w:r>
      <w:r>
        <w:fldChar w:fldCharType="separate"/>
      </w:r>
      <w:r>
        <w:t>3</w:t>
      </w:r>
      <w:r>
        <w:fldChar w:fldCharType="end"/>
      </w:r>
      <w:r>
        <w:rPr>
          <w:rFonts w:hint="eastAsia"/>
        </w:rPr>
        <w:t>、4条。具有法人资格且与其他法人具有控股关联关系的投标人的特别规则如下：</w:t>
      </w:r>
    </w:p>
    <w:p>
      <w:pPr>
        <w:pStyle w:val="58"/>
      </w:pPr>
      <w:r>
        <w:rPr>
          <w:rFonts w:hint="eastAsia"/>
        </w:rPr>
        <w:t>同一集团、总公司或母公司等，连同其下属的全资子公司或（持股50</w:t>
      </w:r>
      <w:r>
        <w:t>%</w:t>
      </w:r>
      <w:r>
        <w:rPr>
          <w:rFonts w:hint="eastAsia"/>
        </w:rPr>
        <w:t>以上的）绝对控股子公司等（非控股子公司除外），只能由一家参加同一分包的投标，否则评标委员会有权视情况决定是否允许其自行决定撤回部分投标人只保留其中一家，或径行决定对该集团、总公司、母公司等连同其下属子公司一并拒绝。</w:t>
      </w:r>
    </w:p>
    <w:p>
      <w:pPr>
        <w:pStyle w:val="58"/>
      </w:pPr>
      <w:r>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pPr>
        <w:pStyle w:val="58"/>
      </w:pPr>
      <w:r>
        <w:rPr>
          <w:rFonts w:hint="eastAsia"/>
        </w:rPr>
        <w:t>凡直接投资参股、代建、管理货物采购人的法人，不得在工程项目招标中提出资格预审申请，但其具有独立法人资格的关联企业可以参加工程的投标。</w:t>
      </w:r>
    </w:p>
    <w:p>
      <w:pPr>
        <w:pStyle w:val="58"/>
      </w:pPr>
      <w:r>
        <w:rPr>
          <w:rFonts w:hint="eastAsia"/>
        </w:rPr>
        <w:t>根据《</w:t>
      </w:r>
      <w:r>
        <w:t>财政部关于信息系统建设</w:t>
      </w:r>
      <w:r>
        <w:fldChar w:fldCharType="begin"/>
      </w:r>
      <w:r>
        <w:instrText xml:space="preserve"> HYPERLINK "javascript:;" </w:instrText>
      </w:r>
      <w:r>
        <w:fldChar w:fldCharType="separate"/>
      </w:r>
      <w:r>
        <w:t>项目</w:t>
      </w:r>
      <w:r>
        <w:fldChar w:fldCharType="end"/>
      </w:r>
      <w:r>
        <w:t>采购有</w:t>
      </w:r>
      <w:r>
        <w:rPr>
          <w:rFonts w:hint="eastAsia"/>
        </w:rPr>
        <w:t>关问题的通知》（财库2011【59】号）的要求，</w:t>
      </w:r>
      <w:r>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pPr>
        <w:pStyle w:val="58"/>
      </w:pPr>
      <w:r>
        <w:rPr>
          <w:rFonts w:hint="eastAsia"/>
        </w:rPr>
        <w:t>本次招标是否允许</w:t>
      </w:r>
      <w:r>
        <w:t>由</w:t>
      </w:r>
      <w:r>
        <w:rPr>
          <w:rFonts w:hint="eastAsia"/>
        </w:rPr>
        <w:t>两个以上投标人组成一个联合体以一个投标人身份共同投标，详见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第5条。如果允许联合体投标，联合体各方除符合上述规定外，还应符合下列要求</w:t>
      </w:r>
    </w:p>
    <w:p>
      <w:pPr>
        <w:pStyle w:val="58"/>
      </w:pPr>
      <w:r>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pStyle w:val="58"/>
      </w:pPr>
      <w:r>
        <w:rPr>
          <w:rFonts w:hint="eastAsia"/>
        </w:rPr>
        <w:t>联合体各方中至少应当有一方对应满足本项目规定的相应资质条件，并且联合体投标人整体应当符合本项目的资质要求，否则，其提交的联合投标将被拒绝。</w:t>
      </w:r>
    </w:p>
    <w:p>
      <w:pPr>
        <w:pStyle w:val="58"/>
      </w:pPr>
      <w:r>
        <w:rPr>
          <w:rFonts w:hint="eastAsia"/>
        </w:rPr>
        <w:t>由不同专业的投标人组成的联合体, 首先以投标的全权代表方的应答材料作为认定资质以及商务评审的依据;涉及行业专属的资质,按照所属行业所对应的投标人的应答材料确定。</w:t>
      </w:r>
    </w:p>
    <w:p>
      <w:pPr>
        <w:pStyle w:val="58"/>
      </w:pPr>
      <w:r>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pPr>
        <w:pStyle w:val="58"/>
      </w:pPr>
      <w:r>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均并不因此被减免。</w:t>
      </w:r>
    </w:p>
    <w:p>
      <w:pPr>
        <w:pStyle w:val="58"/>
      </w:pPr>
      <w:r>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pPr>
        <w:pStyle w:val="58"/>
      </w:pPr>
      <w:r>
        <w:rPr>
          <w:rFonts w:hint="eastAsia"/>
        </w:rPr>
        <w:t>联合体各方均不得同时再以自己独立的名义单独投标，也不得再同时参加其他的联合体投标。若该等情形被发现，其单独的投标和与此有关的联合体的投标均将被一并拒绝。</w:t>
      </w:r>
    </w:p>
    <w:p>
      <w:pPr>
        <w:pStyle w:val="58"/>
      </w:pPr>
      <w:r>
        <w:rPr>
          <w:rFonts w:hint="eastAsia"/>
        </w:rPr>
        <w:t>投标人领取招标文件时应登记备案；招标文件从网上下载的，应按照要求在网上进行登记。</w:t>
      </w:r>
    </w:p>
    <w:p>
      <w:pPr>
        <w:pStyle w:val="58"/>
      </w:pPr>
      <w:r>
        <w:rPr>
          <w:rFonts w:hint="eastAsia"/>
        </w:rPr>
        <w:t>投标人代表递交投标文件时，须持有按招标文件格式填写的《法定代表人授权委托书》原件 （ 投标人代表不是法定代表人的），并出示身份证，否则投标将被拒绝。</w:t>
      </w:r>
    </w:p>
    <w:p>
      <w:pPr>
        <w:pStyle w:val="5"/>
        <w:numPr>
          <w:ilvl w:val="0"/>
          <w:numId w:val="6"/>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投标费用</w:t>
      </w:r>
    </w:p>
    <w:p>
      <w:pPr>
        <w:pStyle w:val="58"/>
      </w:pPr>
      <w:r>
        <w:rPr>
          <w:rFonts w:hint="eastAsia"/>
        </w:rPr>
        <w:t>投标人应承担所有与准备和参加投标有关的费用，采购人在任何情况下均无义务和责任承担这些费用。</w:t>
      </w:r>
    </w:p>
    <w:p>
      <w:pPr>
        <w:pStyle w:val="5"/>
        <w:numPr>
          <w:ilvl w:val="0"/>
          <w:numId w:val="6"/>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信息发布</w:t>
      </w:r>
    </w:p>
    <w:p>
      <w:pPr>
        <w:pStyle w:val="58"/>
      </w:pPr>
      <w:r>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pPr>
        <w:pStyle w:val="4"/>
        <w:numPr>
          <w:ilvl w:val="0"/>
          <w:numId w:val="5"/>
        </w:numPr>
        <w:spacing w:line="415" w:lineRule="auto"/>
        <w:rPr>
          <w:rFonts w:asciiTheme="minorHAnsi" w:hAnsiTheme="minorHAnsi" w:eastAsiaTheme="minorEastAsia" w:cstheme="minorBidi"/>
        </w:rPr>
      </w:pPr>
      <w:bookmarkStart w:id="45" w:name="_Toc524103439"/>
      <w:r>
        <w:rPr>
          <w:rFonts w:hint="eastAsia" w:asciiTheme="minorHAnsi" w:hAnsiTheme="minorHAnsi" w:eastAsiaTheme="minorEastAsia" w:cstheme="minorBidi"/>
        </w:rPr>
        <w:t>招标文件</w:t>
      </w:r>
      <w:bookmarkEnd w:id="45"/>
    </w:p>
    <w:p>
      <w:pPr>
        <w:pStyle w:val="5"/>
        <w:numPr>
          <w:ilvl w:val="0"/>
          <w:numId w:val="7"/>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招标文件</w:t>
      </w:r>
    </w:p>
    <w:p>
      <w:pPr>
        <w:pStyle w:val="58"/>
      </w:pPr>
      <w:r>
        <w:rPr>
          <w:rFonts w:hint="eastAsia"/>
        </w:rPr>
        <w:t>招标文件由下列六部分内容组成：</w:t>
      </w:r>
    </w:p>
    <w:p>
      <w:pPr>
        <w:pStyle w:val="58"/>
      </w:pPr>
      <w:r>
        <w:fldChar w:fldCharType="begin"/>
      </w:r>
      <w:r>
        <w:instrText xml:space="preserve"> </w:instrText>
      </w:r>
      <w:r>
        <w:rPr>
          <w:rFonts w:hint="eastAsia"/>
        </w:rPr>
        <w:instrText xml:space="preserve">REF _Ref492453757 \h</w:instrText>
      </w:r>
      <w:r>
        <w:instrText xml:space="preserve"> </w:instrText>
      </w:r>
      <w:r>
        <w:fldChar w:fldCharType="separate"/>
      </w:r>
      <w:r>
        <w:rPr>
          <w:rFonts w:ascii="Times New Roman" w:hAnsi="Times New Roman" w:eastAsiaTheme="majorEastAsia"/>
        </w:rPr>
        <w:t>第一部分</w:t>
      </w:r>
      <w:r>
        <w:rPr>
          <w:rFonts w:hint="eastAsia" w:ascii="Times New Roman" w:hAnsi="Times New Roman" w:eastAsiaTheme="majorEastAsia"/>
        </w:rPr>
        <w:t xml:space="preserve"> </w:t>
      </w:r>
      <w:r>
        <w:rPr>
          <w:rFonts w:ascii="Times New Roman" w:hAnsi="Times New Roman" w:eastAsiaTheme="majorEastAsia"/>
        </w:rPr>
        <w:t xml:space="preserve"> </w:t>
      </w:r>
      <w:r>
        <w:rPr>
          <w:rFonts w:hint="eastAsia" w:ascii="Times New Roman" w:hAnsi="Times New Roman" w:eastAsiaTheme="majorEastAsia"/>
        </w:rPr>
        <w:t>投标邀请</w:t>
      </w:r>
      <w:r>
        <w:fldChar w:fldCharType="end"/>
      </w:r>
      <w:r>
        <w:rPr>
          <w:rFonts w:hint="eastAsia"/>
        </w:rPr>
        <w:t>；</w:t>
      </w:r>
    </w:p>
    <w:p>
      <w:pPr>
        <w:pStyle w:val="58"/>
      </w:pPr>
      <w:r>
        <w:fldChar w:fldCharType="begin"/>
      </w:r>
      <w:r>
        <w:instrText xml:space="preserve"> REF _Ref492453758 \h </w:instrText>
      </w:r>
      <w:r>
        <w:fldChar w:fldCharType="separate"/>
      </w:r>
      <w:r>
        <w:rPr>
          <w:rFonts w:hint="eastAsia" w:ascii="Times New Roman" w:hAnsi="Times New Roman" w:eastAsiaTheme="majorEastAsia"/>
        </w:rPr>
        <w:t>第二部分  投标人须知前附表</w:t>
      </w:r>
      <w:r>
        <w:fldChar w:fldCharType="end"/>
      </w:r>
      <w:r>
        <w:rPr>
          <w:rFonts w:hint="eastAsia"/>
        </w:rPr>
        <w:t>；</w:t>
      </w:r>
    </w:p>
    <w:p>
      <w:pPr>
        <w:pStyle w:val="58"/>
      </w:pPr>
      <w:r>
        <w:fldChar w:fldCharType="begin"/>
      </w:r>
      <w:r>
        <w:instrText xml:space="preserve"> REF _Ref492453760 \h </w:instrText>
      </w:r>
      <w:r>
        <w:fldChar w:fldCharType="separate"/>
      </w:r>
      <w:r>
        <w:rPr>
          <w:rFonts w:hint="eastAsia"/>
        </w:rPr>
        <w:t xml:space="preserve">第三部分 </w:t>
      </w:r>
      <w:r>
        <w:rPr>
          <w:rFonts w:hint="eastAsia" w:ascii="Times New Roman" w:hAnsi="Times New Roman" w:eastAsiaTheme="majorEastAsia"/>
        </w:rPr>
        <w:t xml:space="preserve"> 投标人须知</w:t>
      </w:r>
      <w:r>
        <w:fldChar w:fldCharType="end"/>
      </w:r>
      <w:r>
        <w:rPr>
          <w:rFonts w:hint="eastAsia"/>
        </w:rPr>
        <w:t>；</w:t>
      </w:r>
    </w:p>
    <w:p>
      <w:pPr>
        <w:pStyle w:val="58"/>
      </w:pPr>
      <w:r>
        <w:fldChar w:fldCharType="begin"/>
      </w:r>
      <w:r>
        <w:instrText xml:space="preserve"> REF _Ref492453764 \h </w:instrText>
      </w:r>
      <w:r>
        <w:fldChar w:fldCharType="separate"/>
      </w:r>
      <w:r>
        <w:rPr>
          <w:rFonts w:hint="eastAsia" w:ascii="Times New Roman" w:hAnsi="Times New Roman" w:eastAsiaTheme="majorEastAsia"/>
        </w:rPr>
        <w:t>第四部分  评标标准和评标办法</w:t>
      </w:r>
      <w:r>
        <w:fldChar w:fldCharType="end"/>
      </w:r>
      <w:r>
        <w:rPr>
          <w:rFonts w:hint="eastAsia"/>
        </w:rPr>
        <w:t>；</w:t>
      </w:r>
    </w:p>
    <w:p>
      <w:pPr>
        <w:pStyle w:val="58"/>
      </w:pPr>
      <w:r>
        <w:fldChar w:fldCharType="begin"/>
      </w:r>
      <w:r>
        <w:instrText xml:space="preserve"> REF _Ref492453765 \h </w:instrText>
      </w:r>
      <w:r>
        <w:fldChar w:fldCharType="separate"/>
      </w:r>
      <w:r>
        <w:rPr>
          <w:rFonts w:hint="eastAsia" w:ascii="Times New Roman" w:hAnsi="Times New Roman" w:eastAsiaTheme="majorEastAsia"/>
        </w:rPr>
        <w:t>第五部分  招标货物、服务的清单、质量要求和供货</w:t>
      </w:r>
      <w:r>
        <w:fldChar w:fldCharType="end"/>
      </w:r>
      <w:r>
        <w:rPr>
          <w:rFonts w:hint="eastAsia"/>
        </w:rPr>
        <w:t>；</w:t>
      </w:r>
    </w:p>
    <w:p>
      <w:pPr>
        <w:pStyle w:val="58"/>
      </w:pPr>
      <w:r>
        <w:fldChar w:fldCharType="begin"/>
      </w:r>
      <w:r>
        <w:instrText xml:space="preserve"> </w:instrText>
      </w:r>
      <w:r>
        <w:rPr>
          <w:rFonts w:hint="eastAsia"/>
        </w:rPr>
        <w:instrText xml:space="preserve">REF _Ref508645948 \h</w:instrText>
      </w:r>
      <w:r>
        <w:instrText xml:space="preserve"> </w:instrText>
      </w:r>
      <w:r>
        <w:fldChar w:fldCharType="separate"/>
      </w:r>
      <w:r>
        <w:rPr>
          <w:rFonts w:hint="eastAsia" w:ascii="Times New Roman" w:hAnsi="Times New Roman" w:eastAsiaTheme="majorEastAsia"/>
        </w:rPr>
        <w:t>第六部分  拟签订的合同文本</w:t>
      </w:r>
      <w:r>
        <w:fldChar w:fldCharType="end"/>
      </w:r>
    </w:p>
    <w:p>
      <w:pPr>
        <w:pStyle w:val="58"/>
      </w:pPr>
      <w:r>
        <w:fldChar w:fldCharType="begin"/>
      </w:r>
      <w:r>
        <w:instrText xml:space="preserve"> REF _Ref492453766 \h </w:instrText>
      </w:r>
      <w:r>
        <w:fldChar w:fldCharType="separate"/>
      </w:r>
      <w:r>
        <w:rPr>
          <w:rFonts w:hint="eastAsia" w:ascii="Times New Roman" w:hAnsi="Times New Roman" w:eastAsiaTheme="majorEastAsia"/>
        </w:rPr>
        <w:t>第七部分  投标文件格式</w:t>
      </w:r>
      <w:r>
        <w:fldChar w:fldCharType="end"/>
      </w:r>
    </w:p>
    <w:p>
      <w:pPr>
        <w:pStyle w:val="5"/>
        <w:numPr>
          <w:ilvl w:val="0"/>
          <w:numId w:val="7"/>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投标前招标文件的澄清和修改</w:t>
      </w:r>
    </w:p>
    <w:p>
      <w:pPr>
        <w:pStyle w:val="58"/>
      </w:pPr>
      <w:r>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pPr>
        <w:pStyle w:val="58"/>
      </w:pPr>
      <w:r>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pPr>
        <w:pStyle w:val="58"/>
      </w:pPr>
      <w:r>
        <w:rPr>
          <w:rFonts w:hint="eastAsia"/>
        </w:rPr>
        <w:t>采购人主动进行的澄清、修改：采购人无论出于何种原因，均可主动对招标文件中的相关事项，用补充文件的方式进行澄清和修改。</w:t>
      </w:r>
    </w:p>
    <w:p>
      <w:pPr>
        <w:pStyle w:val="58"/>
      </w:pPr>
      <w:r>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pPr>
        <w:pStyle w:val="58"/>
      </w:pPr>
      <w:r>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pPr>
        <w:pStyle w:val="58"/>
      </w:pPr>
      <w:r>
        <w:rPr>
          <w:rFonts w:hint="eastAsia"/>
        </w:rPr>
        <w:t>采购人将视情况确定是否有必要召开标前会。如果召开标前会，采购人将向所有已通过公告等方式领取或下载了招标文件的潜在投标人发出通知。</w:t>
      </w:r>
    </w:p>
    <w:p>
      <w:pPr>
        <w:pStyle w:val="4"/>
        <w:numPr>
          <w:ilvl w:val="0"/>
          <w:numId w:val="5"/>
        </w:numPr>
        <w:spacing w:line="415" w:lineRule="auto"/>
        <w:rPr>
          <w:rFonts w:asciiTheme="minorHAnsi" w:hAnsiTheme="minorHAnsi" w:eastAsiaTheme="minorEastAsia" w:cstheme="minorBidi"/>
        </w:rPr>
      </w:pPr>
      <w:bookmarkStart w:id="46" w:name="_Toc524103440"/>
      <w:r>
        <w:rPr>
          <w:rFonts w:hint="eastAsia" w:asciiTheme="minorHAnsi" w:hAnsiTheme="minorHAnsi" w:eastAsiaTheme="minorEastAsia" w:cstheme="minorBidi"/>
        </w:rPr>
        <w:t>投标文件</w:t>
      </w:r>
      <w:bookmarkEnd w:id="46"/>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投标文件的语言和计量单位</w:t>
      </w:r>
    </w:p>
    <w:p>
      <w:pPr>
        <w:pStyle w:val="58"/>
      </w:pPr>
      <w:r>
        <w:rPr>
          <w:rFonts w:hint="eastAsia"/>
        </w:rPr>
        <w:t>投标人提交的投标文件（包括技术文件和资料、图纸中的说明）以及投标人与采购人就有关投标的所有来往函电均应使用中文简体字。</w:t>
      </w:r>
    </w:p>
    <w:p>
      <w:pPr>
        <w:pStyle w:val="58"/>
      </w:pPr>
      <w:r>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pStyle w:val="58"/>
      </w:pPr>
      <w:r>
        <w:rPr>
          <w:rFonts w:hint="eastAsia"/>
        </w:rPr>
        <w:t>原版为外文的证书类、证明类文件，与投标人名称或其它实际情况不符的，投标人应当提供相关证明文件。</w:t>
      </w:r>
    </w:p>
    <w:p>
      <w:pPr>
        <w:pStyle w:val="58"/>
      </w:pPr>
      <w:r>
        <w:rPr>
          <w:rFonts w:hint="eastAsia"/>
        </w:rPr>
        <w:t>投标文件所使用的计量单位，应使用国家法定计量单位。</w:t>
      </w:r>
    </w:p>
    <w:p>
      <w:pPr>
        <w:pStyle w:val="58"/>
      </w:pPr>
      <w:r>
        <w:rPr>
          <w:rFonts w:hint="eastAsia"/>
        </w:rPr>
        <w:t>对违反上述规定情形的，评标委员会有权要求投标人限期提供相应文件或决定对其投标予以拒绝。</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投标文件的组成及相关要求</w:t>
      </w:r>
    </w:p>
    <w:p>
      <w:pPr>
        <w:pStyle w:val="58"/>
      </w:pPr>
      <w:r>
        <w:rPr>
          <w:rFonts w:hint="eastAsia"/>
        </w:rPr>
        <w:t>投标文件分为资格文件、商务部分和技术部分。</w:t>
      </w:r>
    </w:p>
    <w:p>
      <w:pPr>
        <w:pStyle w:val="58"/>
      </w:pPr>
      <w:r>
        <w:t>资格文件</w:t>
      </w:r>
      <w:r>
        <w:rPr>
          <w:rFonts w:hint="eastAsia"/>
        </w:rPr>
        <w:t>指投标人证明其具备投标资格条件的相关文件。</w:t>
      </w:r>
    </w:p>
    <w:p>
      <w:pPr>
        <w:pStyle w:val="58"/>
      </w:pPr>
      <w:r>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第6</w:t>
      </w:r>
      <w:r>
        <w:t>条</w:t>
      </w:r>
      <w:r>
        <w:rPr>
          <w:rFonts w:hint="eastAsia"/>
        </w:rPr>
        <w:t>、</w:t>
      </w:r>
      <w:r>
        <w:t>第</w:t>
      </w:r>
      <w:r>
        <w:rPr>
          <w:rFonts w:hint="eastAsia"/>
        </w:rPr>
        <w:t>7</w:t>
      </w:r>
      <w:r>
        <w:t>条</w:t>
      </w:r>
      <w:r>
        <w:rPr>
          <w:rFonts w:hint="eastAsia"/>
        </w:rPr>
        <w:t>、第8条规定提交商务文件、技术文件和需要投标人自行编写的其他文件，其中加</w:t>
      </w:r>
      <w:r>
        <w:t>*</w:t>
      </w:r>
      <w:r>
        <w:rPr>
          <w:rFonts w:hint="eastAsia"/>
        </w:rPr>
        <w:t>项目若有缺失或无效，将导致投标被拒绝且不允许在开标后补正（具体填写要求详见招标文件第七部分投标文件格式）。</w:t>
      </w:r>
    </w:p>
    <w:p>
      <w:pPr>
        <w:pStyle w:val="58"/>
      </w:pPr>
      <w:r>
        <w:rPr>
          <w:rFonts w:hint="eastAsia"/>
        </w:rPr>
        <w:t>投标文件规格幅面（A4）应与正文一致，使用宋体五号字，按照招标文件第七部分投标文件格式规定的顺序，统一编目编码装订。可以正反面打印标书。由于编排混乱导致投标文件被误读或查找不到，其责任应当由投标人承担。</w:t>
      </w:r>
      <w:r>
        <w:rPr>
          <w:b/>
        </w:rPr>
        <w:t>响应文件的装订必须采用胶订或线订形式，</w:t>
      </w:r>
      <w:r>
        <w:rPr>
          <w:rFonts w:hint="eastAsia"/>
          <w:b/>
        </w:rPr>
        <w:t>不得采用活页装订，否则，投标将被拒绝。</w:t>
      </w:r>
    </w:p>
    <w:p>
      <w:pPr>
        <w:pStyle w:val="58"/>
      </w:pPr>
      <w:r>
        <w:t>响应文件正副本的书脊位置需按照竖版方式打印以下内容：“项目编号”、“项目名称”、“公司名称”。</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投标保证金</w:t>
      </w:r>
    </w:p>
    <w:p>
      <w:pPr>
        <w:pStyle w:val="58"/>
      </w:pPr>
      <w:r>
        <w:t>关于投标保证金的递交</w:t>
      </w:r>
      <w:r>
        <w:rPr>
          <w:rFonts w:hint="eastAsia"/>
        </w:rPr>
        <w:t>：</w:t>
      </w:r>
    </w:p>
    <w:p>
      <w:pPr>
        <w:pStyle w:val="58"/>
      </w:pPr>
      <w:r>
        <w:t>投标人应提供的投标保证金额详见</w:t>
      </w:r>
      <w:r>
        <w:fldChar w:fldCharType="begin"/>
      </w:r>
      <w:r>
        <w:instrText xml:space="preserve"> REF _Ref492453975 \h </w:instrText>
      </w:r>
      <w:r>
        <w:fldChar w:fldCharType="separate"/>
      </w:r>
      <w:r>
        <w:rPr>
          <w:rFonts w:hint="eastAsia" w:ascii="Times New Roman" w:hAnsi="Times New Roman" w:eastAsiaTheme="majorEastAsia"/>
        </w:rPr>
        <w:t>第二部分  投标人须知前附表</w:t>
      </w:r>
      <w:r>
        <w:fldChar w:fldCharType="end"/>
      </w:r>
      <w:r>
        <w:t>；</w:t>
      </w:r>
    </w:p>
    <w:p>
      <w:pPr>
        <w:pStyle w:val="58"/>
      </w:pPr>
      <w:r>
        <w:t>投标保证金必须采用电汇形式。</w:t>
      </w:r>
    </w:p>
    <w:p>
      <w:pPr>
        <w:pStyle w:val="58"/>
      </w:pPr>
      <w:r>
        <w:t>单位名称：中央财经大学；</w:t>
      </w:r>
    </w:p>
    <w:p>
      <w:pPr>
        <w:pStyle w:val="58"/>
      </w:pPr>
      <w:r>
        <w:t>开户银行：工商银行北京新街口支行；</w:t>
      </w:r>
    </w:p>
    <w:p>
      <w:pPr>
        <w:pStyle w:val="58"/>
      </w:pPr>
      <w:r>
        <w:t>开户账号：0200002909089002159；</w:t>
      </w:r>
    </w:p>
    <w:p>
      <w:pPr>
        <w:pStyle w:val="58"/>
      </w:pPr>
      <w:r>
        <w:t>投标人的投标保证金须在汇款单上注明采购项目名称、采购项目编号，并在响应截止前办理向采购人上述指定帐户汇款的手续</w:t>
      </w:r>
      <w:r>
        <w:rPr>
          <w:rFonts w:hint="eastAsia"/>
        </w:rPr>
        <w:t>。</w:t>
      </w:r>
    </w:p>
    <w:p>
      <w:pPr>
        <w:pStyle w:val="58"/>
      </w:pPr>
      <w:r>
        <w:rPr>
          <w:rFonts w:hint="eastAsia"/>
        </w:rPr>
        <w:t>投标人请在递交投标文件前凭借银行开具的汇款凭证及联系人、联系方式（手机号），具体格式见“</w:t>
      </w:r>
      <w:r>
        <w:fldChar w:fldCharType="begin"/>
      </w:r>
      <w:r>
        <w:instrText xml:space="preserve"> REF _Ref524102681 \r \h  \* MERGEFORMAT </w:instrText>
      </w:r>
      <w:r>
        <w:fldChar w:fldCharType="separate"/>
      </w:r>
      <w:r>
        <w:rPr>
          <w:rFonts w:hint="eastAsia"/>
        </w:rPr>
        <w:t>附件9</w:t>
      </w:r>
      <w:r>
        <w:fldChar w:fldCharType="end"/>
      </w:r>
      <w:r>
        <w:fldChar w:fldCharType="begin"/>
      </w:r>
      <w:r>
        <w:instrText xml:space="preserve"> </w:instrText>
      </w:r>
      <w:r>
        <w:rPr>
          <w:rFonts w:hint="eastAsia"/>
        </w:rPr>
        <w:instrText xml:space="preserve">REF _Ref524102681 \h</w:instrText>
      </w:r>
      <w:r>
        <w:instrText xml:space="preserve">  \* MERGEFORMAT </w:instrText>
      </w:r>
      <w:r>
        <w:fldChar w:fldCharType="separate"/>
      </w:r>
      <w:r>
        <w:rPr>
          <w:rFonts w:hint="eastAsia"/>
        </w:rPr>
        <w:t xml:space="preserve"> </w:t>
      </w:r>
      <w:r>
        <w:t xml:space="preserve"> 投标保证金提交承诺书</w:t>
      </w:r>
      <w:r>
        <w:fldChar w:fldCharType="end"/>
      </w:r>
      <w:r>
        <w:rPr>
          <w:rFonts w:hint="eastAsia"/>
        </w:rPr>
        <w:t>”，且该文件需单独密封并交由现场工作人员收取。</w:t>
      </w:r>
    </w:p>
    <w:p>
      <w:pPr>
        <w:pStyle w:val="58"/>
      </w:pPr>
      <w:r>
        <w:rPr>
          <w:rFonts w:hint="eastAsia"/>
        </w:rPr>
        <w:t>保证金金额为0元的无需提交</w:t>
      </w:r>
      <w:r>
        <w:t>上述文件</w:t>
      </w:r>
      <w:r>
        <w:rPr>
          <w:rFonts w:hint="eastAsia"/>
        </w:rPr>
        <w:t>。</w:t>
      </w:r>
    </w:p>
    <w:p>
      <w:pPr>
        <w:pStyle w:val="58"/>
        <w:tabs>
          <w:tab w:val="left" w:pos="3360"/>
        </w:tabs>
      </w:pPr>
      <w:r>
        <w:tab/>
      </w:r>
    </w:p>
    <w:p>
      <w:pPr>
        <w:pStyle w:val="58"/>
      </w:pPr>
      <w:r>
        <w:t>未按前述各款要求提交投标保证金的响应，将被视为无效响应。</w:t>
      </w:r>
    </w:p>
    <w:p>
      <w:pPr>
        <w:pStyle w:val="58"/>
      </w:pPr>
    </w:p>
    <w:p>
      <w:pPr>
        <w:pStyle w:val="58"/>
      </w:pPr>
      <w:r>
        <w:rPr>
          <w:rFonts w:hint="eastAsia"/>
        </w:rPr>
        <w:t>关于投标保证金的退还：</w:t>
      </w:r>
    </w:p>
    <w:p>
      <w:pPr>
        <w:pStyle w:val="58"/>
      </w:pPr>
      <w:r>
        <w:t>投标保证金一律采用电汇方式退还。</w:t>
      </w:r>
    </w:p>
    <w:p>
      <w:pPr>
        <w:pStyle w:val="58"/>
      </w:pPr>
      <w:r>
        <w:t>在公布成交结果后，未成交的投标人保证金由招标与采购事务中心工作人员统一提交学校财务部门办理退款事宜</w:t>
      </w:r>
      <w:r>
        <w:rPr>
          <w:rFonts w:hint="eastAsia"/>
        </w:rPr>
        <w:t>。</w:t>
      </w:r>
    </w:p>
    <w:p>
      <w:pPr>
        <w:pStyle w:val="58"/>
      </w:pPr>
      <w:r>
        <w:t>办理时间：周一至周四上午8：30至11：00，下午2：00至4：30，节假日除外；</w:t>
      </w:r>
    </w:p>
    <w:p>
      <w:pPr>
        <w:pStyle w:val="58"/>
      </w:pPr>
      <w:r>
        <w:t>办理地点：北京市海淀区学院南路39号中央财经大学办公楼203室；</w:t>
      </w:r>
    </w:p>
    <w:p>
      <w:pPr>
        <w:pStyle w:val="58"/>
      </w:pPr>
      <w:r>
        <w:t>联系电话：6228</w:t>
      </w:r>
      <w:r>
        <w:rPr>
          <w:rFonts w:hint="eastAsia"/>
        </w:rPr>
        <w:t>8125</w:t>
      </w:r>
      <w:r>
        <w:t>。</w:t>
      </w:r>
    </w:p>
    <w:p>
      <w:pPr>
        <w:pStyle w:val="58"/>
      </w:pPr>
      <w:r>
        <w:t>中标人则需要提交采购合同副本至学院南路校区行政楼</w:t>
      </w:r>
      <w:r>
        <w:rPr>
          <w:rFonts w:hint="eastAsia"/>
        </w:rPr>
        <w:t>203办公室，由招标与采购事务中心工作人员收取合同存档后提交相关退款材料至学校财务部门办理退款事宜。</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投标报价</w:t>
      </w:r>
    </w:p>
    <w:p>
      <w:pPr>
        <w:pStyle w:val="58"/>
      </w:pPr>
      <w:r>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pPr>
        <w:pStyle w:val="58"/>
      </w:pPr>
      <w:r>
        <w:rPr>
          <w:rFonts w:hint="eastAsia"/>
        </w:rPr>
        <w:t>投标人投报多包的，应对每包分别报价并分别填报开标一览表。</w:t>
      </w:r>
    </w:p>
    <w:p>
      <w:pPr>
        <w:pStyle w:val="58"/>
      </w:pPr>
      <w:r>
        <w:rPr>
          <w:rFonts w:hint="eastAsia"/>
        </w:rPr>
        <w:t>本次招标是否接受可选择或可调整的投标和报价，详见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第10条。如果本次招标不接受可选择或可调整的投标方案和报价，任何有选择的或可调整的投标方案和报价将被视为非响应性投标而被拒绝。</w:t>
      </w:r>
    </w:p>
    <w:p>
      <w:pPr>
        <w:pStyle w:val="58"/>
      </w:pPr>
      <w:r>
        <w:rPr>
          <w:rFonts w:hint="eastAsia"/>
        </w:rPr>
        <w:t>投标人要按投标货物数量、价格表（统一格式）的内容填写货物单价（包括货物报价，装箱、包装、包装物料、送货和保险费用）、总价及其他事项，并由法定代表人或投标人代表签署。</w:t>
      </w:r>
    </w:p>
    <w:p>
      <w:pPr>
        <w:pStyle w:val="58"/>
      </w:pPr>
      <w:r>
        <w:rPr>
          <w:rFonts w:hint="eastAsia"/>
        </w:rPr>
        <w:t>投标人对投标报价若有说明应在单独密封的开标一览表显著处注明，只有开标时唱出的报价和优惠才会在评标时予以考虑。</w:t>
      </w:r>
    </w:p>
    <w:p>
      <w:pPr>
        <w:pStyle w:val="58"/>
      </w:pPr>
      <w:r>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pPr>
        <w:pStyle w:val="58"/>
      </w:pPr>
      <w:r>
        <w:rPr>
          <w:rFonts w:hint="eastAsia"/>
        </w:rPr>
        <w:t>最低报价不能作为中标的保证。</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投标内容填写说明</w:t>
      </w:r>
    </w:p>
    <w:p>
      <w:pPr>
        <w:pStyle w:val="58"/>
      </w:pPr>
      <w:r>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pPr>
        <w:pStyle w:val="58"/>
      </w:pPr>
      <w:r>
        <w:rPr>
          <w:rFonts w:hint="eastAsia"/>
        </w:rPr>
        <w:t>投标文件应严格按照招标文件规定的顺序装订成册并编制目录，由于编排混乱导致投标文件被误读或查找不到，是投标人的责任。</w:t>
      </w:r>
    </w:p>
    <w:p>
      <w:pPr>
        <w:pStyle w:val="58"/>
      </w:pPr>
      <w:r>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pPr>
        <w:pStyle w:val="58"/>
      </w:pPr>
      <w:r>
        <w:rPr>
          <w:rFonts w:hint="eastAsia"/>
        </w:rPr>
        <w:t>开标一览表为在开标仪式上唱标的内容，要求按格式统一填写，不得自行增减内容。</w:t>
      </w:r>
    </w:p>
    <w:p>
      <w:pPr>
        <w:pStyle w:val="58"/>
      </w:pPr>
      <w:r>
        <w:rPr>
          <w:rFonts w:hint="eastAsia"/>
        </w:rPr>
        <w:t>投标人必须保证投标文件所提供的全部资料真实可靠，并接受采购人或评标委员会对其中任何资料进一步审查的要求。</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投标文件的有效期</w:t>
      </w:r>
    </w:p>
    <w:p>
      <w:pPr>
        <w:pStyle w:val="58"/>
      </w:pPr>
      <w:r>
        <w:rPr>
          <w:rFonts w:hint="eastAsia"/>
        </w:rPr>
        <w:t>本项目投标文件的有效期详见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第14</w:t>
      </w:r>
      <w:r>
        <w:t>条</w:t>
      </w:r>
      <w:r>
        <w:rPr>
          <w:rFonts w:hint="eastAsia"/>
        </w:rPr>
        <w:t>。有效期短于该规定期限的投标将被拒绝。</w:t>
      </w:r>
    </w:p>
    <w:p>
      <w:pPr>
        <w:pStyle w:val="58"/>
      </w:pPr>
      <w:r>
        <w:rPr>
          <w:rFonts w:hint="eastAsia"/>
        </w:rPr>
        <w:t>在特殊情况下，采购人可与投标人协商延长投标文件的有效期。这种要求和答复都应以书面形式进行。此时，按本须知规定的投标保证金的有效期也相应延长。</w:t>
      </w:r>
    </w:p>
    <w:p>
      <w:pPr>
        <w:pStyle w:val="5"/>
        <w:numPr>
          <w:ilvl w:val="0"/>
          <w:numId w:val="8"/>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投标文件的签署及其他规定</w:t>
      </w:r>
    </w:p>
    <w:p>
      <w:pPr>
        <w:pStyle w:val="58"/>
      </w:pPr>
      <w:r>
        <w:rPr>
          <w:rFonts w:hint="eastAsia"/>
        </w:rPr>
        <w:t>组成投标文件的各项文件均应遵守本条。</w:t>
      </w:r>
    </w:p>
    <w:p>
      <w:pPr>
        <w:pStyle w:val="58"/>
      </w:pPr>
      <w:r>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pPr>
        <w:pStyle w:val="58"/>
      </w:pPr>
      <w:r>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pPr>
        <w:pStyle w:val="58"/>
      </w:pPr>
      <w:r>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pPr>
        <w:pStyle w:val="58"/>
      </w:pPr>
      <w:r>
        <w:rPr>
          <w:rFonts w:hint="eastAsia"/>
        </w:rPr>
        <w:t>投标人应按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eastAsiaTheme="majorEastAsia"/>
        </w:rPr>
        <w:t>投标人须知前附表</w:t>
      </w:r>
      <w:r>
        <w:fldChar w:fldCharType="end"/>
      </w:r>
      <w:r>
        <w:rPr>
          <w:rFonts w:hint="eastAsia"/>
        </w:rPr>
        <w:t>第15条规定的份数提交投标文件。</w:t>
      </w:r>
    </w:p>
    <w:p>
      <w:pPr>
        <w:pStyle w:val="58"/>
      </w:pPr>
      <w:r>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pPr>
        <w:pStyle w:val="58"/>
      </w:pPr>
      <w:r>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pPr>
        <w:pStyle w:val="58"/>
      </w:pPr>
      <w:r>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pPr>
        <w:pStyle w:val="58"/>
      </w:pPr>
      <w:r>
        <w:rPr>
          <w:rFonts w:hint="eastAsia"/>
        </w:rPr>
        <w:t>投标文件应字迹清楚、内容齐全、不得涂改或增删。如有修改和增删，必须有投标人公章及法定代表人或其授权的投标人代表签字。</w:t>
      </w:r>
    </w:p>
    <w:p>
      <w:pPr>
        <w:pStyle w:val="58"/>
        <w:rPr>
          <w:rFonts w:eastAsiaTheme="majorEastAsia"/>
          <w:b/>
          <w:bCs/>
          <w:sz w:val="32"/>
          <w:szCs w:val="32"/>
        </w:rPr>
      </w:pPr>
      <w:r>
        <w:rPr>
          <w:rFonts w:hint="eastAsia"/>
        </w:rPr>
        <w:t xml:space="preserve">因投标文件字迹潦草或表达不清所引起的不利后果由投标人承担。 </w:t>
      </w:r>
      <w:r>
        <w:rPr>
          <w:rFonts w:eastAsiaTheme="majorEastAsia"/>
        </w:rPr>
        <w:br w:type="page"/>
      </w:r>
    </w:p>
    <w:p>
      <w:pPr>
        <w:pStyle w:val="4"/>
        <w:numPr>
          <w:ilvl w:val="0"/>
          <w:numId w:val="5"/>
        </w:numPr>
        <w:spacing w:line="415" w:lineRule="auto"/>
        <w:rPr>
          <w:rFonts w:asciiTheme="minorHAnsi" w:hAnsiTheme="minorHAnsi" w:eastAsiaTheme="minorEastAsia" w:cstheme="minorBidi"/>
        </w:rPr>
      </w:pPr>
      <w:bookmarkStart w:id="47" w:name="_Toc524103441"/>
      <w:r>
        <w:rPr>
          <w:rFonts w:hint="eastAsia" w:asciiTheme="minorHAnsi" w:hAnsiTheme="minorHAnsi" w:eastAsiaTheme="minorEastAsia" w:cstheme="minorBidi"/>
        </w:rPr>
        <w:t>投标文件的递交</w:t>
      </w:r>
      <w:bookmarkEnd w:id="47"/>
      <w:r>
        <w:rPr>
          <w:rFonts w:hint="eastAsia" w:asciiTheme="minorHAnsi" w:hAnsiTheme="minorHAnsi" w:eastAsiaTheme="minorEastAsia" w:cstheme="minorBidi"/>
        </w:rPr>
        <w:t xml:space="preserve"> </w:t>
      </w:r>
    </w:p>
    <w:p>
      <w:pPr>
        <w:pStyle w:val="5"/>
        <w:numPr>
          <w:ilvl w:val="0"/>
          <w:numId w:val="9"/>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投标文件的密封及标记</w:t>
      </w:r>
    </w:p>
    <w:p>
      <w:pPr>
        <w:pStyle w:val="58"/>
      </w:pPr>
      <w:r>
        <w:rPr>
          <w:rFonts w:hint="eastAsia"/>
        </w:rPr>
        <w:t>投标文件应按以下方法分别装袋密封：</w:t>
      </w:r>
    </w:p>
    <w:p>
      <w:pPr>
        <w:pStyle w:val="58"/>
        <w:numPr>
          <w:ilvl w:val="0"/>
          <w:numId w:val="10"/>
        </w:numPr>
        <w:ind w:firstLineChars="0"/>
      </w:pPr>
      <w:r>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pPr>
        <w:pStyle w:val="58"/>
        <w:numPr>
          <w:ilvl w:val="0"/>
          <w:numId w:val="10"/>
        </w:numPr>
        <w:ind w:firstLineChars="0"/>
      </w:pPr>
      <w:r>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pPr>
        <w:pStyle w:val="58"/>
        <w:numPr>
          <w:ilvl w:val="0"/>
          <w:numId w:val="10"/>
        </w:numPr>
        <w:ind w:firstLineChars="0"/>
      </w:pPr>
      <w:r>
        <w:rPr>
          <w:rFonts w:hint="eastAsia"/>
        </w:rPr>
        <w:t>投标文件正本与副本整体密封，封口处应有法定代表人或投标人代表的签字或印章及投标人公章，封皮上写明项目编号、项目名称及投标人全称。</w:t>
      </w:r>
    </w:p>
    <w:p>
      <w:pPr>
        <w:pStyle w:val="58"/>
        <w:numPr>
          <w:ilvl w:val="0"/>
          <w:numId w:val="10"/>
        </w:numPr>
        <w:ind w:firstLineChars="0"/>
      </w:pPr>
      <w:r>
        <w:t>响应文件正副本的书脊位置需按照竖版方式打印以下内容</w:t>
      </w:r>
      <w:r>
        <w:rPr>
          <w:rFonts w:hint="eastAsia"/>
        </w:rPr>
        <w:t>：“项目编号”、“项目名称”、“公司名称”。</w:t>
      </w:r>
    </w:p>
    <w:p>
      <w:pPr>
        <w:pStyle w:val="58"/>
      </w:pPr>
      <w:r>
        <w:rPr>
          <w:rFonts w:hint="eastAsia"/>
        </w:rPr>
        <w:t>如果投标人未按上述要求对投标文件密封及加写标记，采购人对投标文件的误投和提前启封概不负责。对由此造成提前开封的投标文件，采购人有权予以拒绝，并退回投标人。</w:t>
      </w:r>
    </w:p>
    <w:p>
      <w:pPr>
        <w:pStyle w:val="5"/>
        <w:numPr>
          <w:ilvl w:val="0"/>
          <w:numId w:val="9"/>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投标截止时间</w:t>
      </w:r>
    </w:p>
    <w:p>
      <w:pPr>
        <w:pStyle w:val="58"/>
      </w:pPr>
      <w:r>
        <w:rPr>
          <w:rFonts w:hint="eastAsia"/>
        </w:rPr>
        <w:t>投标文件须按照招标文件规定的投标时间、地点送达。在投标截止时间以后送达的投标文件，采购人拒绝接收。</w:t>
      </w:r>
    </w:p>
    <w:p>
      <w:pPr>
        <w:pStyle w:val="5"/>
        <w:numPr>
          <w:ilvl w:val="0"/>
          <w:numId w:val="9"/>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投标文件的补充、修改和撤回</w:t>
      </w:r>
    </w:p>
    <w:p>
      <w:pPr>
        <w:pStyle w:val="58"/>
      </w:pPr>
      <w:r>
        <w:rPr>
          <w:rFonts w:hint="eastAsia"/>
        </w:rPr>
        <w:t>投标人可以在投标截止时间前，对所递交的投标文件进行补充、修改或者撤回。</w:t>
      </w:r>
    </w:p>
    <w:p>
      <w:pPr>
        <w:pStyle w:val="58"/>
      </w:pPr>
      <w:r>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pPr>
        <w:pStyle w:val="58"/>
      </w:pPr>
      <w:r>
        <w:rPr>
          <w:rFonts w:hint="eastAsia"/>
        </w:rPr>
        <w:t>在投标截止时间之后，投标人不得撤回投标。</w:t>
      </w:r>
    </w:p>
    <w:p>
      <w:pPr>
        <w:pStyle w:val="4"/>
        <w:numPr>
          <w:ilvl w:val="0"/>
          <w:numId w:val="5"/>
        </w:numPr>
        <w:spacing w:line="415" w:lineRule="auto"/>
        <w:rPr>
          <w:rFonts w:asciiTheme="minorHAnsi" w:hAnsiTheme="minorHAnsi" w:eastAsiaTheme="minorEastAsia" w:cstheme="minorBidi"/>
        </w:rPr>
      </w:pPr>
      <w:bookmarkStart w:id="48" w:name="_Toc524103442"/>
      <w:r>
        <w:rPr>
          <w:rFonts w:hint="eastAsia" w:asciiTheme="minorHAnsi" w:hAnsiTheme="minorHAnsi" w:eastAsiaTheme="minorEastAsia" w:cstheme="minorBidi"/>
        </w:rPr>
        <w:t>开标</w:t>
      </w:r>
      <w:bookmarkEnd w:id="48"/>
      <w:r>
        <w:rPr>
          <w:rFonts w:hint="eastAsia" w:asciiTheme="minorHAnsi" w:hAnsiTheme="minorHAnsi" w:eastAsiaTheme="minorEastAsia" w:cstheme="minorBidi"/>
        </w:rPr>
        <w:t xml:space="preserve"> </w:t>
      </w:r>
    </w:p>
    <w:p>
      <w:pPr>
        <w:pStyle w:val="58"/>
      </w:pPr>
      <w:r>
        <w:rPr>
          <w:rFonts w:hint="eastAsia"/>
        </w:rPr>
        <w:t>采购人按招标文件规定的时间、地点主持公开开标，采购人代表、投标人代表及有关工作人员参加。</w:t>
      </w:r>
    </w:p>
    <w:p>
      <w:pPr>
        <w:pStyle w:val="58"/>
      </w:pPr>
      <w:r>
        <w:rPr>
          <w:rFonts w:hint="eastAsia"/>
        </w:rPr>
        <w:t>投标人参加开标的代表必须签名报到以证明其出席。</w:t>
      </w:r>
    </w:p>
    <w:p>
      <w:pPr>
        <w:pStyle w:val="58"/>
      </w:pPr>
      <w:r>
        <w:rPr>
          <w:rFonts w:hint="eastAsia"/>
        </w:rPr>
        <w:t>开标时查验投标文件密封情况，确认无误后拆封唱标。</w:t>
      </w:r>
    </w:p>
    <w:p>
      <w:pPr>
        <w:pStyle w:val="58"/>
      </w:pPr>
      <w:r>
        <w:rPr>
          <w:rFonts w:hint="eastAsia"/>
        </w:rPr>
        <w:t>开标时，应当众宣读投标人名称、投标价格、书面补充、修改和撤回投标的通知以及采购人认为适当的其他内容。投标人若有报价和优惠未被唱出，应在开标时及时声明或提请注意，否则采购人对此不承担任何责任。</w:t>
      </w:r>
    </w:p>
    <w:p>
      <w:pPr>
        <w:pStyle w:val="4"/>
        <w:numPr>
          <w:ilvl w:val="0"/>
          <w:numId w:val="5"/>
        </w:numPr>
        <w:spacing w:line="415" w:lineRule="auto"/>
        <w:rPr>
          <w:rFonts w:asciiTheme="minorHAnsi" w:hAnsiTheme="minorHAnsi" w:eastAsiaTheme="minorEastAsia" w:cstheme="minorBidi"/>
        </w:rPr>
      </w:pPr>
      <w:bookmarkStart w:id="49" w:name="_Toc524103443"/>
      <w:r>
        <w:rPr>
          <w:rFonts w:hint="eastAsia" w:asciiTheme="minorHAnsi" w:hAnsiTheme="minorHAnsi" w:eastAsiaTheme="minorEastAsia" w:cstheme="minorBidi"/>
        </w:rPr>
        <w:t>评标步骤和要求</w:t>
      </w:r>
      <w:bookmarkEnd w:id="49"/>
    </w:p>
    <w:p>
      <w:pPr>
        <w:pStyle w:val="5"/>
        <w:numPr>
          <w:ilvl w:val="0"/>
          <w:numId w:val="11"/>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组建评标委员会</w:t>
      </w:r>
    </w:p>
    <w:p>
      <w:pPr>
        <w:pStyle w:val="58"/>
      </w:pPr>
      <w:r>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pPr>
        <w:pStyle w:val="58"/>
      </w:pPr>
      <w:r>
        <w:rPr>
          <w:rFonts w:hint="eastAsia"/>
        </w:rPr>
        <w:t>采购人或采购人就本项目招标文件征询过意见的专家,不能参加评标。采购人只能以采购人代表的身份参与评标，采购人工作人员不得参加评标。</w:t>
      </w:r>
    </w:p>
    <w:p>
      <w:pPr>
        <w:pStyle w:val="5"/>
        <w:numPr>
          <w:ilvl w:val="0"/>
          <w:numId w:val="11"/>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评标准备与初步评审</w:t>
      </w:r>
    </w:p>
    <w:p>
      <w:pPr>
        <w:pStyle w:val="58"/>
      </w:pPr>
      <w:r>
        <w:rPr>
          <w:rFonts w:hint="eastAsia"/>
        </w:rPr>
        <w:t>开标后，评标委员会将审查投标文件是否符合招标文件的基本要求：内容是否完整、资格证明文件是否齐全、有无计算错误、文件签署是否齐全及验证保证金。</w:t>
      </w:r>
    </w:p>
    <w:p>
      <w:pPr>
        <w:pStyle w:val="58"/>
      </w:pPr>
      <w:r>
        <w:rPr>
          <w:rFonts w:hint="eastAsia"/>
        </w:rPr>
        <w:t>在详细评标之前，评标委员会要审查每份投标文件是否实质上响应了招标文件的要求</w:t>
      </w:r>
    </w:p>
    <w:p>
      <w:pPr>
        <w:pStyle w:val="58"/>
      </w:pPr>
      <w:r>
        <w:rPr>
          <w:rFonts w:hint="eastAsia"/>
        </w:rPr>
        <w:t>实质上响应的投标是指与招标文件的主要条款、条件和规格相符，没有重大偏离或保留。</w:t>
      </w:r>
    </w:p>
    <w:p>
      <w:pPr>
        <w:pStyle w:val="58"/>
      </w:pPr>
      <w:r>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pPr>
        <w:pStyle w:val="58"/>
        <w:numPr>
          <w:ilvl w:val="0"/>
          <w:numId w:val="12"/>
        </w:numPr>
        <w:ind w:firstLineChars="0"/>
      </w:pPr>
      <w:r>
        <w:rPr>
          <w:rFonts w:hint="eastAsia"/>
        </w:rPr>
        <w:t>应当交纳投标保证金的投标人未提交投标保证金或金额不足的；</w:t>
      </w:r>
    </w:p>
    <w:p>
      <w:pPr>
        <w:pStyle w:val="58"/>
        <w:numPr>
          <w:ilvl w:val="0"/>
          <w:numId w:val="12"/>
        </w:numPr>
        <w:ind w:firstLineChars="0"/>
      </w:pPr>
      <w:r>
        <w:rPr>
          <w:rFonts w:hint="eastAsia"/>
        </w:rPr>
        <w:t>本文件“投标人须知第9条”的“投标文件的组成及相关要求”部分中带*部分的资格证明文件不全或无效的；</w:t>
      </w:r>
    </w:p>
    <w:p>
      <w:pPr>
        <w:pStyle w:val="58"/>
        <w:numPr>
          <w:ilvl w:val="0"/>
          <w:numId w:val="12"/>
        </w:numPr>
        <w:ind w:firstLineChars="0"/>
      </w:pPr>
      <w:r>
        <w:rPr>
          <w:rFonts w:hint="eastAsia"/>
        </w:rPr>
        <w:t>投标文件未按招标文件的规定密封、签署、盖章的；</w:t>
      </w:r>
    </w:p>
    <w:p>
      <w:pPr>
        <w:pStyle w:val="58"/>
        <w:numPr>
          <w:ilvl w:val="0"/>
          <w:numId w:val="12"/>
        </w:numPr>
        <w:ind w:firstLineChars="0"/>
      </w:pPr>
      <w:r>
        <w:rPr>
          <w:rFonts w:hint="eastAsia"/>
        </w:rPr>
        <w:t>投标有效期不足的；</w:t>
      </w:r>
    </w:p>
    <w:p>
      <w:pPr>
        <w:pStyle w:val="58"/>
        <w:numPr>
          <w:ilvl w:val="0"/>
          <w:numId w:val="12"/>
        </w:numPr>
        <w:ind w:firstLineChars="0"/>
      </w:pPr>
      <w:r>
        <w:rPr>
          <w:rFonts w:hint="eastAsia"/>
        </w:rPr>
        <w:t>未按照招标文件规定报价的；</w:t>
      </w:r>
    </w:p>
    <w:p>
      <w:pPr>
        <w:pStyle w:val="58"/>
        <w:numPr>
          <w:ilvl w:val="0"/>
          <w:numId w:val="12"/>
        </w:numPr>
        <w:ind w:firstLineChars="0"/>
      </w:pPr>
      <w:r>
        <w:rPr>
          <w:rFonts w:hint="eastAsia"/>
        </w:rPr>
        <w:t>不符合招标文件中有关分包、转包规定的；</w:t>
      </w:r>
    </w:p>
    <w:p>
      <w:pPr>
        <w:pStyle w:val="58"/>
        <w:numPr>
          <w:ilvl w:val="0"/>
          <w:numId w:val="12"/>
        </w:numPr>
        <w:ind w:firstLineChars="0"/>
      </w:pPr>
      <w:r>
        <w:rPr>
          <w:rFonts w:hint="eastAsia"/>
        </w:rPr>
        <w:t>联合体投标文件未附联合体投标协议书的；</w:t>
      </w:r>
    </w:p>
    <w:p>
      <w:pPr>
        <w:pStyle w:val="58"/>
        <w:numPr>
          <w:ilvl w:val="0"/>
          <w:numId w:val="12"/>
        </w:numPr>
        <w:ind w:firstLineChars="0"/>
      </w:pPr>
      <w:r>
        <w:rPr>
          <w:rFonts w:hint="eastAsia"/>
        </w:rPr>
        <w:t>不符合招标文件中规定的其他实质性要求。</w:t>
      </w:r>
    </w:p>
    <w:p>
      <w:pPr>
        <w:pStyle w:val="58"/>
      </w:pPr>
      <w:r>
        <w:rPr>
          <w:rFonts w:hint="eastAsia"/>
        </w:rPr>
        <w:t>重大偏离不允许在开标后修正，但评标委员会将允许修正投标中不构成重大偏离的地方，这些修正不会对其他实质上响应招标文件要求的投标人的竞争地位产生不公正的影响。</w:t>
      </w:r>
    </w:p>
    <w:p>
      <w:pPr>
        <w:pStyle w:val="58"/>
      </w:pPr>
      <w:r>
        <w:rPr>
          <w:rFonts w:hint="eastAsia"/>
        </w:rPr>
        <w:t>如果投标文件实质上没有响应招标文件的要求，评标委员会将予以拒绝，投标人不得再对投标文件进行任何修正从而使其投标成为实质上响应的投标。</w:t>
      </w:r>
    </w:p>
    <w:p>
      <w:pPr>
        <w:pStyle w:val="58"/>
      </w:pPr>
      <w:r>
        <w:t>投标文件</w:t>
      </w:r>
      <w:r>
        <w:rPr>
          <w:rFonts w:hint="eastAsia"/>
        </w:rPr>
        <w:t>的</w:t>
      </w:r>
      <w:r>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pPr>
        <w:pStyle w:val="58"/>
      </w:pPr>
      <w:r>
        <w:rPr>
          <w:rFonts w:hint="eastAsia"/>
        </w:rPr>
        <w:t>初审中，对明显的文字和计算错误按下述原则处理，若出现相互矛盾之处，应以排列在先的原则为准优先处理：</w:t>
      </w:r>
    </w:p>
    <w:p>
      <w:pPr>
        <w:pStyle w:val="58"/>
        <w:numPr>
          <w:ilvl w:val="0"/>
          <w:numId w:val="13"/>
        </w:numPr>
        <w:ind w:firstLineChars="0"/>
      </w:pPr>
      <w:r>
        <w:rPr>
          <w:rFonts w:hint="eastAsia"/>
        </w:rPr>
        <w:t>如果正本与副本或电子文档不一致，以正本为准；</w:t>
      </w:r>
    </w:p>
    <w:p>
      <w:pPr>
        <w:pStyle w:val="58"/>
        <w:numPr>
          <w:ilvl w:val="0"/>
          <w:numId w:val="13"/>
        </w:numPr>
        <w:ind w:firstLineChars="0"/>
      </w:pPr>
      <w:r>
        <w:rPr>
          <w:rFonts w:hint="eastAsia"/>
        </w:rPr>
        <w:t>单独密封的开标一览表如与正本不一致，以正本为准；</w:t>
      </w:r>
    </w:p>
    <w:p>
      <w:pPr>
        <w:pStyle w:val="58"/>
        <w:numPr>
          <w:ilvl w:val="0"/>
          <w:numId w:val="13"/>
        </w:numPr>
        <w:ind w:firstLineChars="0"/>
      </w:pPr>
      <w:r>
        <w:rPr>
          <w:rFonts w:hint="eastAsia"/>
        </w:rPr>
        <w:t>单独密封的开标一览表内容与投标文件中明细表内容不一致的,以正本文件中的报价一览表为准。</w:t>
      </w:r>
    </w:p>
    <w:p>
      <w:pPr>
        <w:pStyle w:val="58"/>
        <w:numPr>
          <w:ilvl w:val="0"/>
          <w:numId w:val="13"/>
        </w:numPr>
        <w:ind w:firstLineChars="0"/>
      </w:pPr>
      <w:r>
        <w:rPr>
          <w:rFonts w:hint="eastAsia"/>
        </w:rPr>
        <w:t>如果以文字表示的数据与数字表示的有差别，以文字为准修正数字；</w:t>
      </w:r>
    </w:p>
    <w:p>
      <w:pPr>
        <w:pStyle w:val="58"/>
        <w:numPr>
          <w:ilvl w:val="0"/>
          <w:numId w:val="13"/>
        </w:numPr>
        <w:ind w:firstLineChars="0"/>
      </w:pPr>
      <w:r>
        <w:rPr>
          <w:rFonts w:hint="eastAsia"/>
        </w:rPr>
        <w:t>如果大小写金额不一致的，以大写金额为准。</w:t>
      </w:r>
    </w:p>
    <w:p>
      <w:pPr>
        <w:pStyle w:val="58"/>
        <w:numPr>
          <w:ilvl w:val="0"/>
          <w:numId w:val="13"/>
        </w:numPr>
        <w:ind w:firstLineChars="0"/>
      </w:pPr>
      <w:r>
        <w:rPr>
          <w:rFonts w:hint="eastAsia"/>
        </w:rPr>
        <w:t>如果报价一览表响应总价与分项报价之和不符，应以响应总价为准，若未注明所调整的分项报价，将按相差比例修正所有分项报价；</w:t>
      </w:r>
    </w:p>
    <w:p>
      <w:pPr>
        <w:pStyle w:val="58"/>
        <w:numPr>
          <w:ilvl w:val="0"/>
          <w:numId w:val="13"/>
        </w:numPr>
        <w:ind w:firstLineChars="0"/>
      </w:pPr>
      <w:r>
        <w:rPr>
          <w:rFonts w:hint="eastAsia"/>
        </w:rPr>
        <w:t>如果报价一览表响应总价与资质文件正本中装订的报价明细表总价不一致，以资质文件中装订的报价一览表响应总价为准，若未注明所调整的分项报价，将按相差比例修正报价明细表所有单价及总价。</w:t>
      </w:r>
    </w:p>
    <w:p>
      <w:pPr>
        <w:pStyle w:val="58"/>
      </w:pPr>
      <w:r>
        <w:rPr>
          <w:rFonts w:hint="eastAsia"/>
        </w:rPr>
        <w:t>调整后的数据应对投标人具有约束力，投标人不同意以上修正，其投标将被拒绝。</w:t>
      </w:r>
    </w:p>
    <w:p>
      <w:pPr>
        <w:pStyle w:val="58"/>
      </w:pPr>
      <w:r>
        <w:rPr>
          <w:rFonts w:hint="eastAsia"/>
        </w:rPr>
        <w:t>评标委员会对投标文件的判定,只依据投标文件内容本身,不依据任何外来证明。</w:t>
      </w:r>
    </w:p>
    <w:p>
      <w:pPr>
        <w:pStyle w:val="5"/>
        <w:numPr>
          <w:ilvl w:val="0"/>
          <w:numId w:val="11"/>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投标的澄清</w:t>
      </w:r>
    </w:p>
    <w:p>
      <w:pPr>
        <w:pStyle w:val="58"/>
      </w:pPr>
      <w:r>
        <w:rPr>
          <w:rFonts w:hint="eastAsia"/>
        </w:rPr>
        <w:t>评标委员会有权要求投标人对投标文件中含义不明确、对同类问题表述不一致或者有明显文字和计算错误等内容作必要的澄清、说明或者补正。该要求应当采用书面形式</w:t>
      </w:r>
      <w:r>
        <w:t>,</w:t>
      </w:r>
      <w:r>
        <w:rPr>
          <w:rFonts w:hint="eastAsia"/>
        </w:rPr>
        <w:t>并由评标委员会成员签字。</w:t>
      </w:r>
    </w:p>
    <w:p>
      <w:pPr>
        <w:pStyle w:val="58"/>
      </w:pPr>
      <w:r>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58"/>
      </w:pPr>
      <w:r>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5"/>
        <w:numPr>
          <w:ilvl w:val="0"/>
          <w:numId w:val="11"/>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对投标文件的详细评审</w:t>
      </w:r>
    </w:p>
    <w:p>
      <w:pPr>
        <w:pStyle w:val="58"/>
      </w:pPr>
      <w:r>
        <w:rPr>
          <w:rFonts w:hint="eastAsia"/>
        </w:rPr>
        <w:t>评标委员会只对实质上响应招标文件的投标进行评价和比较；评审应严格按照招标文件的要求和条件进行；具体评审原则、方法和中标条件详见招标文件第四部分“评标标准和评标办法”。</w:t>
      </w:r>
    </w:p>
    <w:p>
      <w:pPr>
        <w:pStyle w:val="58"/>
      </w:pPr>
      <w:r>
        <w:rPr>
          <w:rFonts w:hint="eastAsia"/>
        </w:rPr>
        <w:t>确定提供相同品牌产品且通过资格审查、符合性审查的不同响应人参加同一合同项下投标的，按一家响应人计算，评审后得分最高的同品牌响应人获得中标人推荐资格；评审得分相同的，由采购人或者采购人委托评标委员会按照招标文件规定的方式确定一个响应人获得中标人推荐资格：此次规定的选择方式为报价最低的响应人获得中标人推荐资格；评审得分相同且报价相同的，由评标委员会随机抽选一个响应人获得中标人推荐资格，其他同品牌响应人不作为中标候选人。非单一产品采购项目，采购人应当根据采购项目技术构成、产品价格比重等合理确定核心产品，并在招标文件中载明。多家响应人提供的核心产品品牌相同的，按前两款规定处理。</w:t>
      </w:r>
    </w:p>
    <w:p>
      <w:pPr>
        <w:pStyle w:val="5"/>
        <w:numPr>
          <w:ilvl w:val="0"/>
          <w:numId w:val="11"/>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中标人</w:t>
      </w:r>
    </w:p>
    <w:p>
      <w:pPr>
        <w:pStyle w:val="58"/>
      </w:pPr>
      <w:r>
        <w:rPr>
          <w:rFonts w:hint="eastAsia"/>
        </w:rPr>
        <w:t>评标委员会根据详细评审的结果确定推荐的中标候选人名单，并标明排列顺序。</w:t>
      </w:r>
    </w:p>
    <w:p>
      <w:pPr>
        <w:pStyle w:val="58"/>
      </w:pPr>
      <w:r>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pPr>
        <w:pStyle w:val="58"/>
      </w:pPr>
      <w:r>
        <w:rPr>
          <w:rFonts w:hint="eastAsia"/>
        </w:rPr>
        <w:t>采购人也可授权评标委员会按本条规定直接确定中标人。</w:t>
      </w:r>
    </w:p>
    <w:p>
      <w:pPr>
        <w:pStyle w:val="58"/>
      </w:pPr>
      <w:r>
        <w:rPr>
          <w:rFonts w:hint="eastAsia"/>
        </w:rPr>
        <w:t>采购人应在收到评标结果后五个工作日内按前款规定确定中标人。</w:t>
      </w:r>
    </w:p>
    <w:p>
      <w:pPr>
        <w:pStyle w:val="5"/>
        <w:numPr>
          <w:ilvl w:val="0"/>
          <w:numId w:val="11"/>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评标过程要求</w:t>
      </w:r>
    </w:p>
    <w:p>
      <w:pPr>
        <w:pStyle w:val="58"/>
      </w:pPr>
      <w:r>
        <w:rPr>
          <w:rFonts w:hint="eastAsia"/>
        </w:rPr>
        <w:t>在评标期间，投标人企图影响采购人或评标委员会的任何活动，将导致投标被拒绝，并由其承担相应的法律责任。</w:t>
      </w:r>
    </w:p>
    <w:p>
      <w:pPr>
        <w:pStyle w:val="58"/>
      </w:pPr>
      <w:r>
        <w:rPr>
          <w:rFonts w:hint="eastAsia"/>
        </w:rPr>
        <w:t>关于投标人瑕疵滞后发现的处理规则：</w:t>
      </w:r>
    </w:p>
    <w:p>
      <w:pPr>
        <w:pStyle w:val="58"/>
      </w:pPr>
      <w:r>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pPr>
        <w:pStyle w:val="5"/>
        <w:numPr>
          <w:ilvl w:val="0"/>
          <w:numId w:val="11"/>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采购项目废标</w:t>
      </w:r>
    </w:p>
    <w:p>
      <w:pPr>
        <w:pStyle w:val="58"/>
      </w:pPr>
      <w:r>
        <w:rPr>
          <w:rFonts w:hint="eastAsia"/>
        </w:rPr>
        <w:t>在评标过程中，评标委员会发现有下列情形之一的，应对采购项目予以废标：</w:t>
      </w:r>
    </w:p>
    <w:p>
      <w:pPr>
        <w:pStyle w:val="58"/>
        <w:numPr>
          <w:ilvl w:val="0"/>
          <w:numId w:val="14"/>
        </w:numPr>
        <w:ind w:firstLineChars="0"/>
      </w:pPr>
      <w:r>
        <w:rPr>
          <w:rFonts w:hint="eastAsia"/>
        </w:rPr>
        <w:t>符合专业条件的供应商或者对招标文件作实质响应的供应商数量不足，导致进入实质性评审、打分阶段的供应商不足3家的；</w:t>
      </w:r>
    </w:p>
    <w:p>
      <w:pPr>
        <w:pStyle w:val="58"/>
        <w:numPr>
          <w:ilvl w:val="0"/>
          <w:numId w:val="14"/>
        </w:numPr>
        <w:ind w:firstLineChars="0"/>
      </w:pPr>
      <w:r>
        <w:rPr>
          <w:rFonts w:hint="eastAsia"/>
        </w:rPr>
        <w:t>报价等于或低于项目采购预算的投标人不足3家的；</w:t>
      </w:r>
    </w:p>
    <w:p>
      <w:pPr>
        <w:pStyle w:val="58"/>
        <w:numPr>
          <w:ilvl w:val="0"/>
          <w:numId w:val="14"/>
        </w:numPr>
        <w:ind w:firstLineChars="0"/>
      </w:pPr>
      <w:r>
        <w:rPr>
          <w:rFonts w:hint="eastAsia"/>
        </w:rPr>
        <w:t>出现影响采购公正的违法、违规行为的；</w:t>
      </w:r>
    </w:p>
    <w:p>
      <w:pPr>
        <w:pStyle w:val="58"/>
        <w:numPr>
          <w:ilvl w:val="0"/>
          <w:numId w:val="14"/>
        </w:numPr>
        <w:ind w:firstLineChars="0"/>
      </w:pPr>
      <w:r>
        <w:rPr>
          <w:rFonts w:hint="eastAsia"/>
        </w:rPr>
        <w:t>因重大变故，采购任务取消的。</w:t>
      </w:r>
    </w:p>
    <w:p>
      <w:pPr>
        <w:pStyle w:val="58"/>
      </w:pPr>
      <w:r>
        <w:rPr>
          <w:rFonts w:hint="eastAsia"/>
        </w:rPr>
        <w:t>采购项目废标后，评标委员会应作出书面报告。</w:t>
      </w:r>
    </w:p>
    <w:p>
      <w:pPr>
        <w:pStyle w:val="58"/>
      </w:pPr>
      <w:r>
        <w:rPr>
          <w:rFonts w:hint="eastAsia"/>
        </w:rPr>
        <w:t>废标后，采购人应当将废标结果通知所有投标人。</w:t>
      </w:r>
    </w:p>
    <w:p>
      <w:pPr>
        <w:pStyle w:val="4"/>
        <w:numPr>
          <w:ilvl w:val="0"/>
          <w:numId w:val="5"/>
        </w:numPr>
        <w:spacing w:line="415" w:lineRule="auto"/>
        <w:rPr>
          <w:rFonts w:asciiTheme="minorHAnsi" w:hAnsiTheme="minorHAnsi" w:eastAsiaTheme="minorEastAsia" w:cstheme="minorBidi"/>
        </w:rPr>
      </w:pPr>
      <w:bookmarkStart w:id="50" w:name="_Toc524103444"/>
      <w:r>
        <w:rPr>
          <w:rFonts w:hint="eastAsia" w:asciiTheme="minorHAnsi" w:hAnsiTheme="minorHAnsi" w:eastAsiaTheme="minorEastAsia" w:cstheme="minorBidi"/>
        </w:rPr>
        <w:t>签订合同</w:t>
      </w:r>
      <w:bookmarkEnd w:id="50"/>
    </w:p>
    <w:p>
      <w:pPr>
        <w:pStyle w:val="5"/>
        <w:numPr>
          <w:ilvl w:val="0"/>
          <w:numId w:val="15"/>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中标通知</w:t>
      </w:r>
    </w:p>
    <w:p>
      <w:pPr>
        <w:pStyle w:val="58"/>
      </w:pPr>
      <w:r>
        <w:rPr>
          <w:rFonts w:hint="eastAsia"/>
        </w:rPr>
        <w:t>中标人确定后,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pPr>
        <w:pStyle w:val="58"/>
      </w:pPr>
      <w:r>
        <w:rPr>
          <w:rFonts w:hint="eastAsia"/>
        </w:rPr>
        <w:t>中标通知书是合同的组成部分。</w:t>
      </w:r>
    </w:p>
    <w:p>
      <w:pPr>
        <w:pStyle w:val="58"/>
        <w:rPr>
          <w:rFonts w:ascii="Arial" w:hAnsi="Arial" w:cs="Arial"/>
        </w:rPr>
      </w:pPr>
      <w:r>
        <w:rPr>
          <w:rFonts w:ascii="Arial" w:hAnsi="Arial" w:cs="Arial"/>
        </w:rPr>
        <w:t>对未通过资格审查的投标人，采购人会当场告知其未通过的原因；</w:t>
      </w:r>
    </w:p>
    <w:p>
      <w:pPr>
        <w:pStyle w:val="58"/>
      </w:pPr>
      <w:r>
        <w:rPr>
          <w:rFonts w:ascii="Arial" w:hAnsi="Arial" w:cs="Arial"/>
        </w:rPr>
        <w:t>采用综合评分法评审的，采购人会通过邮件方式告知未中标人本人的评审得分与排序。</w:t>
      </w:r>
      <w:r>
        <w:rPr>
          <w:rFonts w:hint="eastAsia" w:ascii="Arial" w:hAnsi="Arial" w:cs="Arial"/>
        </w:rPr>
        <w:t>（邮件以发送投标确认函的邮箱为准）。</w:t>
      </w:r>
    </w:p>
    <w:p>
      <w:pPr>
        <w:pStyle w:val="5"/>
        <w:numPr>
          <w:ilvl w:val="0"/>
          <w:numId w:val="15"/>
        </w:numPr>
        <w:spacing w:before="120" w:after="120" w:line="377" w:lineRule="auto"/>
        <w:rPr>
          <w:rFonts w:ascii="Times New Roman" w:hAnsi="Times New Roman" w:eastAsiaTheme="majorEastAsia"/>
          <w:sz w:val="24"/>
        </w:rPr>
      </w:pPr>
      <w:r>
        <w:rPr>
          <w:rFonts w:hint="eastAsia" w:ascii="Times New Roman" w:hAnsi="Times New Roman" w:eastAsiaTheme="majorEastAsia"/>
          <w:sz w:val="24"/>
        </w:rPr>
        <w:t>签订合同</w:t>
      </w:r>
    </w:p>
    <w:p>
      <w:pPr>
        <w:pStyle w:val="58"/>
      </w:pPr>
      <w:r>
        <w:rPr>
          <w:rFonts w:hint="eastAsia"/>
        </w:rPr>
        <w:t>中标人应按中标通知书中规定的时间、地点与采购人签订中标合同。</w:t>
      </w:r>
    </w:p>
    <w:p>
      <w:pPr>
        <w:pStyle w:val="58"/>
      </w:pPr>
      <w:r>
        <w:rPr>
          <w:rFonts w:hint="eastAsia"/>
        </w:rPr>
        <w:t>中标人应按照招标文件、投标文件及评标过程中的有关澄清、说明或者补正文件的内容与采购人签订合同。中标人不得再与采购人签订背离合同实质性内容的其它协议或声明。</w:t>
      </w:r>
    </w:p>
    <w:p>
      <w:pPr>
        <w:pStyle w:val="58"/>
      </w:pPr>
      <w:r>
        <w:rPr>
          <w:rFonts w:hint="eastAsia"/>
        </w:rPr>
        <w:t>采购人如需追加与合同标的相同的货物，在不改变合同其他条款的前提下，中标人可与采购人协商签订补充合同。</w:t>
      </w:r>
    </w:p>
    <w:p>
      <w:pPr>
        <w:pStyle w:val="58"/>
      </w:pPr>
      <w:r>
        <w:rPr>
          <w:rFonts w:hint="eastAsia"/>
        </w:rPr>
        <w:t>中标人一旦中标，及签订合同后，不得转包，亦不得将合同全部及任何权利、义务向第三方转让。</w:t>
      </w:r>
    </w:p>
    <w:p>
      <w:pPr>
        <w:pStyle w:val="58"/>
      </w:pPr>
      <w:r>
        <w:rPr>
          <w:rFonts w:hint="eastAsia"/>
        </w:rPr>
        <w:t>中标人应当自合同或补充合同签订之日起五个工作日内，将合同副本报采购人备案。</w:t>
      </w:r>
    </w:p>
    <w:p>
      <w:pPr>
        <w:pStyle w:val="4"/>
        <w:numPr>
          <w:ilvl w:val="0"/>
          <w:numId w:val="5"/>
        </w:numPr>
        <w:spacing w:line="415" w:lineRule="auto"/>
        <w:rPr>
          <w:rFonts w:asciiTheme="minorHAnsi" w:hAnsiTheme="minorHAnsi" w:eastAsiaTheme="minorEastAsia" w:cstheme="minorBidi"/>
        </w:rPr>
      </w:pPr>
      <w:bookmarkStart w:id="51" w:name="_Toc524103445"/>
      <w:r>
        <w:rPr>
          <w:rFonts w:hint="eastAsia" w:asciiTheme="minorHAnsi" w:hAnsiTheme="minorHAnsi" w:eastAsiaTheme="minorEastAsia" w:cstheme="minorBidi"/>
        </w:rPr>
        <w:t>中标服务费</w:t>
      </w:r>
      <w:bookmarkEnd w:id="51"/>
    </w:p>
    <w:p>
      <w:pPr>
        <w:pStyle w:val="58"/>
      </w:pPr>
      <w:r>
        <w:rPr>
          <w:rFonts w:hint="eastAsia"/>
        </w:rPr>
        <w:t>本次招标收取中标服务费</w:t>
      </w:r>
      <w:r>
        <w:t>8000</w:t>
      </w:r>
      <w:r>
        <w:rPr>
          <w:rFonts w:hint="eastAsia"/>
        </w:rPr>
        <w:t>元（人民币</w:t>
      </w:r>
      <w:r>
        <w:t>捌仟元整</w:t>
      </w:r>
      <w:r>
        <w:rPr>
          <w:rFonts w:hint="eastAsia"/>
        </w:rPr>
        <w:t>），请投标人在测算投标报价时充分考虑这一因素。</w:t>
      </w:r>
    </w:p>
    <w:p>
      <w:pPr>
        <w:pStyle w:val="4"/>
        <w:numPr>
          <w:ilvl w:val="0"/>
          <w:numId w:val="5"/>
        </w:numPr>
        <w:spacing w:line="415" w:lineRule="auto"/>
        <w:rPr>
          <w:rFonts w:asciiTheme="minorHAnsi" w:hAnsiTheme="minorHAnsi" w:eastAsiaTheme="minorEastAsia" w:cstheme="minorBidi"/>
        </w:rPr>
      </w:pPr>
      <w:bookmarkStart w:id="52" w:name="_Toc524103446"/>
      <w:r>
        <w:rPr>
          <w:rFonts w:hint="eastAsia" w:asciiTheme="minorHAnsi" w:hAnsiTheme="minorHAnsi" w:eastAsiaTheme="minorEastAsia" w:cstheme="minorBidi"/>
        </w:rPr>
        <w:t>处罚、询问和质疑</w:t>
      </w:r>
      <w:bookmarkEnd w:id="52"/>
    </w:p>
    <w:p>
      <w:pPr>
        <w:pStyle w:val="58"/>
      </w:pPr>
      <w:r>
        <w:rPr>
          <w:rFonts w:hint="eastAsia"/>
        </w:rPr>
        <w:t>发生下列情况之一，投标人的投标保证金将被没收，并被列入不良记录名单，投标人今后参与同类政府采购项目的机会可能会受到影响：</w:t>
      </w:r>
    </w:p>
    <w:p>
      <w:pPr>
        <w:pStyle w:val="58"/>
        <w:numPr>
          <w:ilvl w:val="0"/>
          <w:numId w:val="16"/>
        </w:numPr>
        <w:ind w:firstLineChars="0"/>
      </w:pPr>
      <w:r>
        <w:rPr>
          <w:rFonts w:hint="eastAsia"/>
        </w:rPr>
        <w:t>开标后在投标有效期内，投标人撤回其投标；</w:t>
      </w:r>
    </w:p>
    <w:p>
      <w:pPr>
        <w:pStyle w:val="58"/>
        <w:numPr>
          <w:ilvl w:val="0"/>
          <w:numId w:val="16"/>
        </w:numPr>
        <w:ind w:firstLineChars="0"/>
      </w:pPr>
      <w:r>
        <w:rPr>
          <w:rFonts w:hint="eastAsia"/>
        </w:rPr>
        <w:t>中标人未按本招标文件规定签约；</w:t>
      </w:r>
    </w:p>
    <w:p>
      <w:pPr>
        <w:pStyle w:val="58"/>
        <w:numPr>
          <w:ilvl w:val="0"/>
          <w:numId w:val="16"/>
        </w:numPr>
        <w:ind w:firstLineChars="0"/>
      </w:pPr>
      <w:r>
        <w:rPr>
          <w:rFonts w:hint="eastAsia"/>
        </w:rPr>
        <w:t>中标人与采购人订立背离合同实质性内容的其它协议；</w:t>
      </w:r>
    </w:p>
    <w:p>
      <w:pPr>
        <w:pStyle w:val="58"/>
        <w:numPr>
          <w:ilvl w:val="0"/>
          <w:numId w:val="16"/>
        </w:numPr>
        <w:ind w:firstLineChars="0"/>
      </w:pPr>
      <w:r>
        <w:rPr>
          <w:rFonts w:hint="eastAsia"/>
        </w:rPr>
        <w:t>投标人其它未按招标文件规定和合同约定履行义务的行为。</w:t>
      </w:r>
    </w:p>
    <w:p>
      <w:pPr>
        <w:pStyle w:val="58"/>
        <w:numPr>
          <w:ilvl w:val="0"/>
          <w:numId w:val="16"/>
        </w:numPr>
        <w:ind w:firstLineChars="0"/>
      </w:pPr>
      <w:r>
        <w:rPr>
          <w:rFonts w:hint="eastAsia"/>
        </w:rPr>
        <w:t>投标人有权就招标事宜提出质疑</w:t>
      </w:r>
    </w:p>
    <w:p>
      <w:pPr>
        <w:pStyle w:val="58"/>
        <w:numPr>
          <w:ilvl w:val="0"/>
          <w:numId w:val="16"/>
        </w:numPr>
        <w:ind w:firstLineChars="0"/>
      </w:pPr>
      <w:r>
        <w:rPr>
          <w:rFonts w:hint="eastAsia"/>
        </w:rPr>
        <w:t>投标人对采购事项有疑问的，可以国家规定向采购人提出询问。</w:t>
      </w:r>
    </w:p>
    <w:p>
      <w:pPr>
        <w:pStyle w:val="58"/>
      </w:pPr>
      <w:r>
        <w:rPr>
          <w:rFonts w:hint="eastAsia"/>
        </w:rPr>
        <w:t>招标程序受《中华人民共和国政府采购法》和相关法律法规的约束，并受到严格的内部监察，以确保授予合同过程的公平公正。</w:t>
      </w:r>
    </w:p>
    <w:p>
      <w:pPr>
        <w:pStyle w:val="58"/>
      </w:pPr>
      <w:r>
        <w:rPr>
          <w:rFonts w:hint="eastAsia"/>
        </w:rPr>
        <w:t>投标人对招标文件条款或技术参数有异议的，应当在公告发出7个工作日内提出。投标人已经参与投标，并于开标后对招标文件提出质疑的，其质疑应当被视为无效质疑。</w:t>
      </w:r>
    </w:p>
    <w:p>
      <w:pPr>
        <w:pStyle w:val="58"/>
      </w:pPr>
      <w:r>
        <w:rPr>
          <w:rFonts w:hint="eastAsia"/>
        </w:rPr>
        <w:t xml:space="preserve">若投标人认为其投标未获公平评审或采购过程和中标结果使自己的合法权益受到损害的，可以在知道或者应知其权益受到损害之日起7个工作日内提出质疑。 </w:t>
      </w:r>
    </w:p>
    <w:p>
      <w:pPr>
        <w:pStyle w:val="58"/>
      </w:pPr>
      <w:r>
        <w:rPr>
          <w:rFonts w:hint="eastAsia"/>
        </w:rPr>
        <w:t>质疑应当以书面形式向采购人或采购人提出。</w:t>
      </w:r>
    </w:p>
    <w:p>
      <w:pPr>
        <w:pStyle w:val="58"/>
      </w:pPr>
      <w:r>
        <w:rPr>
          <w:rFonts w:hint="eastAsia"/>
        </w:rPr>
        <w:t>质疑人提起质疑应当符合下列条件：</w:t>
      </w:r>
    </w:p>
    <w:p>
      <w:pPr>
        <w:pStyle w:val="58"/>
        <w:numPr>
          <w:ilvl w:val="0"/>
          <w:numId w:val="17"/>
        </w:numPr>
        <w:ind w:firstLineChars="0"/>
      </w:pPr>
      <w:r>
        <w:rPr>
          <w:rFonts w:hint="eastAsia"/>
        </w:rPr>
        <w:t>质疑人是参与被质疑采购项目投标的供应商；</w:t>
      </w:r>
    </w:p>
    <w:p>
      <w:pPr>
        <w:pStyle w:val="58"/>
        <w:numPr>
          <w:ilvl w:val="0"/>
          <w:numId w:val="17"/>
        </w:numPr>
        <w:ind w:firstLineChars="0"/>
      </w:pPr>
      <w:r>
        <w:rPr>
          <w:rFonts w:hint="eastAsia"/>
        </w:rPr>
        <w:t>质疑书的内容和形式符合本办法的规定，有效线索和相关证据齐全；</w:t>
      </w:r>
    </w:p>
    <w:p>
      <w:pPr>
        <w:pStyle w:val="58"/>
        <w:numPr>
          <w:ilvl w:val="0"/>
          <w:numId w:val="17"/>
        </w:numPr>
        <w:ind w:firstLineChars="0"/>
      </w:pPr>
      <w:r>
        <w:rPr>
          <w:rFonts w:hint="eastAsia"/>
        </w:rPr>
        <w:t>在质疑有效期限内提起质疑；</w:t>
      </w:r>
    </w:p>
    <w:p>
      <w:pPr>
        <w:pStyle w:val="58"/>
        <w:numPr>
          <w:ilvl w:val="0"/>
          <w:numId w:val="17"/>
        </w:numPr>
        <w:ind w:firstLineChars="0"/>
      </w:pPr>
      <w:r>
        <w:rPr>
          <w:rFonts w:hint="eastAsia"/>
        </w:rPr>
        <w:t>有关法律、行政法规、财政部规章规定的其他条件。</w:t>
      </w:r>
    </w:p>
    <w:p>
      <w:pPr>
        <w:pStyle w:val="58"/>
      </w:pPr>
      <w:r>
        <w:t>质疑书应当以《</w:t>
      </w:r>
      <w:r>
        <w:rPr>
          <w:rFonts w:hint="eastAsia"/>
        </w:rPr>
        <w:t>质疑函</w:t>
      </w:r>
      <w:r>
        <w:t>》的形式出现</w:t>
      </w:r>
      <w:r>
        <w:rPr>
          <w:rFonts w:hint="eastAsia"/>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pPr>
        <w:pStyle w:val="58"/>
      </w:pPr>
      <w:r>
        <w:rPr>
          <w:rFonts w:hint="eastAsia"/>
        </w:rPr>
        <w:t>质疑书的递交应到采购人办公室递交原件，办理文件签收手续。</w:t>
      </w:r>
    </w:p>
    <w:p>
      <w:pPr>
        <w:pStyle w:val="58"/>
      </w:pPr>
      <w:r>
        <w:rPr>
          <w:rFonts w:hint="eastAsia"/>
        </w:rPr>
        <w:t>地址：北京市海淀区学院南路39号中央财经大学办公楼203室；</w:t>
      </w:r>
    </w:p>
    <w:p>
      <w:pPr>
        <w:pStyle w:val="58"/>
      </w:pPr>
      <w:r>
        <w:rPr>
          <w:rFonts w:hint="eastAsia"/>
        </w:rPr>
        <w:t>联系电话：010-62288125；</w:t>
      </w:r>
    </w:p>
    <w:p>
      <w:pPr>
        <w:pStyle w:val="58"/>
      </w:pPr>
      <w:r>
        <w:rPr>
          <w:rFonts w:hint="eastAsia"/>
        </w:rPr>
        <w:t>传真或复印件等采购人有权不予受理。</w:t>
      </w:r>
    </w:p>
    <w:p>
      <w:pPr>
        <w:pStyle w:val="58"/>
      </w:pPr>
      <w:r>
        <w:rPr>
          <w:rFonts w:hint="eastAsia"/>
        </w:rPr>
        <w:t>有下列情形之一的，属于无效质疑，采购人可不予受理：</w:t>
      </w:r>
    </w:p>
    <w:p>
      <w:pPr>
        <w:pStyle w:val="58"/>
        <w:numPr>
          <w:ilvl w:val="0"/>
          <w:numId w:val="18"/>
        </w:numPr>
        <w:ind w:firstLineChars="0"/>
      </w:pPr>
      <w:r>
        <w:rPr>
          <w:rFonts w:hint="eastAsia"/>
        </w:rPr>
        <w:t>未在有效期限内提出质疑的；</w:t>
      </w:r>
    </w:p>
    <w:p>
      <w:pPr>
        <w:pStyle w:val="58"/>
        <w:numPr>
          <w:ilvl w:val="0"/>
          <w:numId w:val="18"/>
        </w:numPr>
        <w:ind w:firstLineChars="0"/>
      </w:pPr>
      <w:r>
        <w:rPr>
          <w:rFonts w:hint="eastAsia"/>
        </w:rPr>
        <w:t>质疑未以书面形式提出的；</w:t>
      </w:r>
    </w:p>
    <w:p>
      <w:pPr>
        <w:pStyle w:val="58"/>
        <w:numPr>
          <w:ilvl w:val="0"/>
          <w:numId w:val="18"/>
        </w:numPr>
        <w:ind w:firstLineChars="0"/>
      </w:pPr>
      <w:r>
        <w:rPr>
          <w:rFonts w:hint="eastAsia"/>
        </w:rPr>
        <w:t>质疑书为传真或复印件的；</w:t>
      </w:r>
    </w:p>
    <w:p>
      <w:pPr>
        <w:pStyle w:val="58"/>
        <w:numPr>
          <w:ilvl w:val="0"/>
          <w:numId w:val="18"/>
        </w:numPr>
        <w:ind w:firstLineChars="0"/>
      </w:pPr>
      <w:r>
        <w:rPr>
          <w:rFonts w:hint="eastAsia"/>
        </w:rPr>
        <w:t>所提交材料没有以</w:t>
      </w:r>
      <w:r>
        <w:t>《</w:t>
      </w:r>
      <w:r>
        <w:rPr>
          <w:rFonts w:hint="eastAsia"/>
        </w:rPr>
        <w:t>质疑函</w:t>
      </w:r>
      <w:r>
        <w:t>》</w:t>
      </w:r>
      <w:r>
        <w:rPr>
          <w:rFonts w:hint="eastAsia"/>
        </w:rPr>
        <w:t>命名的；</w:t>
      </w:r>
    </w:p>
    <w:p>
      <w:pPr>
        <w:pStyle w:val="58"/>
        <w:numPr>
          <w:ilvl w:val="0"/>
          <w:numId w:val="18"/>
        </w:numPr>
        <w:ind w:firstLineChars="0"/>
      </w:pPr>
      <w:r>
        <w:rPr>
          <w:rFonts w:hint="eastAsia"/>
        </w:rPr>
        <w:t>质疑书没有法定代表人签署本人姓名或印盖本人姓名章并加盖单位公章；</w:t>
      </w:r>
    </w:p>
    <w:p>
      <w:pPr>
        <w:pStyle w:val="58"/>
        <w:numPr>
          <w:ilvl w:val="0"/>
          <w:numId w:val="18"/>
        </w:numPr>
        <w:ind w:firstLineChars="0"/>
      </w:pPr>
      <w:r>
        <w:rPr>
          <w:rFonts w:hint="eastAsia"/>
        </w:rPr>
        <w:t>质疑书由参加采购项目的授权代表签署本人姓名或印盖本人姓名章的，没有法定代表人的特别授权；</w:t>
      </w:r>
    </w:p>
    <w:p>
      <w:pPr>
        <w:pStyle w:val="58"/>
        <w:numPr>
          <w:ilvl w:val="0"/>
          <w:numId w:val="18"/>
        </w:numPr>
        <w:ind w:firstLineChars="0"/>
      </w:pPr>
      <w:r>
        <w:rPr>
          <w:rFonts w:hint="eastAsia"/>
        </w:rPr>
        <w:t>质疑书加盖合同专用章的；</w:t>
      </w:r>
    </w:p>
    <w:p>
      <w:pPr>
        <w:pStyle w:val="58"/>
        <w:numPr>
          <w:ilvl w:val="0"/>
          <w:numId w:val="18"/>
        </w:numPr>
        <w:ind w:firstLineChars="0"/>
      </w:pPr>
      <w:r>
        <w:rPr>
          <w:rFonts w:hint="eastAsia"/>
        </w:rPr>
        <w:t>质疑书未提供有效联系人或联系方式的；</w:t>
      </w:r>
    </w:p>
    <w:p>
      <w:pPr>
        <w:pStyle w:val="58"/>
        <w:numPr>
          <w:ilvl w:val="0"/>
          <w:numId w:val="18"/>
        </w:numPr>
        <w:ind w:firstLineChars="0"/>
      </w:pPr>
      <w:r>
        <w:rPr>
          <w:rFonts w:hint="eastAsia"/>
        </w:rPr>
        <w:t>质疑事项已经进入投诉或者诉讼程序的；</w:t>
      </w:r>
    </w:p>
    <w:p>
      <w:pPr>
        <w:pStyle w:val="58"/>
        <w:numPr>
          <w:ilvl w:val="0"/>
          <w:numId w:val="18"/>
        </w:numPr>
        <w:ind w:firstLineChars="0"/>
      </w:pPr>
      <w:r>
        <w:rPr>
          <w:rFonts w:hint="eastAsia"/>
        </w:rPr>
        <w:t>其它不符合受理条件的情形。</w:t>
      </w:r>
    </w:p>
    <w:p>
      <w:pPr>
        <w:pStyle w:val="58"/>
      </w:pPr>
      <w:r>
        <w:rPr>
          <w:rFonts w:hint="eastAsia"/>
        </w:rPr>
        <w:t>采购人将在收到书面质疑后7个工作日内审查质疑事项，作出答复或相关处理决定，并以书面形式通知质疑投标人和其他有关供应商，但答复的内容不涉及商业秘密。若质疑涉及政府采购制度或程序，将被转交政府采购的管理部门审查。</w:t>
      </w:r>
    </w:p>
    <w:p>
      <w:pPr>
        <w:pStyle w:val="58"/>
      </w:pPr>
      <w:r>
        <w:rPr>
          <w:rFonts w:hint="eastAsia"/>
        </w:rPr>
        <w:t>质疑人有下列情形之一的，采购人应驳回质疑：</w:t>
      </w:r>
    </w:p>
    <w:p>
      <w:pPr>
        <w:pStyle w:val="58"/>
      </w:pPr>
      <w:r>
        <w:rPr>
          <w:rFonts w:hint="eastAsia"/>
        </w:rPr>
        <w:t>（1）质疑缺乏事实和法律依据的；</w:t>
      </w:r>
    </w:p>
    <w:p>
      <w:pPr>
        <w:pStyle w:val="58"/>
      </w:pPr>
      <w:r>
        <w:rPr>
          <w:rFonts w:hint="eastAsia"/>
        </w:rPr>
        <w:t>（2）质疑人捏造事实、提供虚假材料，或在一定期限内多次质疑而无实据的；</w:t>
      </w:r>
    </w:p>
    <w:p>
      <w:pPr>
        <w:pStyle w:val="58"/>
      </w:pPr>
      <w:r>
        <w:rPr>
          <w:rFonts w:hint="eastAsia"/>
        </w:rPr>
        <w:t>（3）质疑已经处理并答复后，质疑人就同一事项又提起质疑且未提供新的有效证据的；</w:t>
      </w:r>
    </w:p>
    <w:p>
      <w:pPr>
        <w:pStyle w:val="58"/>
      </w:pPr>
      <w:r>
        <w:rPr>
          <w:rFonts w:hint="eastAsia"/>
        </w:rPr>
        <w:t>（4）其他根据相关法律、法规应当予以驳回的情形。</w:t>
      </w:r>
    </w:p>
    <w:p>
      <w:pPr>
        <w:pStyle w:val="58"/>
      </w:pPr>
      <w:r>
        <w:rPr>
          <w:rFonts w:hint="eastAsia"/>
        </w:rPr>
        <w:t>供应商进行虚假和恶意质疑的，采购人可以提请有关部门将其列入不良记录名单，在一至三年内禁止参加政府采购活动，并将处理决定在相关政府采购媒体上公布。</w:t>
      </w:r>
    </w:p>
    <w:p>
      <w:pPr>
        <w:pStyle w:val="58"/>
      </w:pPr>
      <w:r>
        <w:rPr>
          <w:rFonts w:hint="eastAsia"/>
        </w:rPr>
        <w:t>质疑投标人对采购人或采购人的答复不满意以及采购人或采购人未在规定的时间内做出答复的，可以在答复期满后15个工作日内向政府采购监督管理部门投诉。</w:t>
      </w:r>
    </w:p>
    <w:p>
      <w:pPr>
        <w:pStyle w:val="4"/>
        <w:numPr>
          <w:ilvl w:val="0"/>
          <w:numId w:val="5"/>
        </w:numPr>
        <w:spacing w:line="415" w:lineRule="auto"/>
        <w:rPr>
          <w:rFonts w:asciiTheme="minorHAnsi" w:hAnsiTheme="minorHAnsi" w:eastAsiaTheme="minorEastAsia" w:cstheme="minorBidi"/>
        </w:rPr>
      </w:pPr>
      <w:bookmarkStart w:id="53" w:name="_Toc524103447"/>
      <w:r>
        <w:rPr>
          <w:rFonts w:hint="eastAsia" w:asciiTheme="minorHAnsi" w:hAnsiTheme="minorHAnsi" w:eastAsiaTheme="minorEastAsia" w:cstheme="minorBidi"/>
        </w:rPr>
        <w:t>保密和披露</w:t>
      </w:r>
      <w:bookmarkEnd w:id="53"/>
    </w:p>
    <w:p>
      <w:pPr>
        <w:pStyle w:val="58"/>
      </w:pPr>
      <w:r>
        <w:rPr>
          <w:rFonts w:hint="eastAsia"/>
        </w:rPr>
        <w:t>投标人自领取招标文件之日起，须承诺承担本招标项目的保密义务，不得将因本次招标获得的信息向第三人外传。</w:t>
      </w:r>
    </w:p>
    <w:p>
      <w:pPr>
        <w:pStyle w:val="58"/>
      </w:pPr>
      <w:r>
        <w:rPr>
          <w:rFonts w:hint="eastAsia"/>
        </w:rPr>
        <w:t>采购人有权将投标人提供的所有资料向有关政府部门或评审标书的有关人员披露。</w:t>
      </w:r>
    </w:p>
    <w:p>
      <w:pPr>
        <w:pStyle w:val="58"/>
      </w:pPr>
      <w:r>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41"/>
    <w:p>
      <w:pPr>
        <w:pStyle w:val="58"/>
        <w:sectPr>
          <w:footerReference r:id="rId6" w:type="default"/>
          <w:pgSz w:w="11906" w:h="16838"/>
          <w:pgMar w:top="1134" w:right="1134" w:bottom="1021" w:left="1418" w:header="851" w:footer="851" w:gutter="0"/>
          <w:pgNumType w:start="1"/>
          <w:cols w:space="720" w:num="1"/>
          <w:docGrid w:type="linesAndChars" w:linePitch="312" w:charSpace="0"/>
        </w:sectPr>
      </w:pPr>
    </w:p>
    <w:p>
      <w:pPr>
        <w:pStyle w:val="3"/>
        <w:spacing w:line="415" w:lineRule="auto"/>
        <w:ind w:left="420" w:hanging="420"/>
        <w:jc w:val="center"/>
        <w:rPr>
          <w:rFonts w:ascii="Times New Roman" w:hAnsi="Times New Roman" w:eastAsiaTheme="majorEastAsia"/>
        </w:rPr>
      </w:pPr>
      <w:r>
        <w:rPr>
          <w:rFonts w:hint="eastAsia" w:ascii="Times New Roman" w:hAnsi="Times New Roman" w:eastAsiaTheme="majorEastAsia"/>
        </w:rPr>
        <w:t xml:space="preserve"> </w:t>
      </w:r>
      <w:bookmarkStart w:id="54" w:name="_Toc524103448"/>
      <w:bookmarkStart w:id="55" w:name="_Ref492453764"/>
      <w:r>
        <w:rPr>
          <w:rFonts w:hint="eastAsia" w:ascii="Times New Roman" w:hAnsi="Times New Roman" w:eastAsiaTheme="majorEastAsia"/>
        </w:rPr>
        <w:t>第四部分  评标标准和评标办法</w:t>
      </w:r>
      <w:bookmarkEnd w:id="54"/>
      <w:bookmarkEnd w:id="55"/>
    </w:p>
    <w:p>
      <w:pPr>
        <w:pStyle w:val="4"/>
        <w:spacing w:line="415" w:lineRule="auto"/>
        <w:rPr>
          <w:rFonts w:asciiTheme="minorHAnsi" w:hAnsiTheme="minorHAnsi" w:eastAsiaTheme="minorEastAsia" w:cstheme="minorBidi"/>
        </w:rPr>
      </w:pPr>
      <w:bookmarkStart w:id="56" w:name="_Toc524103449"/>
      <w:r>
        <w:rPr>
          <w:rFonts w:hint="eastAsia" w:asciiTheme="minorHAnsi" w:hAnsiTheme="minorHAnsi" w:eastAsiaTheme="minorEastAsia" w:cstheme="minorBidi"/>
        </w:rPr>
        <w:t>评标标准和办法：综合评分法</w:t>
      </w:r>
      <w:bookmarkEnd w:id="56"/>
    </w:p>
    <w:p>
      <w:pPr>
        <w:pStyle w:val="58"/>
      </w:pPr>
      <w:r>
        <w:rPr>
          <w:rFonts w:hint="eastAsia"/>
        </w:rPr>
        <w:t>本项目的评标，由专家根据投标方案和投标产品的</w:t>
      </w:r>
      <w:r>
        <w:rPr>
          <w:rFonts w:hint="eastAsia" w:ascii="宋体" w:hAnsi="宋体" w:eastAsia="宋体"/>
          <w:szCs w:val="21"/>
        </w:rPr>
        <w:t>商务、服务和技术等因素</w:t>
      </w:r>
      <w:r>
        <w:rPr>
          <w:rFonts w:hint="eastAsia"/>
        </w:rPr>
        <w:t>进行评分，总分为</w:t>
      </w:r>
      <w:r>
        <w:t>100</w:t>
      </w:r>
      <w:r>
        <w:rPr>
          <w:rFonts w:hint="eastAsia"/>
        </w:rPr>
        <w:t>分，投标方的最终得分是所有评委给其的评分后的算术平均值，各分项如下：</w:t>
      </w:r>
    </w:p>
    <w:tbl>
      <w:tblPr>
        <w:tblStyle w:val="2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84"/>
        <w:gridCol w:w="6194"/>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702" w:type="dxa"/>
            <w:vAlign w:val="center"/>
          </w:tcPr>
          <w:p>
            <w:pPr>
              <w:snapToGrid w:val="0"/>
              <w:rPr>
                <w:rFonts w:ascii="宋体" w:hAnsi="宋体" w:cs="宋体"/>
                <w:szCs w:val="21"/>
              </w:rPr>
            </w:pPr>
            <w:bookmarkStart w:id="57" w:name="_Toc524103450"/>
            <w:r>
              <w:rPr>
                <w:rFonts w:hint="eastAsia" w:ascii="宋体" w:hAnsi="宋体" w:cs="宋体"/>
                <w:szCs w:val="21"/>
              </w:rPr>
              <w:t>评分项</w:t>
            </w:r>
          </w:p>
        </w:tc>
        <w:tc>
          <w:tcPr>
            <w:tcW w:w="1484" w:type="dxa"/>
            <w:vAlign w:val="center"/>
          </w:tcPr>
          <w:p>
            <w:pPr>
              <w:snapToGrid w:val="0"/>
              <w:rPr>
                <w:rFonts w:ascii="宋体" w:hAnsi="宋体" w:cs="宋体"/>
                <w:szCs w:val="21"/>
              </w:rPr>
            </w:pPr>
            <w:r>
              <w:rPr>
                <w:rFonts w:hint="eastAsia" w:ascii="宋体" w:hAnsi="宋体" w:cs="宋体"/>
                <w:szCs w:val="21"/>
              </w:rPr>
              <w:t>名称</w:t>
            </w:r>
          </w:p>
        </w:tc>
        <w:tc>
          <w:tcPr>
            <w:tcW w:w="6194" w:type="dxa"/>
            <w:vAlign w:val="center"/>
          </w:tcPr>
          <w:p>
            <w:pPr>
              <w:snapToGrid w:val="0"/>
              <w:rPr>
                <w:rFonts w:ascii="宋体" w:hAnsi="宋体" w:cs="宋体"/>
                <w:szCs w:val="21"/>
              </w:rPr>
            </w:pPr>
            <w:r>
              <w:rPr>
                <w:rFonts w:hint="eastAsia" w:ascii="宋体" w:hAnsi="宋体" w:cs="宋体"/>
                <w:szCs w:val="21"/>
              </w:rPr>
              <w:t>评分标准</w:t>
            </w:r>
          </w:p>
        </w:tc>
        <w:tc>
          <w:tcPr>
            <w:tcW w:w="1254" w:type="dxa"/>
            <w:vAlign w:val="center"/>
          </w:tcPr>
          <w:p>
            <w:pPr>
              <w:snapToGrid w:val="0"/>
              <w:rPr>
                <w:rFonts w:ascii="宋体" w:hAnsi="宋体" w:cs="宋体"/>
                <w:szCs w:val="21"/>
              </w:rPr>
            </w:pPr>
            <w:r>
              <w:rPr>
                <w:rFonts w:hint="eastAsia" w:ascii="宋体" w:hAnsi="宋体" w:cs="宋体"/>
                <w:szCs w:val="21"/>
              </w:rPr>
              <w:t>分值</w:t>
            </w:r>
          </w:p>
          <w:p>
            <w:pPr>
              <w:snapToGrid w:val="0"/>
              <w:rPr>
                <w:rFonts w:ascii="宋体" w:hAnsi="宋体" w:cs="宋体"/>
                <w:szCs w:val="21"/>
              </w:rPr>
            </w:pPr>
            <w:r>
              <w:rPr>
                <w:rFonts w:hint="eastAsia" w:ascii="宋体" w:hAnsi="宋体" w:cs="宋体"/>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vAlign w:val="center"/>
          </w:tcPr>
          <w:p>
            <w:pPr>
              <w:snapToGrid w:val="0"/>
              <w:jc w:val="center"/>
              <w:rPr>
                <w:rFonts w:ascii="宋体" w:hAnsi="宋体" w:cs="宋体"/>
                <w:szCs w:val="21"/>
              </w:rPr>
            </w:pPr>
            <w:r>
              <w:rPr>
                <w:rFonts w:hint="eastAsia" w:ascii="宋体" w:hAnsi="宋体" w:cs="宋体"/>
                <w:szCs w:val="21"/>
              </w:rPr>
              <w:t>商务</w:t>
            </w:r>
          </w:p>
          <w:p>
            <w:pPr>
              <w:snapToGrid w:val="0"/>
              <w:jc w:val="center"/>
              <w:rPr>
                <w:rFonts w:ascii="宋体" w:hAnsi="宋体" w:cs="宋体"/>
                <w:szCs w:val="21"/>
              </w:rPr>
            </w:pPr>
            <w:r>
              <w:rPr>
                <w:rFonts w:hint="eastAsia" w:ascii="宋体" w:hAnsi="宋体" w:cs="宋体"/>
                <w:szCs w:val="21"/>
              </w:rPr>
              <w:t>部分</w:t>
            </w:r>
          </w:p>
        </w:tc>
        <w:tc>
          <w:tcPr>
            <w:tcW w:w="1484" w:type="dxa"/>
            <w:vAlign w:val="center"/>
          </w:tcPr>
          <w:p>
            <w:pPr>
              <w:snapToGrid w:val="0"/>
              <w:rPr>
                <w:rFonts w:ascii="宋体" w:hAnsi="宋体" w:cs="宋体"/>
                <w:szCs w:val="21"/>
              </w:rPr>
            </w:pPr>
            <w:r>
              <w:rPr>
                <w:rFonts w:hint="eastAsia" w:ascii="宋体" w:hAnsi="宋体" w:cs="宋体"/>
                <w:szCs w:val="21"/>
              </w:rPr>
              <w:t>标书质量（客观分）</w:t>
            </w:r>
          </w:p>
        </w:tc>
        <w:tc>
          <w:tcPr>
            <w:tcW w:w="6194" w:type="dxa"/>
          </w:tcPr>
          <w:p>
            <w:pPr>
              <w:snapToGrid w:val="0"/>
              <w:rPr>
                <w:rFonts w:ascii="宋体" w:hAnsi="宋体" w:cs="宋体"/>
                <w:szCs w:val="21"/>
              </w:rPr>
            </w:pPr>
            <w:r>
              <w:rPr>
                <w:rFonts w:hint="eastAsia" w:ascii="宋体" w:hAnsi="宋体" w:cs="宋体"/>
                <w:szCs w:val="21"/>
              </w:rPr>
              <w:t>1. 有目录索引、页码无错乱、标题、编号、正文、表格等排版规范得1分，每出现一个错误扣0.2分，扣完为止。（1分）</w:t>
            </w:r>
          </w:p>
          <w:p>
            <w:pPr>
              <w:snapToGrid w:val="0"/>
              <w:rPr>
                <w:rFonts w:ascii="宋体" w:hAnsi="宋体" w:cs="宋体"/>
                <w:szCs w:val="21"/>
              </w:rPr>
            </w:pPr>
            <w:r>
              <w:rPr>
                <w:rFonts w:hint="eastAsia" w:ascii="宋体" w:hAnsi="宋体" w:cs="宋体"/>
                <w:szCs w:val="21"/>
              </w:rPr>
              <w:t>2. 双面打印得0.5分。（0.5分）</w:t>
            </w:r>
          </w:p>
          <w:p>
            <w:pPr>
              <w:snapToGrid w:val="0"/>
              <w:rPr>
                <w:rFonts w:ascii="宋体" w:hAnsi="宋体" w:cs="宋体"/>
                <w:szCs w:val="21"/>
              </w:rPr>
            </w:pPr>
            <w:r>
              <w:rPr>
                <w:rFonts w:hint="eastAsia" w:ascii="宋体" w:hAnsi="宋体" w:cs="宋体"/>
                <w:szCs w:val="21"/>
              </w:rPr>
              <w:t>3. 证件复印、正文内容清晰得0.5分，每有一个证件或一页不清晰扣0.1分，扣完为止。（0.5分）</w:t>
            </w:r>
          </w:p>
        </w:tc>
        <w:tc>
          <w:tcPr>
            <w:tcW w:w="1254" w:type="dxa"/>
            <w:vAlign w:val="center"/>
          </w:tcPr>
          <w:p>
            <w:pPr>
              <w:snapToGrid w:val="0"/>
              <w:jc w:val="center"/>
              <w:rPr>
                <w:rFonts w:ascii="宋体" w:hAnsi="宋体" w:cs="宋体"/>
                <w:szCs w:val="21"/>
              </w:rPr>
            </w:pPr>
            <w:r>
              <w:rPr>
                <w:rFonts w:hint="eastAsia" w:ascii="宋体" w:hAnsi="宋体" w:cs="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vAlign w:val="center"/>
          </w:tcPr>
          <w:p>
            <w:pPr>
              <w:snapToGrid w:val="0"/>
              <w:jc w:val="center"/>
              <w:rPr>
                <w:rFonts w:ascii="宋体" w:hAnsi="宋体" w:cs="宋体"/>
                <w:szCs w:val="21"/>
              </w:rPr>
            </w:pPr>
            <w:r>
              <w:rPr>
                <w:rFonts w:hint="eastAsia" w:ascii="宋体" w:hAnsi="宋体" w:cs="宋体"/>
                <w:szCs w:val="21"/>
              </w:rPr>
              <w:t>服务</w:t>
            </w:r>
          </w:p>
          <w:p>
            <w:pPr>
              <w:snapToGrid w:val="0"/>
              <w:jc w:val="center"/>
              <w:rPr>
                <w:rFonts w:ascii="宋体" w:hAnsi="宋体" w:cs="宋体"/>
                <w:szCs w:val="21"/>
              </w:rPr>
            </w:pPr>
            <w:r>
              <w:rPr>
                <w:rFonts w:hint="eastAsia" w:ascii="宋体" w:hAnsi="宋体" w:cs="宋体"/>
                <w:szCs w:val="21"/>
              </w:rPr>
              <w:t>部分</w:t>
            </w:r>
          </w:p>
        </w:tc>
        <w:tc>
          <w:tcPr>
            <w:tcW w:w="1484" w:type="dxa"/>
            <w:vAlign w:val="center"/>
          </w:tcPr>
          <w:p>
            <w:pPr>
              <w:snapToGrid w:val="0"/>
              <w:rPr>
                <w:rFonts w:ascii="宋体" w:hAnsi="宋体" w:cs="宋体"/>
                <w:szCs w:val="21"/>
              </w:rPr>
            </w:pPr>
            <w:r>
              <w:rPr>
                <w:rFonts w:hint="eastAsia" w:ascii="宋体" w:hAnsi="宋体" w:cs="宋体"/>
                <w:szCs w:val="21"/>
              </w:rPr>
              <w:t>满足服务指标情况（客观分）</w:t>
            </w:r>
          </w:p>
        </w:tc>
        <w:tc>
          <w:tcPr>
            <w:tcW w:w="6194" w:type="dxa"/>
          </w:tcPr>
          <w:p>
            <w:pPr>
              <w:snapToGrid w:val="0"/>
              <w:rPr>
                <w:rFonts w:ascii="宋体" w:hAnsi="宋体" w:cs="宋体"/>
                <w:szCs w:val="21"/>
              </w:rPr>
            </w:pPr>
            <w:r>
              <w:rPr>
                <w:rFonts w:hint="eastAsia" w:ascii="宋体" w:hAnsi="宋体" w:cs="宋体"/>
                <w:szCs w:val="21"/>
              </w:rPr>
              <w:t>4. 满足技术需求文件中服务要求的全部指标得满分，其中无标识则表示一般指标项，不满足扣</w:t>
            </w:r>
            <w:r>
              <w:rPr>
                <w:rFonts w:ascii="宋体" w:hAnsi="宋体" w:cs="宋体"/>
                <w:szCs w:val="21"/>
              </w:rPr>
              <w:t>1</w:t>
            </w:r>
            <w:r>
              <w:rPr>
                <w:rFonts w:hint="eastAsia" w:ascii="宋体" w:hAnsi="宋体" w:cs="宋体"/>
                <w:szCs w:val="21"/>
              </w:rPr>
              <w:t>分，有#号标识为重要指标，不满足扣2分，扣完为止。（20分）</w:t>
            </w:r>
          </w:p>
        </w:tc>
        <w:tc>
          <w:tcPr>
            <w:tcW w:w="1254" w:type="dxa"/>
            <w:vAlign w:val="center"/>
          </w:tcPr>
          <w:p>
            <w:pPr>
              <w:snapToGrid w:val="0"/>
              <w:jc w:val="center"/>
              <w:rPr>
                <w:rFonts w:ascii="宋体" w:hAnsi="宋体" w:cs="宋体"/>
                <w:szCs w:val="21"/>
              </w:rPr>
            </w:pPr>
            <w:r>
              <w:rPr>
                <w:rFonts w:hint="eastAsia" w:ascii="宋体" w:hAnsi="宋体" w:cs="宋体"/>
                <w:szCs w:val="21"/>
              </w:rPr>
              <w:t>0-</w:t>
            </w:r>
            <w:r>
              <w:rPr>
                <w:rFonts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702" w:type="dxa"/>
            <w:vMerge w:val="restart"/>
            <w:vAlign w:val="center"/>
          </w:tcPr>
          <w:p>
            <w:pPr>
              <w:snapToGrid w:val="0"/>
              <w:jc w:val="center"/>
              <w:rPr>
                <w:rFonts w:ascii="宋体" w:hAnsi="宋体" w:cs="宋体"/>
                <w:szCs w:val="21"/>
              </w:rPr>
            </w:pPr>
            <w:r>
              <w:rPr>
                <w:rFonts w:hint="eastAsia" w:ascii="宋体" w:hAnsi="宋体" w:cs="宋体"/>
                <w:szCs w:val="21"/>
              </w:rPr>
              <w:t>技术</w:t>
            </w:r>
          </w:p>
          <w:p>
            <w:pPr>
              <w:snapToGrid w:val="0"/>
              <w:jc w:val="center"/>
              <w:rPr>
                <w:rFonts w:ascii="宋体" w:hAnsi="宋体" w:cs="宋体"/>
                <w:szCs w:val="21"/>
              </w:rPr>
            </w:pPr>
            <w:r>
              <w:rPr>
                <w:rFonts w:hint="eastAsia" w:ascii="宋体" w:hAnsi="宋体" w:cs="宋体"/>
                <w:szCs w:val="21"/>
              </w:rPr>
              <w:t>部分</w:t>
            </w:r>
          </w:p>
        </w:tc>
        <w:tc>
          <w:tcPr>
            <w:tcW w:w="1484" w:type="dxa"/>
            <w:vAlign w:val="center"/>
          </w:tcPr>
          <w:p>
            <w:pPr>
              <w:snapToGrid w:val="0"/>
              <w:rPr>
                <w:rFonts w:ascii="宋体" w:hAnsi="宋体" w:cs="宋体"/>
                <w:szCs w:val="21"/>
              </w:rPr>
            </w:pPr>
            <w:r>
              <w:rPr>
                <w:rFonts w:hint="eastAsia" w:ascii="宋体" w:hAnsi="宋体" w:cs="宋体"/>
                <w:szCs w:val="21"/>
              </w:rPr>
              <w:t>满足技术指标情况（客观分）</w:t>
            </w:r>
          </w:p>
        </w:tc>
        <w:tc>
          <w:tcPr>
            <w:tcW w:w="6194" w:type="dxa"/>
          </w:tcPr>
          <w:p>
            <w:pPr>
              <w:snapToGrid w:val="0"/>
              <w:rPr>
                <w:rFonts w:ascii="宋体" w:hAnsi="宋体" w:cs="宋体"/>
                <w:szCs w:val="21"/>
              </w:rPr>
            </w:pPr>
            <w:r>
              <w:rPr>
                <w:rFonts w:hint="eastAsia" w:ascii="宋体" w:hAnsi="宋体" w:cs="宋体"/>
                <w:szCs w:val="21"/>
              </w:rPr>
              <w:t>5. 满足技术需求文件中产品技术指标的全部技术指标得满分，其中无标识则表示一般指标项，不满足扣</w:t>
            </w:r>
            <w:r>
              <w:rPr>
                <w:rFonts w:ascii="宋体" w:hAnsi="宋体" w:cs="宋体"/>
                <w:szCs w:val="21"/>
              </w:rPr>
              <w:t>1</w:t>
            </w:r>
            <w:r>
              <w:rPr>
                <w:rFonts w:hint="eastAsia" w:ascii="宋体" w:hAnsi="宋体" w:cs="宋体"/>
                <w:szCs w:val="21"/>
              </w:rPr>
              <w:t>分，有#号标识为重要指标，不满足扣2分，扣完为止。（2</w:t>
            </w:r>
            <w:r>
              <w:rPr>
                <w:rFonts w:ascii="宋体" w:hAnsi="宋体" w:cs="宋体"/>
                <w:szCs w:val="21"/>
              </w:rPr>
              <w:t>0</w:t>
            </w:r>
            <w:r>
              <w:rPr>
                <w:rFonts w:hint="eastAsia" w:ascii="宋体" w:hAnsi="宋体" w:cs="宋体"/>
                <w:szCs w:val="21"/>
              </w:rPr>
              <w:t>分）</w:t>
            </w:r>
          </w:p>
        </w:tc>
        <w:tc>
          <w:tcPr>
            <w:tcW w:w="1254" w:type="dxa"/>
            <w:vAlign w:val="center"/>
          </w:tcPr>
          <w:p>
            <w:pPr>
              <w:snapToGrid w:val="0"/>
              <w:jc w:val="center"/>
              <w:rPr>
                <w:rFonts w:ascii="宋体" w:hAnsi="宋体" w:cs="宋体"/>
                <w:szCs w:val="21"/>
              </w:rPr>
            </w:pPr>
            <w:r>
              <w:rPr>
                <w:rFonts w:hint="eastAsia" w:ascii="宋体" w:hAnsi="宋体" w:cs="宋体"/>
                <w:szCs w:val="21"/>
              </w:rPr>
              <w:t>0-</w:t>
            </w:r>
            <w:r>
              <w:rPr>
                <w:rFonts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vMerge w:val="continue"/>
            <w:vAlign w:val="center"/>
          </w:tcPr>
          <w:p>
            <w:pPr>
              <w:snapToGrid w:val="0"/>
              <w:jc w:val="center"/>
              <w:rPr>
                <w:rFonts w:ascii="宋体" w:hAnsi="宋体" w:cs="宋体"/>
                <w:szCs w:val="21"/>
              </w:rPr>
            </w:pPr>
          </w:p>
        </w:tc>
        <w:tc>
          <w:tcPr>
            <w:tcW w:w="1484" w:type="dxa"/>
            <w:vAlign w:val="center"/>
          </w:tcPr>
          <w:p>
            <w:pPr>
              <w:snapToGrid w:val="0"/>
              <w:rPr>
                <w:rFonts w:ascii="宋体" w:hAnsi="宋体" w:cs="宋体"/>
                <w:szCs w:val="21"/>
              </w:rPr>
            </w:pPr>
            <w:r>
              <w:rPr>
                <w:rFonts w:hint="eastAsia" w:ascii="宋体" w:hAnsi="宋体" w:cs="宋体"/>
                <w:szCs w:val="21"/>
              </w:rPr>
              <w:t>项目实施（主观分）</w:t>
            </w:r>
          </w:p>
        </w:tc>
        <w:tc>
          <w:tcPr>
            <w:tcW w:w="6194" w:type="dxa"/>
            <w:vAlign w:val="center"/>
          </w:tcPr>
          <w:p>
            <w:pPr>
              <w:snapToGrid w:val="0"/>
              <w:rPr>
                <w:rFonts w:ascii="宋体" w:hAnsi="宋体" w:cs="宋体"/>
                <w:szCs w:val="21"/>
              </w:rPr>
            </w:pPr>
            <w:r>
              <w:rPr>
                <w:rFonts w:hint="eastAsia" w:ascii="宋体" w:hAnsi="宋体" w:cs="宋体"/>
                <w:szCs w:val="21"/>
              </w:rPr>
              <w:t>6. 项目实施：项目实施规范，标准，能严格按照软件项目工程管理。提供针对本项目的总体设计，项目计划，包括人员分工，实施进度等。根据实施方案进行打分：一档0-</w:t>
            </w:r>
            <w:r>
              <w:rPr>
                <w:rFonts w:ascii="宋体" w:hAnsi="宋体" w:cs="宋体"/>
                <w:szCs w:val="21"/>
              </w:rPr>
              <w:t>10</w:t>
            </w:r>
            <w:r>
              <w:rPr>
                <w:rFonts w:hint="eastAsia" w:ascii="宋体" w:hAnsi="宋体" w:cs="宋体"/>
                <w:szCs w:val="21"/>
              </w:rPr>
              <w:t>分（不能满足招标要求）；二档</w:t>
            </w:r>
            <w:r>
              <w:rPr>
                <w:rFonts w:ascii="宋体" w:hAnsi="宋体" w:cs="宋体"/>
                <w:szCs w:val="21"/>
              </w:rPr>
              <w:t>11</w:t>
            </w:r>
            <w:r>
              <w:rPr>
                <w:rFonts w:hint="eastAsia" w:ascii="宋体" w:hAnsi="宋体" w:cs="宋体"/>
                <w:szCs w:val="21"/>
              </w:rPr>
              <w:t>-</w:t>
            </w:r>
            <w:r>
              <w:rPr>
                <w:rFonts w:ascii="宋体" w:hAnsi="宋体" w:cs="宋体"/>
                <w:szCs w:val="21"/>
              </w:rPr>
              <w:t>20</w:t>
            </w:r>
            <w:r>
              <w:rPr>
                <w:rFonts w:hint="eastAsia" w:ascii="宋体" w:hAnsi="宋体" w:cs="宋体"/>
                <w:szCs w:val="21"/>
              </w:rPr>
              <w:t>分（基本满足招标要求）；三档</w:t>
            </w:r>
            <w:r>
              <w:rPr>
                <w:rFonts w:ascii="宋体" w:hAnsi="宋体" w:cs="宋体"/>
                <w:szCs w:val="21"/>
              </w:rPr>
              <w:t>21</w:t>
            </w:r>
            <w:r>
              <w:rPr>
                <w:rFonts w:hint="eastAsia" w:ascii="宋体" w:hAnsi="宋体" w:cs="宋体"/>
                <w:szCs w:val="21"/>
              </w:rPr>
              <w:t>-</w:t>
            </w:r>
            <w:r>
              <w:rPr>
                <w:rFonts w:ascii="宋体" w:hAnsi="宋体" w:cs="宋体"/>
                <w:szCs w:val="21"/>
              </w:rPr>
              <w:t>3</w:t>
            </w:r>
            <w:r>
              <w:rPr>
                <w:rFonts w:hint="eastAsia" w:ascii="宋体" w:hAnsi="宋体" w:cs="宋体"/>
                <w:szCs w:val="21"/>
              </w:rPr>
              <w:t xml:space="preserve">0分（完全满足或明显优于招标要求）   </w:t>
            </w:r>
          </w:p>
        </w:tc>
        <w:tc>
          <w:tcPr>
            <w:tcW w:w="1254" w:type="dxa"/>
            <w:vAlign w:val="center"/>
          </w:tcPr>
          <w:p>
            <w:pPr>
              <w:snapToGrid w:val="0"/>
              <w:jc w:val="center"/>
              <w:rPr>
                <w:rFonts w:ascii="宋体" w:hAnsi="宋体" w:cs="宋体"/>
                <w:szCs w:val="21"/>
              </w:rPr>
            </w:pPr>
            <w:bookmarkStart w:id="58" w:name="Text7"/>
            <w:r>
              <w:rPr>
                <w:rFonts w:hint="eastAsia" w:ascii="宋体" w:hAnsi="宋体" w:cs="宋体"/>
                <w:szCs w:val="21"/>
              </w:rPr>
              <w:t>0-</w:t>
            </w:r>
            <w:bookmarkEnd w:id="58"/>
            <w:r>
              <w:rPr>
                <w:rFonts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702" w:type="dxa"/>
            <w:vMerge w:val="continue"/>
            <w:vAlign w:val="center"/>
          </w:tcPr>
          <w:p>
            <w:pPr>
              <w:snapToGrid w:val="0"/>
              <w:jc w:val="center"/>
              <w:rPr>
                <w:rFonts w:ascii="宋体" w:hAnsi="宋体" w:cs="宋体"/>
                <w:szCs w:val="21"/>
              </w:rPr>
            </w:pPr>
          </w:p>
        </w:tc>
        <w:tc>
          <w:tcPr>
            <w:tcW w:w="1484" w:type="dxa"/>
            <w:vAlign w:val="center"/>
          </w:tcPr>
          <w:p>
            <w:pPr>
              <w:snapToGrid w:val="0"/>
              <w:rPr>
                <w:rFonts w:ascii="宋体" w:hAnsi="宋体" w:cs="宋体"/>
                <w:szCs w:val="21"/>
              </w:rPr>
            </w:pPr>
            <w:r>
              <w:rPr>
                <w:rFonts w:hint="eastAsia" w:ascii="宋体" w:hAnsi="宋体" w:cs="宋体"/>
                <w:szCs w:val="21"/>
              </w:rPr>
              <w:t>安全与运维（客观分）</w:t>
            </w:r>
          </w:p>
        </w:tc>
        <w:tc>
          <w:tcPr>
            <w:tcW w:w="6194" w:type="dxa"/>
            <w:vAlign w:val="center"/>
          </w:tcPr>
          <w:p>
            <w:pPr>
              <w:widowControl/>
              <w:snapToGrid w:val="0"/>
              <w:jc w:val="left"/>
              <w:rPr>
                <w:rFonts w:ascii="宋体" w:hAnsi="宋体" w:cs="宋体"/>
                <w:szCs w:val="21"/>
              </w:rPr>
            </w:pPr>
            <w:r>
              <w:rPr>
                <w:rFonts w:hint="eastAsia" w:ascii="宋体" w:hAnsi="宋体" w:cs="宋体"/>
                <w:szCs w:val="21"/>
              </w:rPr>
              <w:t>7. （1）站群系统有专业的远程诊断平台，确保网站在出现故障时能第一时间诊断出来并解决（需提供截图）；</w:t>
            </w:r>
          </w:p>
          <w:p>
            <w:pPr>
              <w:snapToGrid w:val="0"/>
              <w:rPr>
                <w:rFonts w:ascii="宋体" w:hAnsi="宋体" w:cs="宋体"/>
                <w:szCs w:val="21"/>
              </w:rPr>
            </w:pPr>
            <w:r>
              <w:rPr>
                <w:rFonts w:hint="eastAsia" w:ascii="宋体" w:hAnsi="宋体" w:cs="宋体"/>
                <w:szCs w:val="21"/>
              </w:rPr>
              <w:t>（2）提供基于我校通用站群平台建站的技术方案，须网站建设开发代码示例。</w:t>
            </w:r>
          </w:p>
          <w:p>
            <w:pPr>
              <w:snapToGrid w:val="0"/>
              <w:rPr>
                <w:rFonts w:ascii="宋体" w:hAnsi="宋体" w:cs="宋体"/>
                <w:szCs w:val="21"/>
              </w:rPr>
            </w:pPr>
            <w:r>
              <w:rPr>
                <w:rFonts w:hint="eastAsia" w:ascii="宋体" w:hAnsi="宋体" w:cs="宋体"/>
                <w:szCs w:val="21"/>
              </w:rPr>
              <w:t>（3）提供贴合我校实际情况的网站运行环境方案（服务器、备份、安全等），须提供切实可行的运行环境设计方案。</w:t>
            </w:r>
          </w:p>
          <w:p>
            <w:pPr>
              <w:snapToGrid w:val="0"/>
              <w:rPr>
                <w:rFonts w:ascii="宋体" w:hAnsi="宋体" w:cs="宋体"/>
                <w:szCs w:val="21"/>
              </w:rPr>
            </w:pPr>
            <w:r>
              <w:rPr>
                <w:rFonts w:hint="eastAsia" w:ascii="宋体" w:hAnsi="宋体" w:cs="宋体"/>
                <w:szCs w:val="21"/>
              </w:rPr>
              <w:t>（4）提供贴合我校实际情况的121个网站的驻场服务方案，须提供切实可行的驻场的服务技术方案服务体系方案。</w:t>
            </w:r>
          </w:p>
          <w:p>
            <w:pPr>
              <w:snapToGrid w:val="0"/>
              <w:rPr>
                <w:rFonts w:ascii="宋体" w:hAnsi="宋体" w:cs="宋体"/>
                <w:szCs w:val="21"/>
              </w:rPr>
            </w:pPr>
            <w:r>
              <w:rPr>
                <w:rFonts w:hint="eastAsia" w:ascii="宋体" w:hAnsi="宋体" w:cs="宋体"/>
                <w:szCs w:val="21"/>
              </w:rPr>
              <w:t>上述每提供一项有效材料得</w:t>
            </w:r>
            <w:r>
              <w:rPr>
                <w:rFonts w:ascii="宋体" w:hAnsi="宋体" w:cs="宋体"/>
                <w:szCs w:val="21"/>
              </w:rPr>
              <w:t>3</w:t>
            </w:r>
            <w:r>
              <w:rPr>
                <w:rFonts w:hint="eastAsia" w:ascii="宋体" w:hAnsi="宋体" w:cs="宋体"/>
                <w:szCs w:val="21"/>
              </w:rPr>
              <w:t>分，满分</w:t>
            </w:r>
            <w:r>
              <w:rPr>
                <w:rFonts w:ascii="宋体" w:hAnsi="宋体" w:cs="宋体"/>
                <w:szCs w:val="21"/>
              </w:rPr>
              <w:t>12</w:t>
            </w:r>
            <w:r>
              <w:rPr>
                <w:rFonts w:hint="eastAsia" w:ascii="宋体" w:hAnsi="宋体" w:cs="宋体"/>
                <w:szCs w:val="21"/>
              </w:rPr>
              <w:t>分，最低0分；未提供有效证明材料不得分。</w:t>
            </w:r>
          </w:p>
          <w:p>
            <w:pPr>
              <w:snapToGrid w:val="0"/>
              <w:rPr>
                <w:rFonts w:ascii="宋体" w:hAnsi="宋体" w:cs="宋体"/>
                <w:szCs w:val="21"/>
              </w:rPr>
            </w:pPr>
            <w:r>
              <w:rPr>
                <w:rFonts w:hint="eastAsia" w:ascii="宋体" w:hAnsi="宋体" w:cs="宋体"/>
                <w:szCs w:val="21"/>
              </w:rPr>
              <w:t>上述每项，提供方</w:t>
            </w:r>
            <w:r>
              <w:rPr>
                <w:rFonts w:hint="eastAsia" w:ascii="宋体" w:hAnsi="宋体" w:cs="宋体"/>
                <w:szCs w:val="21"/>
                <w:lang w:eastAsia="zh-CN"/>
              </w:rPr>
              <w:t>案</w:t>
            </w:r>
            <w:r>
              <w:rPr>
                <w:rFonts w:hint="eastAsia" w:ascii="宋体" w:hAnsi="宋体" w:cs="宋体"/>
                <w:szCs w:val="21"/>
              </w:rPr>
              <w:t>且</w:t>
            </w:r>
            <w:bookmarkStart w:id="106" w:name="_GoBack"/>
            <w:bookmarkEnd w:id="106"/>
            <w:r>
              <w:rPr>
                <w:rFonts w:hint="eastAsia" w:ascii="宋体" w:hAnsi="宋体" w:cs="宋体"/>
                <w:szCs w:val="21"/>
              </w:rPr>
              <w:t>切实可行的，得的</w:t>
            </w:r>
            <w:r>
              <w:rPr>
                <w:rFonts w:ascii="宋体" w:hAnsi="宋体" w:cs="宋体"/>
                <w:szCs w:val="21"/>
              </w:rPr>
              <w:t>3</w:t>
            </w:r>
            <w:r>
              <w:rPr>
                <w:rFonts w:hint="eastAsia" w:ascii="宋体" w:hAnsi="宋体" w:cs="宋体"/>
                <w:szCs w:val="21"/>
              </w:rPr>
              <w:t>分，方案设计符合学校情况，但是不能实施落地的，得</w:t>
            </w:r>
            <w:r>
              <w:rPr>
                <w:rFonts w:ascii="宋体" w:hAnsi="宋体" w:cs="宋体"/>
                <w:szCs w:val="21"/>
              </w:rPr>
              <w:t>1</w:t>
            </w:r>
            <w:r>
              <w:rPr>
                <w:rFonts w:hint="eastAsia" w:ascii="宋体" w:hAnsi="宋体" w:cs="宋体"/>
                <w:szCs w:val="21"/>
              </w:rPr>
              <w:t>分，方案设计一般不符合学校情况或没有方案得0分。</w:t>
            </w:r>
          </w:p>
        </w:tc>
        <w:tc>
          <w:tcPr>
            <w:tcW w:w="1254" w:type="dxa"/>
            <w:vAlign w:val="center"/>
          </w:tcPr>
          <w:p>
            <w:pPr>
              <w:snapToGrid w:val="0"/>
              <w:jc w:val="center"/>
              <w:rPr>
                <w:rFonts w:ascii="宋体" w:hAnsi="宋体" w:cs="宋体"/>
                <w:szCs w:val="21"/>
              </w:rPr>
            </w:pPr>
            <w:r>
              <w:rPr>
                <w:rFonts w:hint="eastAsia" w:ascii="宋体" w:hAnsi="宋体" w:cs="宋体"/>
                <w:szCs w:val="21"/>
              </w:rPr>
              <w:t>0-</w:t>
            </w:r>
            <w:r>
              <w:rPr>
                <w:rFonts w:ascii="宋体" w:hAnsi="宋体" w:cs="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702" w:type="dxa"/>
            <w:vMerge w:val="continue"/>
            <w:vAlign w:val="center"/>
          </w:tcPr>
          <w:p>
            <w:pPr>
              <w:snapToGrid w:val="0"/>
              <w:jc w:val="center"/>
              <w:rPr>
                <w:rFonts w:ascii="宋体" w:hAnsi="宋体" w:cs="宋体"/>
                <w:szCs w:val="21"/>
              </w:rPr>
            </w:pPr>
          </w:p>
        </w:tc>
        <w:tc>
          <w:tcPr>
            <w:tcW w:w="1484" w:type="dxa"/>
            <w:vAlign w:val="center"/>
          </w:tcPr>
          <w:p>
            <w:pPr>
              <w:snapToGrid w:val="0"/>
              <w:rPr>
                <w:rFonts w:ascii="宋体" w:hAnsi="宋体" w:cs="宋体"/>
                <w:szCs w:val="21"/>
              </w:rPr>
            </w:pPr>
            <w:r>
              <w:rPr>
                <w:rFonts w:hint="eastAsia" w:ascii="宋体" w:hAnsi="宋体" w:cs="宋体"/>
                <w:szCs w:val="21"/>
              </w:rPr>
              <w:t>业绩（客观分）</w:t>
            </w:r>
          </w:p>
        </w:tc>
        <w:tc>
          <w:tcPr>
            <w:tcW w:w="6194" w:type="dxa"/>
            <w:vAlign w:val="center"/>
          </w:tcPr>
          <w:p>
            <w:pPr>
              <w:snapToGrid w:val="0"/>
              <w:rPr>
                <w:rFonts w:ascii="宋体" w:hAnsi="宋体" w:cs="宋体"/>
                <w:szCs w:val="21"/>
              </w:rPr>
            </w:pPr>
            <w:r>
              <w:rPr>
                <w:rFonts w:hint="eastAsia" w:ascii="宋体" w:hAnsi="宋体" w:cs="宋体"/>
                <w:szCs w:val="21"/>
              </w:rPr>
              <w:t>8. 提供自201</w:t>
            </w:r>
            <w:r>
              <w:rPr>
                <w:rFonts w:ascii="宋体" w:hAnsi="宋体" w:cs="宋体"/>
                <w:szCs w:val="21"/>
              </w:rPr>
              <w:t>6</w:t>
            </w:r>
            <w:r>
              <w:rPr>
                <w:rFonts w:hint="eastAsia" w:ascii="宋体" w:hAnsi="宋体" w:cs="宋体"/>
                <w:szCs w:val="21"/>
              </w:rPr>
              <w:t>年以来，高校网站开发建设相关设计实施项目案例，每个案例得</w:t>
            </w:r>
            <w:r>
              <w:rPr>
                <w:rFonts w:ascii="宋体" w:hAnsi="宋体" w:cs="宋体"/>
                <w:szCs w:val="21"/>
              </w:rPr>
              <w:t>2</w:t>
            </w:r>
            <w:r>
              <w:rPr>
                <w:rFonts w:hint="eastAsia" w:ascii="宋体" w:hAnsi="宋体" w:cs="宋体"/>
                <w:szCs w:val="21"/>
              </w:rPr>
              <w:t>分，最高6分，不满足不得分。（6分）</w:t>
            </w:r>
          </w:p>
          <w:p>
            <w:pPr>
              <w:snapToGrid w:val="0"/>
              <w:rPr>
                <w:rFonts w:ascii="宋体" w:hAnsi="宋体" w:cs="宋体"/>
                <w:szCs w:val="21"/>
              </w:rPr>
            </w:pPr>
            <w:r>
              <w:rPr>
                <w:rFonts w:hint="eastAsia" w:ascii="宋体" w:hAnsi="宋体" w:cs="宋体"/>
                <w:szCs w:val="21"/>
              </w:rPr>
              <w:t>注：有效案例需提供业绩合公章同。合同复印件需提供合同首页、合同金额页、合同内容页、合同盖章页并加盖投标人行政公章。投标人须提供每份合同中用户的联系人及联系方式（办公电话）以备查验，不符合上述要求或未按要求提供有效证明文件的业绩在评审时将不予承认。</w:t>
            </w:r>
          </w:p>
        </w:tc>
        <w:tc>
          <w:tcPr>
            <w:tcW w:w="1254" w:type="dxa"/>
            <w:vAlign w:val="center"/>
          </w:tcPr>
          <w:p>
            <w:pPr>
              <w:snapToGrid w:val="0"/>
              <w:jc w:val="center"/>
              <w:rPr>
                <w:rFonts w:ascii="宋体" w:hAnsi="宋体" w:cs="宋体"/>
                <w:szCs w:val="21"/>
              </w:rPr>
            </w:pPr>
            <w:r>
              <w:rPr>
                <w:rFonts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702" w:type="dxa"/>
          </w:tcPr>
          <w:p>
            <w:pPr>
              <w:snapToGrid w:val="0"/>
              <w:jc w:val="center"/>
              <w:rPr>
                <w:rFonts w:ascii="宋体" w:hAnsi="宋体" w:cs="宋体"/>
                <w:szCs w:val="21"/>
              </w:rPr>
            </w:pPr>
            <w:r>
              <w:rPr>
                <w:rFonts w:hint="eastAsia" w:ascii="宋体" w:hAnsi="宋体" w:cs="宋体"/>
                <w:szCs w:val="21"/>
              </w:rPr>
              <w:t>价格</w:t>
            </w:r>
          </w:p>
          <w:p>
            <w:pPr>
              <w:snapToGrid w:val="0"/>
              <w:jc w:val="center"/>
              <w:rPr>
                <w:rFonts w:ascii="宋体" w:hAnsi="宋体" w:cs="宋体"/>
                <w:szCs w:val="21"/>
              </w:rPr>
            </w:pPr>
            <w:r>
              <w:rPr>
                <w:rFonts w:hint="eastAsia" w:ascii="宋体" w:hAnsi="宋体" w:cs="宋体"/>
                <w:szCs w:val="21"/>
              </w:rPr>
              <w:t>部分</w:t>
            </w:r>
          </w:p>
        </w:tc>
        <w:tc>
          <w:tcPr>
            <w:tcW w:w="1484" w:type="dxa"/>
            <w:vAlign w:val="center"/>
          </w:tcPr>
          <w:p>
            <w:pPr>
              <w:snapToGrid w:val="0"/>
              <w:rPr>
                <w:rFonts w:ascii="宋体" w:hAnsi="宋体" w:cs="宋体"/>
                <w:szCs w:val="21"/>
              </w:rPr>
            </w:pPr>
            <w:r>
              <w:rPr>
                <w:rFonts w:hint="eastAsia" w:ascii="宋体" w:hAnsi="宋体" w:cs="宋体"/>
                <w:szCs w:val="21"/>
              </w:rPr>
              <w:t>价格分（客观分）</w:t>
            </w:r>
          </w:p>
        </w:tc>
        <w:tc>
          <w:tcPr>
            <w:tcW w:w="6194" w:type="dxa"/>
          </w:tcPr>
          <w:p>
            <w:pPr>
              <w:snapToGrid w:val="0"/>
              <w:rPr>
                <w:rFonts w:ascii="宋体" w:hAnsi="宋体" w:cs="宋体"/>
                <w:szCs w:val="21"/>
              </w:rPr>
            </w:pPr>
            <w:r>
              <w:rPr>
                <w:rFonts w:hint="eastAsia" w:ascii="宋体" w:hAnsi="宋体" w:cs="宋体"/>
                <w:szCs w:val="21"/>
              </w:rPr>
              <w:t>满足招标文件要求且投标价格最低的投标报价为评标基准价，其价格分为满分。其他投标人的价格分统一按照下列公式计算：投标报价得分=(评标基准价／投标报价)×</w:t>
            </w:r>
            <w:r>
              <w:rPr>
                <w:rFonts w:ascii="宋体" w:hAnsi="宋体" w:cs="宋体"/>
                <w:szCs w:val="21"/>
              </w:rPr>
              <w:t>10</w:t>
            </w:r>
            <w:r>
              <w:rPr>
                <w:rFonts w:hint="eastAsia" w:ascii="宋体" w:hAnsi="宋体" w:cs="宋体"/>
                <w:szCs w:val="21"/>
              </w:rPr>
              <w:t>%×100</w:t>
            </w:r>
          </w:p>
        </w:tc>
        <w:tc>
          <w:tcPr>
            <w:tcW w:w="1254" w:type="dxa"/>
            <w:vAlign w:val="center"/>
          </w:tcPr>
          <w:p>
            <w:pPr>
              <w:snapToGrid w:val="0"/>
              <w:jc w:val="center"/>
              <w:rPr>
                <w:rFonts w:ascii="宋体" w:hAnsi="宋体" w:cs="宋体"/>
                <w:szCs w:val="21"/>
              </w:rPr>
            </w:pPr>
            <w:r>
              <w:rPr>
                <w:rFonts w:hint="eastAsia" w:ascii="宋体" w:hAnsi="宋体" w:cs="宋体"/>
                <w:szCs w:val="21"/>
              </w:rPr>
              <w:t>0-</w:t>
            </w:r>
            <w:r>
              <w:rPr>
                <w:rFonts w:ascii="宋体" w:hAnsi="宋体" w:cs="宋体"/>
                <w:szCs w:val="21"/>
              </w:rPr>
              <w:t>10</w:t>
            </w:r>
          </w:p>
        </w:tc>
      </w:tr>
      <w:bookmarkEnd w:id="57"/>
    </w:tbl>
    <w:p>
      <w:pPr>
        <w:pStyle w:val="3"/>
        <w:spacing w:line="415" w:lineRule="auto"/>
        <w:ind w:left="420" w:hanging="420"/>
        <w:jc w:val="center"/>
        <w:rPr>
          <w:rFonts w:ascii="Times New Roman" w:hAnsi="Times New Roman" w:eastAsiaTheme="majorEastAsia"/>
        </w:rPr>
      </w:pPr>
      <w:bookmarkStart w:id="59" w:name="_Toc86202592"/>
      <w:bookmarkStart w:id="60" w:name="_Ref492453765"/>
      <w:bookmarkStart w:id="61" w:name="_Toc524103451"/>
      <w:r>
        <w:rPr>
          <w:rFonts w:hint="eastAsia" w:ascii="Times New Roman" w:hAnsi="Times New Roman" w:eastAsiaTheme="majorEastAsia"/>
        </w:rPr>
        <w:t xml:space="preserve">第五部分  </w:t>
      </w:r>
      <w:bookmarkStart w:id="62" w:name="diwubufen"/>
      <w:r>
        <w:rPr>
          <w:rFonts w:hint="eastAsia" w:ascii="Times New Roman" w:hAnsi="Times New Roman" w:eastAsiaTheme="majorEastAsia"/>
        </w:rPr>
        <w:t>招标货物</w:t>
      </w:r>
      <w:bookmarkEnd w:id="59"/>
      <w:r>
        <w:rPr>
          <w:rFonts w:hint="eastAsia" w:ascii="Times New Roman" w:hAnsi="Times New Roman" w:eastAsiaTheme="majorEastAsia"/>
        </w:rPr>
        <w:t>、服务的清单、质量要求和供货</w:t>
      </w:r>
      <w:bookmarkEnd w:id="60"/>
      <w:bookmarkEnd w:id="61"/>
      <w:bookmarkEnd w:id="62"/>
    </w:p>
    <w:p>
      <w:pPr>
        <w:pStyle w:val="58"/>
      </w:pPr>
      <w:bookmarkStart w:id="63" w:name="_Toc86202632"/>
    </w:p>
    <w:p>
      <w:pPr>
        <w:pStyle w:val="2"/>
        <w:numPr>
          <w:ilvl w:val="0"/>
          <w:numId w:val="19"/>
        </w:numPr>
        <w:snapToGrid w:val="0"/>
        <w:spacing w:before="0" w:after="0" w:line="360" w:lineRule="auto"/>
        <w:rPr>
          <w:rFonts w:ascii="宋体" w:hAnsi="宋体"/>
          <w:sz w:val="21"/>
          <w:szCs w:val="21"/>
        </w:rPr>
      </w:pPr>
      <w:bookmarkStart w:id="64" w:name="_Toc482118070"/>
      <w:r>
        <w:rPr>
          <w:rFonts w:hint="eastAsia" w:ascii="宋体" w:hAnsi="宋体"/>
          <w:sz w:val="21"/>
          <w:szCs w:val="21"/>
        </w:rPr>
        <w:t>项目介绍</w:t>
      </w:r>
      <w:bookmarkEnd w:id="64"/>
    </w:p>
    <w:p>
      <w:pPr>
        <w:snapToGrid w:val="0"/>
        <w:spacing w:line="360" w:lineRule="auto"/>
        <w:ind w:firstLine="420" w:firstLineChars="200"/>
        <w:rPr>
          <w:rFonts w:ascii="宋体" w:hAnsi="宋体"/>
          <w:szCs w:val="21"/>
        </w:rPr>
      </w:pPr>
      <w:r>
        <w:rPr>
          <w:rFonts w:hint="eastAsia" w:ascii="宋体" w:hAnsi="宋体"/>
          <w:szCs w:val="21"/>
        </w:rPr>
        <w:t>目前，中央财经大学使用了站群管理统一建设和维护学院各个网站，这些网站在宣传中央财经大学形象、提升社会影响力、信息传输，，以及资源共享等领域发挥了重要的作用。</w:t>
      </w:r>
    </w:p>
    <w:p>
      <w:pPr>
        <w:snapToGrid w:val="0"/>
        <w:spacing w:line="360" w:lineRule="auto"/>
        <w:ind w:firstLine="420" w:firstLineChars="200"/>
        <w:rPr>
          <w:rFonts w:ascii="宋体" w:hAnsi="宋体"/>
          <w:color w:val="FF0000"/>
          <w:szCs w:val="21"/>
        </w:rPr>
      </w:pPr>
      <w:r>
        <w:rPr>
          <w:rFonts w:hint="eastAsia" w:ascii="宋体" w:hAnsi="宋体"/>
          <w:szCs w:val="21"/>
        </w:rPr>
        <w:t>随着中央财经大学信息化的发展，学校</w:t>
      </w:r>
      <w:r>
        <w:rPr>
          <w:rFonts w:ascii="宋体" w:hAnsi="宋体"/>
          <w:szCs w:val="21"/>
        </w:rPr>
        <w:t>面临</w:t>
      </w:r>
      <w:r>
        <w:rPr>
          <w:rFonts w:hint="eastAsia" w:ascii="宋体" w:hAnsi="宋体"/>
          <w:szCs w:val="21"/>
        </w:rPr>
        <w:t>更多</w:t>
      </w:r>
      <w:r>
        <w:rPr>
          <w:rFonts w:ascii="宋体" w:hAnsi="宋体"/>
          <w:szCs w:val="21"/>
        </w:rPr>
        <w:t>的</w:t>
      </w:r>
      <w:r>
        <w:rPr>
          <w:rFonts w:hint="eastAsia" w:ascii="宋体" w:hAnsi="宋体"/>
          <w:szCs w:val="21"/>
        </w:rPr>
        <w:t>二级网站</w:t>
      </w:r>
      <w:r>
        <w:rPr>
          <w:rFonts w:ascii="宋体" w:hAnsi="宋体"/>
          <w:szCs w:val="21"/>
        </w:rPr>
        <w:t>建设需求。</w:t>
      </w:r>
      <w:r>
        <w:rPr>
          <w:rFonts w:hint="eastAsia" w:ascii="宋体" w:hAnsi="宋体"/>
          <w:szCs w:val="21"/>
        </w:rPr>
        <w:t>为继续保持学校信息化</w:t>
      </w:r>
      <w:r>
        <w:rPr>
          <w:rFonts w:ascii="宋体" w:hAnsi="宋体"/>
          <w:szCs w:val="21"/>
        </w:rPr>
        <w:t>建设成果</w:t>
      </w:r>
      <w:r>
        <w:rPr>
          <w:rFonts w:hint="eastAsia" w:ascii="宋体" w:hAnsi="宋体"/>
          <w:szCs w:val="21"/>
        </w:rPr>
        <w:t>，满足</w:t>
      </w:r>
      <w:r>
        <w:rPr>
          <w:rFonts w:ascii="宋体" w:hAnsi="宋体"/>
          <w:szCs w:val="21"/>
        </w:rPr>
        <w:t>新增</w:t>
      </w:r>
      <w:r>
        <w:rPr>
          <w:rFonts w:hint="eastAsia" w:ascii="宋体" w:hAnsi="宋体"/>
          <w:szCs w:val="21"/>
        </w:rPr>
        <w:t>二级</w:t>
      </w:r>
      <w:r>
        <w:rPr>
          <w:rFonts w:ascii="宋体" w:hAnsi="宋体"/>
          <w:szCs w:val="21"/>
        </w:rPr>
        <w:t>网站</w:t>
      </w:r>
      <w:r>
        <w:rPr>
          <w:rFonts w:hint="eastAsia" w:ascii="宋体" w:hAnsi="宋体"/>
          <w:szCs w:val="21"/>
        </w:rPr>
        <w:t>的建设</w:t>
      </w:r>
      <w:r>
        <w:rPr>
          <w:rFonts w:ascii="宋体" w:hAnsi="宋体"/>
          <w:szCs w:val="21"/>
        </w:rPr>
        <w:t>需求</w:t>
      </w:r>
      <w:r>
        <w:rPr>
          <w:rFonts w:hint="eastAsia" w:ascii="宋体" w:hAnsi="宋体"/>
          <w:szCs w:val="21"/>
        </w:rPr>
        <w:t>，</w:t>
      </w:r>
      <w:r>
        <w:rPr>
          <w:rFonts w:ascii="宋体" w:hAnsi="宋体"/>
          <w:szCs w:val="21"/>
        </w:rPr>
        <w:t>将</w:t>
      </w:r>
      <w:r>
        <w:rPr>
          <w:rFonts w:hint="eastAsia" w:ascii="宋体" w:hAnsi="宋体"/>
          <w:szCs w:val="21"/>
        </w:rPr>
        <w:t>在</w:t>
      </w:r>
      <w:r>
        <w:rPr>
          <w:rFonts w:ascii="宋体" w:hAnsi="宋体"/>
          <w:szCs w:val="21"/>
        </w:rPr>
        <w:t>现有站群平台上</w:t>
      </w:r>
      <w:r>
        <w:rPr>
          <w:rFonts w:hint="eastAsia" w:ascii="宋体" w:hAnsi="宋体"/>
          <w:szCs w:val="21"/>
        </w:rPr>
        <w:t>完成30个二级子网站的制作</w:t>
      </w:r>
      <w:r>
        <w:rPr>
          <w:rFonts w:ascii="宋体" w:hAnsi="宋体"/>
          <w:szCs w:val="21"/>
        </w:rPr>
        <w:t>实施</w:t>
      </w:r>
      <w:r>
        <w:rPr>
          <w:rFonts w:hint="eastAsia" w:ascii="宋体" w:hAnsi="宋体"/>
          <w:szCs w:val="21"/>
        </w:rPr>
        <w:t>，并对学校网站群管理平台已有的二级网站的页面进行改版更新。建设完成二级网站制作，网站设计立意应符合中央财经大学的一贯风格，能突出学校特点，符合国际化、现代化的审美理念，同时保证各个网站安全稳定运行。</w:t>
      </w:r>
    </w:p>
    <w:p>
      <w:pPr>
        <w:pStyle w:val="2"/>
        <w:numPr>
          <w:ilvl w:val="0"/>
          <w:numId w:val="19"/>
        </w:numPr>
        <w:snapToGrid w:val="0"/>
        <w:spacing w:before="0" w:after="0" w:line="360" w:lineRule="auto"/>
        <w:rPr>
          <w:rFonts w:ascii="宋体" w:hAnsi="宋体"/>
          <w:sz w:val="21"/>
          <w:szCs w:val="21"/>
        </w:rPr>
      </w:pPr>
      <w:bookmarkStart w:id="65" w:name="_Toc482118071"/>
      <w:r>
        <w:rPr>
          <w:rFonts w:hint="eastAsia" w:ascii="宋体" w:hAnsi="宋体"/>
          <w:sz w:val="21"/>
          <w:szCs w:val="21"/>
        </w:rPr>
        <w:t>采购产品一览表</w:t>
      </w:r>
      <w:bookmarkEnd w:id="65"/>
    </w:p>
    <w:tbl>
      <w:tblPr>
        <w:tblStyle w:val="21"/>
        <w:tblW w:w="6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949"/>
        <w:gridCol w:w="1029"/>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849" w:type="dxa"/>
            <w:tcBorders>
              <w:left w:val="single" w:color="auto" w:sz="4" w:space="0"/>
              <w:bottom w:val="single" w:color="auto" w:sz="4" w:space="0"/>
              <w:right w:val="single" w:color="auto" w:sz="4" w:space="0"/>
            </w:tcBorders>
            <w:shd w:val="clear" w:color="auto" w:fill="BFBFBF"/>
            <w:vAlign w:val="center"/>
          </w:tcPr>
          <w:p>
            <w:pPr>
              <w:spacing w:line="360" w:lineRule="auto"/>
              <w:jc w:val="center"/>
              <w:rPr>
                <w:rFonts w:ascii="宋体" w:hAnsi="宋体"/>
                <w:color w:val="FF0000"/>
                <w:szCs w:val="21"/>
              </w:rPr>
            </w:pPr>
            <w:r>
              <w:rPr>
                <w:rFonts w:hint="eastAsia" w:ascii="宋体" w:hAnsi="宋体"/>
                <w:b/>
                <w:szCs w:val="21"/>
              </w:rPr>
              <w:t>序号</w:t>
            </w:r>
          </w:p>
        </w:tc>
        <w:tc>
          <w:tcPr>
            <w:tcW w:w="3949" w:type="dxa"/>
            <w:tcBorders>
              <w:left w:val="single" w:color="auto" w:sz="4" w:space="0"/>
              <w:bottom w:val="single" w:color="auto" w:sz="4" w:space="0"/>
              <w:right w:val="single" w:color="auto" w:sz="4" w:space="0"/>
            </w:tcBorders>
            <w:shd w:val="clear" w:color="auto" w:fill="BFBFBF"/>
            <w:vAlign w:val="center"/>
          </w:tcPr>
          <w:p>
            <w:pPr>
              <w:spacing w:line="360" w:lineRule="auto"/>
              <w:jc w:val="center"/>
              <w:rPr>
                <w:rFonts w:ascii="宋体" w:hAnsi="宋体"/>
                <w:color w:val="FF0000"/>
                <w:szCs w:val="21"/>
              </w:rPr>
            </w:pPr>
            <w:r>
              <w:rPr>
                <w:rFonts w:hint="eastAsia" w:ascii="宋体" w:hAnsi="宋体"/>
                <w:b/>
                <w:szCs w:val="21"/>
              </w:rPr>
              <w:t>货物名称</w:t>
            </w:r>
          </w:p>
        </w:tc>
        <w:tc>
          <w:tcPr>
            <w:tcW w:w="1029" w:type="dxa"/>
            <w:tcBorders>
              <w:left w:val="single" w:color="auto" w:sz="4" w:space="0"/>
              <w:bottom w:val="single" w:color="auto" w:sz="4" w:space="0"/>
              <w:right w:val="single" w:color="auto" w:sz="4" w:space="0"/>
            </w:tcBorders>
            <w:shd w:val="clear" w:color="auto" w:fill="BFBFBF"/>
            <w:vAlign w:val="center"/>
          </w:tcPr>
          <w:p>
            <w:pPr>
              <w:spacing w:line="360" w:lineRule="auto"/>
              <w:jc w:val="center"/>
              <w:rPr>
                <w:rFonts w:ascii="宋体" w:hAnsi="宋体"/>
                <w:color w:val="FF0000"/>
                <w:szCs w:val="21"/>
              </w:rPr>
            </w:pPr>
            <w:r>
              <w:rPr>
                <w:rFonts w:hint="eastAsia" w:ascii="宋体" w:hAnsi="宋体"/>
                <w:b/>
                <w:szCs w:val="21"/>
              </w:rPr>
              <w:t>单位</w:t>
            </w:r>
          </w:p>
        </w:tc>
        <w:tc>
          <w:tcPr>
            <w:tcW w:w="1034" w:type="dxa"/>
            <w:tcBorders>
              <w:left w:val="single" w:color="auto" w:sz="4" w:space="0"/>
              <w:bottom w:val="single" w:color="auto" w:sz="4" w:space="0"/>
              <w:right w:val="single" w:color="auto" w:sz="4" w:space="0"/>
            </w:tcBorders>
            <w:shd w:val="clear" w:color="auto" w:fill="BFBFBF"/>
            <w:vAlign w:val="center"/>
          </w:tcPr>
          <w:p>
            <w:pPr>
              <w:spacing w:line="360" w:lineRule="auto"/>
              <w:jc w:val="center"/>
              <w:rPr>
                <w:rFonts w:ascii="宋体" w:hAnsi="宋体"/>
                <w:color w:val="FF0000"/>
                <w:szCs w:val="21"/>
              </w:rPr>
            </w:pPr>
            <w:r>
              <w:rPr>
                <w:rFonts w:hint="eastAsia" w:ascii="宋体" w:hAnsi="宋体"/>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49" w:type="dxa"/>
            <w:tcBorders>
              <w:left w:val="single" w:color="auto" w:sz="4" w:space="0"/>
              <w:bottom w:val="single" w:color="auto" w:sz="4" w:space="0"/>
              <w:right w:val="single" w:color="auto" w:sz="4" w:space="0"/>
            </w:tcBorders>
            <w:vAlign w:val="center"/>
          </w:tcPr>
          <w:p>
            <w:pPr>
              <w:numPr>
                <w:ilvl w:val="0"/>
                <w:numId w:val="20"/>
              </w:numPr>
              <w:spacing w:line="360" w:lineRule="auto"/>
              <w:jc w:val="center"/>
              <w:rPr>
                <w:rFonts w:ascii="宋体" w:hAnsi="宋体"/>
                <w:szCs w:val="21"/>
              </w:rPr>
            </w:pPr>
          </w:p>
        </w:tc>
        <w:tc>
          <w:tcPr>
            <w:tcW w:w="3949" w:type="dxa"/>
            <w:tcBorders>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二级网站</w:t>
            </w:r>
            <w:r>
              <w:rPr>
                <w:rFonts w:ascii="宋体" w:hAnsi="宋体"/>
                <w:szCs w:val="21"/>
              </w:rPr>
              <w:t>PC</w:t>
            </w:r>
            <w:r>
              <w:rPr>
                <w:rFonts w:hint="eastAsia" w:ascii="宋体" w:hAnsi="宋体"/>
                <w:szCs w:val="21"/>
              </w:rPr>
              <w:t>版或手机版设计实施</w:t>
            </w:r>
          </w:p>
        </w:tc>
        <w:tc>
          <w:tcPr>
            <w:tcW w:w="1029" w:type="dxa"/>
            <w:tcBorders>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套</w:t>
            </w:r>
          </w:p>
        </w:tc>
        <w:tc>
          <w:tcPr>
            <w:tcW w:w="1034" w:type="dxa"/>
            <w:tcBorders>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numPr>
                <w:ilvl w:val="0"/>
                <w:numId w:val="20"/>
              </w:numPr>
              <w:spacing w:line="360" w:lineRule="auto"/>
              <w:jc w:val="center"/>
              <w:rPr>
                <w:rFonts w:ascii="宋体" w:hAnsi="宋体"/>
                <w:szCs w:val="21"/>
              </w:rPr>
            </w:pPr>
          </w:p>
        </w:tc>
        <w:tc>
          <w:tcPr>
            <w:tcW w:w="39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已有二级子站日常管理和改版</w:t>
            </w:r>
          </w:p>
        </w:tc>
        <w:tc>
          <w:tcPr>
            <w:tcW w:w="10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套</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numPr>
                <w:ilvl w:val="0"/>
                <w:numId w:val="20"/>
              </w:numPr>
              <w:spacing w:line="360" w:lineRule="auto"/>
              <w:jc w:val="center"/>
              <w:rPr>
                <w:rFonts w:ascii="宋体" w:hAnsi="宋体"/>
                <w:szCs w:val="21"/>
              </w:rPr>
            </w:pPr>
          </w:p>
        </w:tc>
        <w:tc>
          <w:tcPr>
            <w:tcW w:w="39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驻场服务人员1名一年</w:t>
            </w:r>
          </w:p>
        </w:tc>
        <w:tc>
          <w:tcPr>
            <w:tcW w:w="10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人/年</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r>
    </w:tbl>
    <w:p>
      <w:pPr>
        <w:snapToGrid w:val="0"/>
        <w:spacing w:line="360" w:lineRule="auto"/>
        <w:rPr>
          <w:rFonts w:ascii="宋体" w:hAnsi="宋体"/>
          <w:szCs w:val="21"/>
        </w:rPr>
      </w:pPr>
    </w:p>
    <w:p>
      <w:pPr>
        <w:pStyle w:val="2"/>
        <w:numPr>
          <w:ilvl w:val="0"/>
          <w:numId w:val="19"/>
        </w:numPr>
        <w:snapToGrid w:val="0"/>
        <w:spacing w:before="0" w:after="0" w:line="360" w:lineRule="auto"/>
        <w:rPr>
          <w:rFonts w:ascii="宋体" w:hAnsi="宋体"/>
          <w:sz w:val="21"/>
          <w:szCs w:val="21"/>
        </w:rPr>
      </w:pPr>
      <w:bookmarkStart w:id="66" w:name="_Toc482118072"/>
      <w:r>
        <w:rPr>
          <w:rFonts w:hint="eastAsia" w:ascii="宋体" w:hAnsi="宋体"/>
          <w:sz w:val="21"/>
          <w:szCs w:val="21"/>
        </w:rPr>
        <w:t>产品清单及指标要求</w:t>
      </w:r>
      <w:bookmarkEnd w:id="66"/>
    </w:p>
    <w:p>
      <w:pPr>
        <w:pStyle w:val="10"/>
        <w:snapToGrid w:val="0"/>
        <w:spacing w:line="360" w:lineRule="auto"/>
        <w:rPr>
          <w:rFonts w:ascii="宋体" w:hAnsi="宋体" w:cs="宋体"/>
          <w:szCs w:val="21"/>
        </w:rPr>
      </w:pPr>
    </w:p>
    <w:tbl>
      <w:tblPr>
        <w:tblStyle w:val="21"/>
        <w:tblW w:w="89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snapToGrid w:val="0"/>
              <w:spacing w:line="360" w:lineRule="auto"/>
              <w:jc w:val="center"/>
              <w:rPr>
                <w:rFonts w:ascii="宋体" w:hAnsi="宋体" w:cs="宋体"/>
                <w:szCs w:val="21"/>
              </w:rPr>
            </w:pPr>
            <w:r>
              <w:rPr>
                <w:rFonts w:hint="eastAsia" w:ascii="宋体" w:hAnsi="宋体" w:cs="宋体"/>
                <w:szCs w:val="21"/>
              </w:rPr>
              <w:t>序号</w:t>
            </w:r>
          </w:p>
        </w:tc>
        <w:tc>
          <w:tcPr>
            <w:tcW w:w="1701" w:type="dxa"/>
          </w:tcPr>
          <w:p>
            <w:pPr>
              <w:snapToGrid w:val="0"/>
              <w:spacing w:line="360" w:lineRule="auto"/>
              <w:jc w:val="center"/>
              <w:rPr>
                <w:rFonts w:ascii="宋体" w:hAnsi="宋体" w:cs="宋体"/>
                <w:szCs w:val="21"/>
              </w:rPr>
            </w:pPr>
            <w:r>
              <w:rPr>
                <w:rFonts w:hint="eastAsia" w:ascii="宋体" w:hAnsi="宋体" w:cs="宋体"/>
                <w:szCs w:val="21"/>
              </w:rPr>
              <w:t>技术指标项</w:t>
            </w:r>
          </w:p>
        </w:tc>
        <w:tc>
          <w:tcPr>
            <w:tcW w:w="6549" w:type="dxa"/>
          </w:tcPr>
          <w:p>
            <w:pPr>
              <w:snapToGrid w:val="0"/>
              <w:spacing w:line="360" w:lineRule="auto"/>
              <w:jc w:val="center"/>
              <w:rPr>
                <w:rFonts w:ascii="宋体" w:hAnsi="宋体" w:cs="宋体"/>
                <w:szCs w:val="21"/>
              </w:rPr>
            </w:pPr>
            <w:r>
              <w:rPr>
                <w:rFonts w:hint="eastAsia" w:ascii="宋体" w:hAnsi="宋体" w:cs="宋体"/>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center"/>
              <w:rPr>
                <w:rFonts w:ascii="宋体" w:hAnsi="宋体" w:cs="宋体"/>
                <w:szCs w:val="21"/>
              </w:rPr>
            </w:pPr>
            <w:r>
              <w:rPr>
                <w:rFonts w:hint="eastAsia" w:ascii="宋体" w:hAnsi="宋体" w:cs="宋体"/>
                <w:szCs w:val="21"/>
              </w:rPr>
              <w:t>建设内容</w:t>
            </w:r>
          </w:p>
        </w:tc>
        <w:tc>
          <w:tcPr>
            <w:tcW w:w="6549" w:type="dxa"/>
            <w:vAlign w:val="center"/>
          </w:tcPr>
          <w:p>
            <w:pPr>
              <w:pStyle w:val="10"/>
              <w:snapToGrid w:val="0"/>
              <w:spacing w:line="360" w:lineRule="auto"/>
              <w:rPr>
                <w:rFonts w:ascii="宋体" w:hAnsi="宋体" w:cs="宋体"/>
                <w:szCs w:val="21"/>
              </w:rPr>
            </w:pPr>
            <w:r>
              <w:rPr>
                <w:rFonts w:hint="eastAsia" w:ascii="宋体" w:hAnsi="宋体" w:cs="宋体"/>
                <w:szCs w:val="21"/>
              </w:rPr>
              <w:t>新建二级子站</w:t>
            </w:r>
            <w:r>
              <w:rPr>
                <w:rFonts w:ascii="宋体" w:hAnsi="宋体" w:cs="宋体"/>
                <w:szCs w:val="21"/>
              </w:rPr>
              <w:t>PC</w:t>
            </w:r>
            <w:r>
              <w:rPr>
                <w:rFonts w:hint="eastAsia" w:ascii="宋体" w:hAnsi="宋体" w:cs="宋体"/>
                <w:szCs w:val="21"/>
              </w:rPr>
              <w:t>版或手机版30个。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restart"/>
            <w:vAlign w:val="center"/>
          </w:tcPr>
          <w:p>
            <w:pPr>
              <w:numPr>
                <w:ilvl w:val="0"/>
                <w:numId w:val="21"/>
              </w:numPr>
              <w:snapToGrid w:val="0"/>
              <w:spacing w:line="360" w:lineRule="auto"/>
              <w:jc w:val="center"/>
              <w:rPr>
                <w:rFonts w:ascii="宋体" w:hAnsi="宋体" w:cs="宋体"/>
                <w:szCs w:val="21"/>
              </w:rPr>
            </w:pPr>
          </w:p>
        </w:tc>
        <w:tc>
          <w:tcPr>
            <w:tcW w:w="1701" w:type="dxa"/>
            <w:vMerge w:val="restart"/>
            <w:vAlign w:val="center"/>
          </w:tcPr>
          <w:p>
            <w:pPr>
              <w:snapToGrid w:val="0"/>
              <w:spacing w:line="360" w:lineRule="auto"/>
              <w:jc w:val="center"/>
              <w:rPr>
                <w:rFonts w:ascii="宋体" w:hAnsi="宋体" w:cs="宋体"/>
                <w:szCs w:val="21"/>
              </w:rPr>
            </w:pPr>
            <w:r>
              <w:rPr>
                <w:rFonts w:hint="eastAsia" w:ascii="宋体" w:hAnsi="宋体"/>
                <w:szCs w:val="21"/>
              </w:rPr>
              <w:t>二级网站制作要求</w:t>
            </w:r>
          </w:p>
        </w:tc>
        <w:tc>
          <w:tcPr>
            <w:tcW w:w="6549" w:type="dxa"/>
            <w:vAlign w:val="center"/>
          </w:tcPr>
          <w:p>
            <w:pPr>
              <w:snapToGrid w:val="0"/>
              <w:spacing w:line="360" w:lineRule="auto"/>
              <w:jc w:val="left"/>
              <w:rPr>
                <w:rFonts w:ascii="宋体" w:hAnsi="宋体"/>
                <w:szCs w:val="21"/>
              </w:rPr>
            </w:pPr>
            <w:r>
              <w:rPr>
                <w:rFonts w:hint="eastAsia" w:ascii="宋体" w:hAnsi="宋体"/>
                <w:szCs w:val="21"/>
              </w:rPr>
              <w:t>站群管理系统为通用网站管理和制作平台，有网站制作能力的第三方公司和个人都有权限在平台上建设网站。</w:t>
            </w:r>
          </w:p>
          <w:p>
            <w:pPr>
              <w:snapToGrid w:val="0"/>
              <w:spacing w:line="360" w:lineRule="auto"/>
              <w:jc w:val="left"/>
              <w:rPr>
                <w:rFonts w:ascii="宋体" w:hAnsi="宋体" w:cs="宋体"/>
                <w:szCs w:val="21"/>
              </w:rPr>
            </w:pPr>
            <w:r>
              <w:rPr>
                <w:rFonts w:hint="eastAsia" w:ascii="宋体" w:hAnsi="宋体"/>
                <w:szCs w:val="21"/>
              </w:rPr>
              <w:t>中标方</w:t>
            </w:r>
            <w:r>
              <w:rPr>
                <w:rFonts w:ascii="宋体" w:hAnsi="宋体"/>
                <w:szCs w:val="21"/>
              </w:rPr>
              <w:t>必须</w:t>
            </w:r>
            <w:r>
              <w:rPr>
                <w:rFonts w:hint="eastAsia" w:ascii="宋体" w:hAnsi="宋体"/>
                <w:szCs w:val="21"/>
              </w:rPr>
              <w:t>基于学校已采购的西安博达站群管理平台上的建站系统去设计制作学校二级网站。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left"/>
              <w:rPr>
                <w:rFonts w:ascii="宋体" w:hAnsi="宋体" w:cs="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szCs w:val="21"/>
              </w:rPr>
              <w:t>网站版面设计新颖、美观、大方、清新，体现学校、二级部门的特色风采及文化内涵。首页区域布局结构合理，栏目设置完整。页面层级内容丰富，有统一的色彩风格和主色调。学校已有的二级网站（主要分为学院、党政服务机构、科研机构等三类）的制作风格可以通过学校官网的链接</w:t>
            </w:r>
            <w:r>
              <w:rPr>
                <w:rFonts w:hint="eastAsia"/>
              </w:rPr>
              <w:fldChar w:fldCharType="begin"/>
            </w:r>
            <w:r>
              <w:instrText xml:space="preserve"> HYPERLINK "http://www.cufe.edu.cn/jgsz/jydw/index.htm" </w:instrText>
            </w:r>
            <w:r>
              <w:rPr>
                <w:rFonts w:hint="eastAsia"/>
              </w:rPr>
              <w:fldChar w:fldCharType="separate"/>
            </w:r>
            <w:r>
              <w:rPr>
                <w:rFonts w:hint="eastAsia" w:ascii="宋体" w:hAnsi="宋体"/>
                <w:szCs w:val="21"/>
              </w:rPr>
              <w:t>http://www.cufe.edu.cn/jgsz/jydw/index.htm</w:t>
            </w:r>
            <w:r>
              <w:rPr>
                <w:rFonts w:hint="eastAsia" w:ascii="宋体" w:hAnsi="宋体"/>
                <w:szCs w:val="21"/>
              </w:rPr>
              <w:fldChar w:fldCharType="end"/>
            </w:r>
            <w:r>
              <w:rPr>
                <w:rFonts w:hint="eastAsia" w:ascii="宋体" w:hAnsi="宋体"/>
                <w:szCs w:val="21"/>
              </w:rPr>
              <w:t>逐个访问作为设计参考。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left"/>
              <w:rPr>
                <w:rFonts w:ascii="宋体" w:hAnsi="宋体" w:cs="宋体"/>
                <w:szCs w:val="21"/>
              </w:rPr>
            </w:pPr>
          </w:p>
        </w:tc>
        <w:tc>
          <w:tcPr>
            <w:tcW w:w="6549" w:type="dxa"/>
            <w:vAlign w:val="center"/>
          </w:tcPr>
          <w:p>
            <w:pPr>
              <w:snapToGrid w:val="0"/>
              <w:spacing w:line="360" w:lineRule="auto"/>
              <w:rPr>
                <w:rFonts w:ascii="宋体" w:hAnsi="宋体"/>
                <w:szCs w:val="21"/>
              </w:rPr>
            </w:pPr>
            <w:r>
              <w:rPr>
                <w:rFonts w:hint="eastAsia" w:ascii="宋体" w:hAnsi="宋体"/>
                <w:szCs w:val="21"/>
              </w:rPr>
              <w:t>单个网站的基本建设流程：</w:t>
            </w:r>
          </w:p>
          <w:p>
            <w:pPr>
              <w:snapToGrid w:val="0"/>
              <w:spacing w:line="360" w:lineRule="auto"/>
              <w:ind w:firstLine="315" w:firstLineChars="150"/>
              <w:rPr>
                <w:rFonts w:ascii="宋体" w:hAnsi="宋体"/>
                <w:szCs w:val="21"/>
              </w:rPr>
            </w:pPr>
            <w:r>
              <w:rPr>
                <w:rFonts w:hint="eastAsia" w:ascii="宋体" w:hAnsi="宋体"/>
                <w:szCs w:val="21"/>
              </w:rPr>
              <w:t>（1）每个网站的设计风格和需求需要中标方与用户单位讨论确定。</w:t>
            </w:r>
          </w:p>
          <w:p>
            <w:pPr>
              <w:snapToGrid w:val="0"/>
              <w:spacing w:line="360" w:lineRule="auto"/>
              <w:ind w:firstLine="315" w:firstLineChars="150"/>
              <w:rPr>
                <w:rFonts w:ascii="宋体" w:hAnsi="宋体"/>
                <w:szCs w:val="21"/>
              </w:rPr>
            </w:pPr>
            <w:r>
              <w:rPr>
                <w:rFonts w:hint="eastAsia" w:ascii="宋体" w:hAnsi="宋体"/>
                <w:szCs w:val="21"/>
              </w:rPr>
              <w:t>（2）经过沟通做出3个以上的效果图供用户单位选择，用户认可以签署效果图确认函为准。</w:t>
            </w:r>
          </w:p>
          <w:p>
            <w:pPr>
              <w:snapToGrid w:val="0"/>
              <w:spacing w:line="360" w:lineRule="auto"/>
              <w:ind w:firstLine="420" w:firstLineChars="200"/>
              <w:rPr>
                <w:rFonts w:ascii="宋体" w:hAnsi="宋体"/>
                <w:szCs w:val="21"/>
              </w:rPr>
            </w:pPr>
            <w:r>
              <w:rPr>
                <w:rFonts w:hint="eastAsia" w:ascii="宋体" w:hAnsi="宋体"/>
                <w:szCs w:val="21"/>
              </w:rPr>
              <w:t>（3）根据确认后效果图制作网站，网站上线测试运行无问题后由用户单位验收。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left"/>
              <w:rPr>
                <w:rFonts w:ascii="宋体" w:hAnsi="宋体" w:cs="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szCs w:val="21"/>
              </w:rPr>
              <w:t>网站页面样式为Div+CSS布局。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left"/>
              <w:rPr>
                <w:rFonts w:ascii="宋体" w:hAnsi="宋体" w:cs="宋体"/>
                <w:szCs w:val="21"/>
              </w:rPr>
            </w:pPr>
          </w:p>
        </w:tc>
        <w:tc>
          <w:tcPr>
            <w:tcW w:w="6549" w:type="dxa"/>
            <w:vAlign w:val="center"/>
          </w:tcPr>
          <w:p>
            <w:pPr>
              <w:snapToGrid w:val="0"/>
              <w:spacing w:line="360" w:lineRule="auto"/>
              <w:rPr>
                <w:rFonts w:ascii="宋体" w:hAnsi="宋体"/>
                <w:szCs w:val="21"/>
              </w:rPr>
            </w:pPr>
            <w:r>
              <w:rPr>
                <w:rFonts w:hint="eastAsia" w:ascii="宋体" w:hAnsi="宋体"/>
                <w:szCs w:val="21"/>
              </w:rPr>
              <w:t>能够使用JavaScript等语言满足一定的动态效果。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left"/>
              <w:rPr>
                <w:rFonts w:ascii="宋体" w:hAnsi="宋体" w:cs="宋体"/>
                <w:szCs w:val="21"/>
              </w:rPr>
            </w:pPr>
          </w:p>
        </w:tc>
        <w:tc>
          <w:tcPr>
            <w:tcW w:w="6549" w:type="dxa"/>
            <w:vAlign w:val="center"/>
          </w:tcPr>
          <w:p>
            <w:pPr>
              <w:snapToGrid w:val="0"/>
              <w:spacing w:line="360" w:lineRule="auto"/>
              <w:jc w:val="left"/>
              <w:rPr>
                <w:rFonts w:ascii="宋体" w:hAnsi="宋体"/>
                <w:szCs w:val="21"/>
              </w:rPr>
            </w:pPr>
            <w:r>
              <w:rPr>
                <w:rFonts w:hint="eastAsia" w:ascii="宋体" w:hAnsi="宋体"/>
                <w:szCs w:val="21"/>
              </w:rPr>
              <w:t>单个网站的建设时间控制在30日历天以内。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left"/>
              <w:rPr>
                <w:rFonts w:ascii="宋体" w:hAnsi="宋体" w:cs="宋体"/>
                <w:szCs w:val="21"/>
              </w:rPr>
            </w:pPr>
          </w:p>
        </w:tc>
        <w:tc>
          <w:tcPr>
            <w:tcW w:w="6549" w:type="dxa"/>
            <w:vAlign w:val="center"/>
          </w:tcPr>
          <w:p>
            <w:pPr>
              <w:snapToGrid w:val="0"/>
              <w:spacing w:line="360" w:lineRule="auto"/>
              <w:jc w:val="left"/>
              <w:rPr>
                <w:rFonts w:ascii="宋体" w:hAnsi="宋体"/>
                <w:szCs w:val="21"/>
              </w:rPr>
            </w:pPr>
            <w:r>
              <w:rPr>
                <w:rFonts w:hint="eastAsia" w:ascii="宋体" w:hAnsi="宋体"/>
                <w:szCs w:val="21"/>
              </w:rPr>
              <w:t>提供旧网站数据（如历史新闻、公告、图片、文档等）迁移到新网站中的服务。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left"/>
              <w:rPr>
                <w:rFonts w:ascii="宋体" w:hAnsi="宋体" w:cs="宋体"/>
                <w:szCs w:val="21"/>
              </w:rPr>
            </w:pPr>
          </w:p>
        </w:tc>
        <w:tc>
          <w:tcPr>
            <w:tcW w:w="6549" w:type="dxa"/>
            <w:vAlign w:val="center"/>
          </w:tcPr>
          <w:p>
            <w:pPr>
              <w:snapToGrid w:val="0"/>
              <w:spacing w:line="360" w:lineRule="auto"/>
              <w:jc w:val="left"/>
              <w:rPr>
                <w:rFonts w:ascii="宋体" w:hAnsi="宋体"/>
                <w:szCs w:val="21"/>
              </w:rPr>
            </w:pPr>
            <w:r>
              <w:rPr>
                <w:rFonts w:hint="eastAsia" w:ascii="宋体" w:hAnsi="宋体"/>
                <w:szCs w:val="21"/>
              </w:rPr>
              <w:t>网站制作完成后，网站模版及所使用的所有图片的分层原始图及素材必须统一整理交付给学校。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left"/>
              <w:rPr>
                <w:rFonts w:ascii="宋体" w:hAnsi="宋体" w:cs="宋体"/>
                <w:szCs w:val="21"/>
              </w:rPr>
            </w:pPr>
          </w:p>
        </w:tc>
        <w:tc>
          <w:tcPr>
            <w:tcW w:w="6549" w:type="dxa"/>
            <w:vAlign w:val="center"/>
          </w:tcPr>
          <w:p>
            <w:pPr>
              <w:snapToGrid w:val="0"/>
              <w:spacing w:line="360" w:lineRule="auto"/>
              <w:rPr>
                <w:rFonts w:ascii="宋体" w:hAnsi="宋体"/>
                <w:szCs w:val="21"/>
              </w:rPr>
            </w:pPr>
            <w:r>
              <w:rPr>
                <w:rFonts w:hint="eastAsia" w:ascii="宋体" w:hAnsi="宋体"/>
                <w:szCs w:val="21"/>
              </w:rPr>
              <w:t>保证网站的后期基本维护及人员培训。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restart"/>
            <w:vAlign w:val="center"/>
          </w:tcPr>
          <w:p>
            <w:pPr>
              <w:numPr>
                <w:ilvl w:val="0"/>
                <w:numId w:val="21"/>
              </w:numPr>
              <w:snapToGrid w:val="0"/>
              <w:spacing w:line="360" w:lineRule="auto"/>
              <w:jc w:val="center"/>
              <w:rPr>
                <w:rFonts w:ascii="宋体" w:hAnsi="宋体" w:cs="宋体"/>
                <w:szCs w:val="21"/>
              </w:rPr>
            </w:pPr>
          </w:p>
        </w:tc>
        <w:tc>
          <w:tcPr>
            <w:tcW w:w="1701" w:type="dxa"/>
            <w:vMerge w:val="restart"/>
            <w:vAlign w:val="center"/>
          </w:tcPr>
          <w:p>
            <w:pPr>
              <w:snapToGrid w:val="0"/>
              <w:spacing w:line="360" w:lineRule="auto"/>
              <w:jc w:val="center"/>
              <w:rPr>
                <w:rFonts w:ascii="宋体" w:hAnsi="宋体"/>
                <w:szCs w:val="21"/>
              </w:rPr>
            </w:pPr>
            <w:r>
              <w:rPr>
                <w:rFonts w:hint="eastAsia" w:ascii="宋体" w:hAnsi="宋体"/>
                <w:szCs w:val="21"/>
              </w:rPr>
              <w:t>总体技术要求</w:t>
            </w: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网站页面主要以HTML或JSP页面组成。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使用主流设计制作工具（如Dreamweaver、photoshop、firefox等）设计制作网站。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#网站代码要易于阅读，有较为明显和易懂的注释，提供完整的技术文档。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兼容微软IE、谷歌Chrome、360浏览器、搜狗浏览器、苹果Safari、UC浏览器、QQ浏览器、火狐Firefox、欧朋Opera等多种浏览器。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子网站可实现自动备份，从系统备份包中自动抽取进行恢复。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numPr>
                <w:ilvl w:val="0"/>
                <w:numId w:val="21"/>
              </w:numPr>
              <w:snapToGrid w:val="0"/>
              <w:spacing w:line="360" w:lineRule="auto"/>
              <w:jc w:val="center"/>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每个网站上线须经过安全检测，提供相应的安全检测报告。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snapToGrid w:val="0"/>
              <w:spacing w:line="360" w:lineRule="auto"/>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支持</w:t>
            </w:r>
            <w:r>
              <w:rPr>
                <w:rFonts w:ascii="宋体" w:hAnsi="宋体" w:cs="宋体"/>
                <w:szCs w:val="21"/>
              </w:rPr>
              <w:t>多类型网站管理</w:t>
            </w:r>
            <w:r>
              <w:rPr>
                <w:rFonts w:hint="eastAsia" w:ascii="宋体" w:hAnsi="宋体" w:cs="宋体"/>
                <w:szCs w:val="21"/>
              </w:rPr>
              <w:t>，</w:t>
            </w:r>
            <w:r>
              <w:rPr>
                <w:rFonts w:ascii="宋体" w:hAnsi="宋体" w:cs="宋体"/>
                <w:szCs w:val="21"/>
              </w:rPr>
              <w:t>可实现电脑版、</w:t>
            </w:r>
            <w:r>
              <w:rPr>
                <w:rFonts w:hint="eastAsia" w:ascii="宋体" w:hAnsi="宋体" w:cs="宋体"/>
                <w:szCs w:val="21"/>
              </w:rPr>
              <w:t>多屏</w:t>
            </w:r>
            <w:r>
              <w:rPr>
                <w:rFonts w:ascii="宋体" w:hAnsi="宋体" w:cs="宋体"/>
                <w:szCs w:val="21"/>
              </w:rPr>
              <w:t>版等</w:t>
            </w:r>
            <w:r>
              <w:rPr>
                <w:rFonts w:hint="eastAsia" w:ascii="宋体" w:hAnsi="宋体" w:cs="宋体"/>
                <w:szCs w:val="21"/>
              </w:rPr>
              <w:t>网站</w:t>
            </w:r>
            <w:r>
              <w:rPr>
                <w:rFonts w:ascii="宋体" w:hAnsi="宋体" w:cs="宋体"/>
                <w:szCs w:val="21"/>
              </w:rPr>
              <w:t>建设</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snapToGrid w:val="0"/>
              <w:spacing w:line="360" w:lineRule="auto"/>
              <w:ind w:left="420"/>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#提供手机网站</w:t>
            </w:r>
            <w:r>
              <w:rPr>
                <w:rFonts w:ascii="宋体" w:hAnsi="宋体" w:cs="宋体"/>
                <w:szCs w:val="21"/>
              </w:rPr>
              <w:t>建设的</w:t>
            </w:r>
            <w:r>
              <w:rPr>
                <w:rFonts w:hint="eastAsia" w:ascii="宋体" w:hAnsi="宋体" w:cs="宋体"/>
                <w:szCs w:val="21"/>
              </w:rPr>
              <w:t>移动化</w:t>
            </w:r>
            <w:r>
              <w:rPr>
                <w:rFonts w:ascii="宋体" w:hAnsi="宋体" w:cs="宋体"/>
                <w:szCs w:val="21"/>
              </w:rPr>
              <w:t>组件，</w:t>
            </w:r>
            <w:r>
              <w:rPr>
                <w:rFonts w:hint="eastAsia" w:ascii="宋体" w:hAnsi="宋体" w:cs="宋体"/>
                <w:szCs w:val="21"/>
              </w:rPr>
              <w:t>支持手机网站</w:t>
            </w:r>
            <w:r>
              <w:rPr>
                <w:rFonts w:ascii="宋体" w:hAnsi="宋体" w:cs="宋体"/>
                <w:szCs w:val="21"/>
              </w:rPr>
              <w:t>与PC网站</w:t>
            </w:r>
            <w:r>
              <w:rPr>
                <w:rFonts w:hint="eastAsia" w:ascii="宋体" w:hAnsi="宋体" w:cs="宋体"/>
                <w:szCs w:val="21"/>
              </w:rPr>
              <w:t>模板</w:t>
            </w:r>
            <w:r>
              <w:rPr>
                <w:rFonts w:ascii="宋体" w:hAnsi="宋体" w:cs="宋体"/>
                <w:szCs w:val="21"/>
              </w:rPr>
              <w:t>的</w:t>
            </w:r>
            <w:r>
              <w:rPr>
                <w:rFonts w:hint="eastAsia" w:ascii="宋体" w:hAnsi="宋体" w:cs="宋体"/>
                <w:szCs w:val="21"/>
              </w:rPr>
              <w:t>同步</w:t>
            </w:r>
            <w:r>
              <w:rPr>
                <w:rFonts w:ascii="宋体" w:hAnsi="宋体" w:cs="宋体"/>
                <w:szCs w:val="21"/>
              </w:rPr>
              <w:t>映射，</w:t>
            </w:r>
            <w:r>
              <w:rPr>
                <w:rFonts w:hint="eastAsia" w:ascii="宋体" w:hAnsi="宋体" w:cs="宋体"/>
                <w:szCs w:val="21"/>
              </w:rPr>
              <w:t>实现</w:t>
            </w:r>
            <w:r>
              <w:rPr>
                <w:rFonts w:ascii="宋体" w:hAnsi="宋体" w:cs="宋体"/>
                <w:szCs w:val="21"/>
              </w:rPr>
              <w:t>移动站群的</w:t>
            </w:r>
            <w:r>
              <w:rPr>
                <w:rFonts w:hint="eastAsia" w:ascii="宋体" w:hAnsi="宋体" w:cs="宋体"/>
                <w:szCs w:val="21"/>
              </w:rPr>
              <w:t>快捷</w:t>
            </w:r>
            <w:r>
              <w:rPr>
                <w:rFonts w:ascii="宋体" w:hAnsi="宋体" w:cs="宋体"/>
                <w:szCs w:val="21"/>
              </w:rPr>
              <w:t>创建。</w:t>
            </w:r>
            <w:r>
              <w:rPr>
                <w:rFonts w:hint="eastAsia" w:ascii="宋体" w:hAnsi="宋体" w:cs="宋体"/>
                <w:szCs w:val="21"/>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710" w:type="dxa"/>
            <w:vMerge w:val="continue"/>
            <w:vAlign w:val="center"/>
          </w:tcPr>
          <w:p>
            <w:pPr>
              <w:snapToGrid w:val="0"/>
              <w:spacing w:line="360" w:lineRule="auto"/>
              <w:ind w:left="420"/>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网站需提供</w:t>
            </w:r>
            <w:r>
              <w:rPr>
                <w:rFonts w:ascii="宋体" w:hAnsi="宋体" w:cs="宋体"/>
                <w:szCs w:val="21"/>
              </w:rPr>
              <w:t>文章二维码</w:t>
            </w:r>
            <w:r>
              <w:rPr>
                <w:rFonts w:hint="eastAsia" w:ascii="宋体" w:hAnsi="宋体" w:cs="宋体"/>
                <w:szCs w:val="21"/>
              </w:rPr>
              <w:t>分享</w:t>
            </w:r>
            <w:r>
              <w:rPr>
                <w:rFonts w:ascii="宋体" w:hAnsi="宋体" w:cs="宋体"/>
                <w:szCs w:val="21"/>
              </w:rPr>
              <w:t>功能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snapToGrid w:val="0"/>
              <w:spacing w:line="360" w:lineRule="auto"/>
              <w:ind w:left="420"/>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#提供远程诊断系统，当网站系统发生故障的时候，用户可以通过远程诊断系统直接求助厂商来进行问题解决。(需提供系统截图)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snapToGrid w:val="0"/>
              <w:spacing w:line="360" w:lineRule="auto"/>
              <w:ind w:left="420"/>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ascii="宋体" w:hAnsi="宋体" w:cs="宋体"/>
                <w:szCs w:val="21"/>
              </w:rPr>
              <w:t>专题管理</w:t>
            </w:r>
            <w:r>
              <w:rPr>
                <w:rFonts w:hint="eastAsia" w:ascii="宋体" w:hAnsi="宋体" w:cs="宋体"/>
                <w:szCs w:val="21"/>
              </w:rPr>
              <w:t>，提供专题制作和管理的工具，管理员可以方便地制作各种需求专栏，可以审核、发布、查询专题文章。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snapToGrid w:val="0"/>
              <w:spacing w:line="360" w:lineRule="auto"/>
              <w:ind w:left="420"/>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多语言支持。系统支持英语、简体中文、繁体中文等多种语言。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Merge w:val="continue"/>
            <w:vAlign w:val="center"/>
          </w:tcPr>
          <w:p>
            <w:pPr>
              <w:snapToGrid w:val="0"/>
              <w:spacing w:line="360" w:lineRule="auto"/>
              <w:ind w:left="420"/>
              <w:rPr>
                <w:rFonts w:ascii="宋体" w:hAnsi="宋体" w:cs="宋体"/>
                <w:szCs w:val="21"/>
              </w:rPr>
            </w:pPr>
          </w:p>
        </w:tc>
        <w:tc>
          <w:tcPr>
            <w:tcW w:w="1701" w:type="dxa"/>
            <w:vMerge w:val="continue"/>
            <w:vAlign w:val="center"/>
          </w:tcPr>
          <w:p>
            <w:pPr>
              <w:snapToGrid w:val="0"/>
              <w:spacing w:line="360" w:lineRule="auto"/>
              <w:jc w:val="center"/>
              <w:rPr>
                <w:rFonts w:ascii="宋体" w:hAnsi="宋体"/>
                <w:szCs w:val="21"/>
              </w:rPr>
            </w:pPr>
          </w:p>
        </w:tc>
        <w:tc>
          <w:tcPr>
            <w:tcW w:w="6549" w:type="dxa"/>
            <w:vAlign w:val="center"/>
          </w:tcPr>
          <w:p>
            <w:pPr>
              <w:snapToGrid w:val="0"/>
              <w:spacing w:line="360" w:lineRule="auto"/>
              <w:jc w:val="left"/>
              <w:rPr>
                <w:rFonts w:ascii="宋体" w:hAnsi="宋体" w:cs="宋体"/>
                <w:szCs w:val="21"/>
              </w:rPr>
            </w:pPr>
            <w:r>
              <w:rPr>
                <w:rFonts w:hint="eastAsia" w:ascii="宋体" w:hAnsi="宋体" w:cs="宋体"/>
                <w:szCs w:val="21"/>
              </w:rPr>
              <w:t>支持特殊日子网站一键灰度、一键换版显示功能。</w:t>
            </w:r>
          </w:p>
        </w:tc>
      </w:tr>
    </w:tbl>
    <w:p>
      <w:pPr>
        <w:pStyle w:val="41"/>
        <w:snapToGrid w:val="0"/>
        <w:spacing w:line="360" w:lineRule="auto"/>
        <w:ind w:firstLineChars="0"/>
        <w:rPr>
          <w:rFonts w:ascii="宋体" w:hAnsi="宋体" w:cs="宋体"/>
          <w:szCs w:val="21"/>
        </w:rPr>
      </w:pPr>
    </w:p>
    <w:p>
      <w:pPr>
        <w:pStyle w:val="2"/>
        <w:numPr>
          <w:ilvl w:val="0"/>
          <w:numId w:val="19"/>
        </w:numPr>
        <w:snapToGrid w:val="0"/>
        <w:spacing w:before="0" w:after="0" w:line="360" w:lineRule="auto"/>
        <w:rPr>
          <w:rFonts w:ascii="宋体" w:hAnsi="宋体"/>
          <w:sz w:val="21"/>
          <w:szCs w:val="21"/>
        </w:rPr>
      </w:pPr>
      <w:bookmarkStart w:id="67" w:name="_Toc482118073"/>
      <w:r>
        <w:rPr>
          <w:rFonts w:hint="eastAsia" w:ascii="宋体" w:hAnsi="宋体"/>
          <w:sz w:val="21"/>
          <w:szCs w:val="21"/>
        </w:rPr>
        <w:t>实施要求</w:t>
      </w:r>
      <w:bookmarkEnd w:id="67"/>
    </w:p>
    <w:p>
      <w:pPr>
        <w:spacing w:line="360" w:lineRule="auto"/>
        <w:rPr>
          <w:rFonts w:ascii="宋体" w:hAnsi="宋体"/>
          <w:szCs w:val="21"/>
        </w:rPr>
      </w:pPr>
    </w:p>
    <w:tbl>
      <w:tblPr>
        <w:tblStyle w:val="21"/>
        <w:tblW w:w="924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snapToGrid w:val="0"/>
              <w:spacing w:line="360" w:lineRule="auto"/>
              <w:jc w:val="center"/>
              <w:rPr>
                <w:rFonts w:ascii="宋体" w:hAnsi="宋体" w:cs="宋体"/>
                <w:szCs w:val="21"/>
              </w:rPr>
            </w:pPr>
            <w:r>
              <w:rPr>
                <w:rFonts w:hint="eastAsia" w:ascii="宋体" w:hAnsi="宋体" w:cs="宋体"/>
                <w:szCs w:val="21"/>
              </w:rPr>
              <w:t>序号</w:t>
            </w:r>
          </w:p>
        </w:tc>
        <w:tc>
          <w:tcPr>
            <w:tcW w:w="1701" w:type="dxa"/>
          </w:tcPr>
          <w:p>
            <w:pPr>
              <w:snapToGrid w:val="0"/>
              <w:spacing w:line="360" w:lineRule="auto"/>
              <w:jc w:val="center"/>
              <w:rPr>
                <w:rFonts w:ascii="宋体" w:hAnsi="宋体" w:cs="宋体"/>
                <w:szCs w:val="21"/>
              </w:rPr>
            </w:pPr>
            <w:r>
              <w:rPr>
                <w:rFonts w:hint="eastAsia" w:ascii="宋体" w:hAnsi="宋体" w:cs="宋体"/>
                <w:szCs w:val="21"/>
              </w:rPr>
              <w:t>服务要求项目</w:t>
            </w:r>
          </w:p>
        </w:tc>
        <w:tc>
          <w:tcPr>
            <w:tcW w:w="6833" w:type="dxa"/>
          </w:tcPr>
          <w:p>
            <w:pPr>
              <w:snapToGrid w:val="0"/>
              <w:spacing w:line="360" w:lineRule="auto"/>
              <w:jc w:val="center"/>
              <w:rPr>
                <w:rFonts w:ascii="宋体" w:hAnsi="宋体" w:cs="宋体"/>
                <w:szCs w:val="21"/>
              </w:rPr>
            </w:pPr>
            <w:r>
              <w:rPr>
                <w:rFonts w:hint="eastAsia" w:ascii="宋体" w:hAnsi="宋体" w:cs="宋体"/>
                <w:szCs w:val="21"/>
              </w:rPr>
              <w:t>服务要求标准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已有二级网站的日常管理和改版</w:t>
            </w:r>
          </w:p>
        </w:tc>
        <w:tc>
          <w:tcPr>
            <w:tcW w:w="6833" w:type="dxa"/>
            <w:vAlign w:val="center"/>
          </w:tcPr>
          <w:p>
            <w:pPr>
              <w:pStyle w:val="10"/>
              <w:snapToGrid w:val="0"/>
              <w:spacing w:line="360" w:lineRule="auto"/>
              <w:rPr>
                <w:rFonts w:ascii="宋体" w:hAnsi="宋体" w:cs="宋体"/>
                <w:szCs w:val="21"/>
              </w:rPr>
            </w:pPr>
            <w:r>
              <w:rPr>
                <w:rFonts w:hint="eastAsia" w:ascii="宋体" w:hAnsi="宋体" w:cs="宋体"/>
                <w:szCs w:val="21"/>
              </w:rPr>
              <w:t>包含我校网站群已有的1</w:t>
            </w:r>
            <w:r>
              <w:rPr>
                <w:rFonts w:ascii="宋体" w:hAnsi="宋体" w:cs="宋体"/>
                <w:szCs w:val="21"/>
              </w:rPr>
              <w:t>21</w:t>
            </w:r>
            <w:r>
              <w:rPr>
                <w:rFonts w:hint="eastAsia" w:ascii="宋体" w:hAnsi="宋体" w:cs="宋体"/>
                <w:szCs w:val="21"/>
              </w:rPr>
              <w:t>个网站日常管理和改版。日常改版更新内容包含但不仅限于如下：</w:t>
            </w:r>
          </w:p>
          <w:p>
            <w:pPr>
              <w:pStyle w:val="10"/>
              <w:snapToGrid w:val="0"/>
              <w:spacing w:line="360" w:lineRule="auto"/>
              <w:ind w:firstLine="420" w:firstLineChars="200"/>
              <w:rPr>
                <w:rFonts w:ascii="宋体" w:hAnsi="宋体" w:cs="宋体"/>
                <w:szCs w:val="21"/>
              </w:rPr>
            </w:pPr>
            <w:r>
              <w:rPr>
                <w:rFonts w:hint="eastAsia" w:ascii="宋体" w:hAnsi="宋体" w:cs="宋体"/>
                <w:szCs w:val="21"/>
              </w:rPr>
              <w:t>1.  图片设计及处理，包含图片处理、设计、制作。</w:t>
            </w:r>
          </w:p>
          <w:p>
            <w:pPr>
              <w:pStyle w:val="10"/>
              <w:snapToGrid w:val="0"/>
              <w:spacing w:line="360" w:lineRule="auto"/>
              <w:ind w:firstLine="420" w:firstLineChars="200"/>
              <w:rPr>
                <w:rFonts w:ascii="宋体" w:hAnsi="宋体" w:cs="宋体"/>
                <w:szCs w:val="21"/>
              </w:rPr>
            </w:pPr>
            <w:r>
              <w:rPr>
                <w:rFonts w:hint="eastAsia" w:ascii="宋体" w:hAnsi="宋体" w:cs="宋体"/>
                <w:szCs w:val="21"/>
              </w:rPr>
              <w:t>2.  动画设计与制作，每个专题包含不超过10秒的Flash动画、GIF动画。</w:t>
            </w:r>
          </w:p>
          <w:p>
            <w:pPr>
              <w:pStyle w:val="10"/>
              <w:snapToGrid w:val="0"/>
              <w:spacing w:line="360" w:lineRule="auto"/>
              <w:ind w:firstLine="420" w:firstLineChars="200"/>
              <w:rPr>
                <w:rFonts w:ascii="宋体" w:hAnsi="宋体" w:cs="宋体"/>
                <w:szCs w:val="21"/>
              </w:rPr>
            </w:pPr>
            <w:r>
              <w:rPr>
                <w:rFonts w:hint="eastAsia" w:ascii="宋体" w:hAnsi="宋体" w:cs="宋体"/>
                <w:szCs w:val="21"/>
              </w:rPr>
              <w:t>3.  专题设计与制作，每个专题的模板数不超过3个。</w:t>
            </w:r>
          </w:p>
          <w:p>
            <w:pPr>
              <w:pStyle w:val="10"/>
              <w:snapToGrid w:val="0"/>
              <w:spacing w:line="360" w:lineRule="auto"/>
              <w:ind w:firstLine="420" w:firstLineChars="200"/>
              <w:rPr>
                <w:rFonts w:ascii="宋体" w:hAnsi="宋体" w:cs="宋体"/>
                <w:szCs w:val="21"/>
              </w:rPr>
            </w:pPr>
            <w:r>
              <w:rPr>
                <w:rFonts w:hint="eastAsia" w:ascii="宋体" w:hAnsi="宋体" w:cs="宋体"/>
                <w:szCs w:val="21"/>
              </w:rPr>
              <w:t>4.  页面设计与制作，设计、制作页面，对页面进行局部的版式调整，改动的页面数量不超过页面的30%。</w:t>
            </w:r>
          </w:p>
          <w:p>
            <w:pPr>
              <w:pStyle w:val="10"/>
              <w:snapToGrid w:val="0"/>
              <w:spacing w:line="360" w:lineRule="auto"/>
              <w:ind w:firstLine="420" w:firstLineChars="200"/>
              <w:rPr>
                <w:rFonts w:ascii="宋体" w:hAnsi="宋体" w:cs="宋体"/>
                <w:szCs w:val="21"/>
              </w:rPr>
            </w:pPr>
            <w:r>
              <w:rPr>
                <w:rFonts w:hint="eastAsia" w:ascii="宋体" w:hAnsi="宋体" w:cs="宋体"/>
                <w:szCs w:val="21"/>
              </w:rPr>
              <w:t>5.  组件调整，组件样式修改、组件位置调整。</w:t>
            </w:r>
          </w:p>
          <w:p>
            <w:pPr>
              <w:pStyle w:val="10"/>
              <w:snapToGrid w:val="0"/>
              <w:spacing w:line="360" w:lineRule="auto"/>
              <w:ind w:firstLine="420" w:firstLineChars="200"/>
              <w:rPr>
                <w:rFonts w:ascii="宋体" w:hAnsi="宋体" w:cs="宋体"/>
                <w:szCs w:val="21"/>
              </w:rPr>
            </w:pPr>
            <w:r>
              <w:rPr>
                <w:rFonts w:hint="eastAsia" w:ascii="宋体" w:hAnsi="宋体" w:cs="宋体"/>
                <w:szCs w:val="21"/>
              </w:rPr>
              <w:t>6.  提供7×8 小时产品技术支持（服务热线、网络咨询、远程协助）。</w:t>
            </w:r>
          </w:p>
          <w:p>
            <w:pPr>
              <w:pStyle w:val="10"/>
              <w:snapToGrid w:val="0"/>
              <w:spacing w:line="360" w:lineRule="auto"/>
              <w:ind w:firstLine="420" w:firstLineChars="200"/>
              <w:rPr>
                <w:rFonts w:ascii="宋体" w:hAnsi="宋体" w:cs="宋体"/>
                <w:szCs w:val="21"/>
              </w:rPr>
            </w:pPr>
            <w:r>
              <w:rPr>
                <w:rFonts w:hint="eastAsia" w:ascii="宋体" w:hAnsi="宋体" w:cs="宋体"/>
                <w:szCs w:val="21"/>
              </w:rPr>
              <w:t>7.  网站常见问题答疑。</w:t>
            </w:r>
          </w:p>
          <w:p>
            <w:pPr>
              <w:pStyle w:val="10"/>
              <w:snapToGrid w:val="0"/>
              <w:spacing w:line="360" w:lineRule="auto"/>
              <w:ind w:firstLine="420" w:firstLineChars="200"/>
              <w:rPr>
                <w:rFonts w:ascii="宋体" w:hAnsi="宋体" w:cs="宋体"/>
                <w:szCs w:val="21"/>
              </w:rPr>
            </w:pPr>
            <w:r>
              <w:rPr>
                <w:rFonts w:hint="eastAsia" w:ascii="宋体" w:hAnsi="宋体" w:cs="宋体"/>
                <w:szCs w:val="21"/>
              </w:rPr>
              <w:t>8.  网站创建修改疑难解答。</w:t>
            </w:r>
          </w:p>
          <w:p>
            <w:pPr>
              <w:pStyle w:val="10"/>
              <w:snapToGrid w:val="0"/>
              <w:spacing w:line="360" w:lineRule="auto"/>
              <w:ind w:firstLine="420" w:firstLineChars="200"/>
              <w:rPr>
                <w:rFonts w:ascii="宋体" w:hAnsi="宋体" w:cs="宋体"/>
                <w:szCs w:val="21"/>
              </w:rPr>
            </w:pPr>
            <w:r>
              <w:rPr>
                <w:rFonts w:hint="eastAsia" w:ascii="宋体" w:hAnsi="宋体" w:cs="宋体"/>
                <w:szCs w:val="21"/>
              </w:rPr>
              <w:t>9.  其他相关问题疑难解答。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网站安全检查及加固</w:t>
            </w:r>
          </w:p>
        </w:tc>
        <w:tc>
          <w:tcPr>
            <w:tcW w:w="6833" w:type="dxa"/>
            <w:vAlign w:val="center"/>
          </w:tcPr>
          <w:p>
            <w:pPr>
              <w:snapToGrid w:val="0"/>
              <w:spacing w:line="360" w:lineRule="auto"/>
              <w:jc w:val="left"/>
              <w:rPr>
                <w:rFonts w:ascii="宋体" w:hAnsi="宋体" w:cs="宋体"/>
                <w:szCs w:val="21"/>
              </w:rPr>
            </w:pPr>
            <w:r>
              <w:rPr>
                <w:rFonts w:hint="eastAsia" w:ascii="宋体" w:hAnsi="宋体" w:cs="宋体"/>
                <w:szCs w:val="21"/>
              </w:rPr>
              <w:t>#提供已上线二级网站的安全检查及加固服务，降低网站运行期间的安全风险，提升网站的安全防护水平。</w:t>
            </w:r>
          </w:p>
          <w:p>
            <w:pPr>
              <w:numPr>
                <w:ilvl w:val="0"/>
                <w:numId w:val="22"/>
              </w:numPr>
              <w:snapToGrid w:val="0"/>
              <w:spacing w:line="360" w:lineRule="auto"/>
              <w:jc w:val="left"/>
              <w:rPr>
                <w:rFonts w:ascii="宋体" w:hAnsi="宋体" w:cs="宋体"/>
                <w:szCs w:val="21"/>
              </w:rPr>
            </w:pPr>
            <w:r>
              <w:rPr>
                <w:rFonts w:hint="eastAsia" w:ascii="宋体" w:hAnsi="宋体" w:cs="宋体"/>
                <w:szCs w:val="21"/>
              </w:rPr>
              <w:t>系统具备完善的安全机制，如密码强度管理、Web防火墙等安全策略。</w:t>
            </w:r>
          </w:p>
          <w:p>
            <w:pPr>
              <w:numPr>
                <w:ilvl w:val="0"/>
                <w:numId w:val="22"/>
              </w:numPr>
              <w:snapToGrid w:val="0"/>
              <w:spacing w:line="360" w:lineRule="auto"/>
              <w:jc w:val="left"/>
              <w:rPr>
                <w:rFonts w:ascii="宋体" w:hAnsi="宋体" w:cs="宋体"/>
                <w:szCs w:val="21"/>
              </w:rPr>
            </w:pPr>
            <w:r>
              <w:rPr>
                <w:rFonts w:hint="eastAsia" w:ascii="宋体" w:hAnsi="宋体" w:cs="宋体"/>
                <w:szCs w:val="21"/>
              </w:rPr>
              <w:t>对于站群系统管理员和子站管理员，可以设置和管理其登陆的IP地址，并支持IP地址段的设置。</w:t>
            </w:r>
          </w:p>
          <w:p>
            <w:pPr>
              <w:numPr>
                <w:ilvl w:val="0"/>
                <w:numId w:val="22"/>
              </w:numPr>
              <w:snapToGrid w:val="0"/>
              <w:spacing w:line="360" w:lineRule="auto"/>
              <w:jc w:val="left"/>
              <w:rPr>
                <w:rFonts w:ascii="宋体" w:hAnsi="宋体" w:cs="宋体"/>
                <w:szCs w:val="21"/>
              </w:rPr>
            </w:pPr>
            <w:r>
              <w:rPr>
                <w:rFonts w:hint="eastAsia" w:ascii="宋体" w:hAnsi="宋体" w:cs="宋体"/>
                <w:szCs w:val="21"/>
              </w:rPr>
              <w:t>可以设置网站用户输入信息中禁止包含的敏感词语（如：评论、留言、访谈等互动功能）。</w:t>
            </w:r>
          </w:p>
          <w:p>
            <w:pPr>
              <w:snapToGrid w:val="0"/>
              <w:spacing w:line="360" w:lineRule="auto"/>
              <w:jc w:val="left"/>
              <w:rPr>
                <w:rFonts w:ascii="宋体" w:hAnsi="宋体" w:cs="宋体"/>
                <w:szCs w:val="21"/>
              </w:rPr>
            </w:pPr>
            <w:r>
              <w:rPr>
                <w:rFonts w:hint="eastAsia" w:ascii="宋体" w:hAnsi="宋体" w:cs="宋体"/>
                <w:szCs w:val="21"/>
              </w:rPr>
              <w:t>系统具备防止SQL注入攻击、密码猜解、木马上传等各种恶意攻击手段。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服务及时性和可视化监控</w:t>
            </w:r>
          </w:p>
        </w:tc>
        <w:tc>
          <w:tcPr>
            <w:tcW w:w="6833" w:type="dxa"/>
            <w:vAlign w:val="center"/>
          </w:tcPr>
          <w:p>
            <w:pPr>
              <w:snapToGrid w:val="0"/>
              <w:spacing w:line="360" w:lineRule="auto"/>
              <w:jc w:val="left"/>
              <w:rPr>
                <w:rFonts w:ascii="宋体" w:hAnsi="宋体" w:cs="宋体"/>
                <w:szCs w:val="21"/>
              </w:rPr>
            </w:pPr>
            <w:r>
              <w:rPr>
                <w:rFonts w:hint="eastAsia" w:ascii="宋体" w:hAnsi="宋体" w:cs="宋体"/>
                <w:szCs w:val="21"/>
              </w:rPr>
              <w:t>#提供专业的客户服务系统对客户进行服务，方便客户对服务进行可视化监控，进而提高服务的质量和及时性（需提供服务系统截图）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网站建设与开发能力</w:t>
            </w:r>
          </w:p>
        </w:tc>
        <w:tc>
          <w:tcPr>
            <w:tcW w:w="6833" w:type="dxa"/>
            <w:vAlign w:val="center"/>
          </w:tcPr>
          <w:p>
            <w:pPr>
              <w:snapToGrid w:val="0"/>
              <w:spacing w:line="360" w:lineRule="auto"/>
              <w:jc w:val="left"/>
              <w:rPr>
                <w:rFonts w:ascii="宋体" w:hAnsi="宋体" w:cs="宋体"/>
                <w:szCs w:val="21"/>
              </w:rPr>
            </w:pPr>
            <w:r>
              <w:rPr>
                <w:rFonts w:hint="eastAsia" w:ascii="宋体" w:hAnsi="宋体" w:cs="宋体"/>
                <w:szCs w:val="21"/>
              </w:rPr>
              <w:t>#提供基于我校通用站群平台建站的技术方案，及网站建设开发代码示例。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运行环境设计</w:t>
            </w:r>
          </w:p>
        </w:tc>
        <w:tc>
          <w:tcPr>
            <w:tcW w:w="6833" w:type="dxa"/>
            <w:vAlign w:val="center"/>
          </w:tcPr>
          <w:p>
            <w:pPr>
              <w:snapToGrid w:val="0"/>
              <w:spacing w:line="360" w:lineRule="auto"/>
              <w:jc w:val="left"/>
              <w:rPr>
                <w:rFonts w:ascii="宋体" w:hAnsi="宋体" w:cs="宋体"/>
                <w:szCs w:val="21"/>
              </w:rPr>
            </w:pPr>
            <w:r>
              <w:rPr>
                <w:rFonts w:hint="eastAsia" w:ascii="宋体" w:hAnsi="宋体" w:cs="宋体"/>
                <w:szCs w:val="21"/>
              </w:rPr>
              <w:t>#提供贴合我校实际情况的网站运行环境方案（服务器、备份、安全等）。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培训</w:t>
            </w:r>
          </w:p>
        </w:tc>
        <w:tc>
          <w:tcPr>
            <w:tcW w:w="6833" w:type="dxa"/>
            <w:vAlign w:val="center"/>
          </w:tcPr>
          <w:p>
            <w:pPr>
              <w:snapToGrid w:val="0"/>
              <w:spacing w:line="360" w:lineRule="auto"/>
              <w:jc w:val="left"/>
              <w:rPr>
                <w:rFonts w:ascii="宋体" w:hAnsi="宋体" w:cs="宋体"/>
                <w:szCs w:val="21"/>
              </w:rPr>
            </w:pPr>
            <w:r>
              <w:rPr>
                <w:rFonts w:hint="eastAsia" w:ascii="宋体" w:hAnsi="宋体" w:cs="宋体"/>
                <w:szCs w:val="21"/>
              </w:rPr>
              <w:t xml:space="preserve">1.对于新建的30个网站，提供一次免费站群管理员现场培训，培训课时不少于2个工作日。 </w:t>
            </w:r>
          </w:p>
          <w:p>
            <w:pPr>
              <w:snapToGrid w:val="0"/>
              <w:spacing w:line="360" w:lineRule="auto"/>
              <w:jc w:val="left"/>
              <w:rPr>
                <w:rFonts w:ascii="宋体" w:hAnsi="宋体" w:cs="宋体"/>
                <w:szCs w:val="21"/>
              </w:rPr>
            </w:pPr>
            <w:r>
              <w:rPr>
                <w:rFonts w:hint="eastAsia" w:ascii="宋体" w:hAnsi="宋体" w:cs="宋体"/>
                <w:szCs w:val="21"/>
              </w:rPr>
              <w:t>2.针对站群管理人员，需培训整个站群管理、站点新建及站点群其他相应操作。</w:t>
            </w:r>
          </w:p>
          <w:p>
            <w:pPr>
              <w:snapToGrid w:val="0"/>
              <w:spacing w:line="360" w:lineRule="auto"/>
              <w:jc w:val="left"/>
              <w:rPr>
                <w:rFonts w:ascii="宋体" w:hAnsi="宋体" w:cs="宋体"/>
                <w:szCs w:val="21"/>
              </w:rPr>
            </w:pPr>
            <w:r>
              <w:rPr>
                <w:rFonts w:hint="eastAsia" w:ascii="宋体" w:hAnsi="宋体" w:cs="宋体"/>
                <w:szCs w:val="21"/>
              </w:rPr>
              <w:t>3.针对子站管理人员，需培训网站的设计、使用、文章的发布等站点群其他相应操作。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售后服务承诺</w:t>
            </w:r>
          </w:p>
        </w:tc>
        <w:tc>
          <w:tcPr>
            <w:tcW w:w="6833" w:type="dxa"/>
            <w:vAlign w:val="center"/>
          </w:tcPr>
          <w:p>
            <w:pPr>
              <w:snapToGrid w:val="0"/>
              <w:spacing w:line="360" w:lineRule="auto"/>
              <w:jc w:val="left"/>
              <w:rPr>
                <w:rFonts w:ascii="宋体" w:hAnsi="宋体" w:cs="宋体"/>
                <w:szCs w:val="21"/>
              </w:rPr>
            </w:pPr>
            <w:r>
              <w:rPr>
                <w:rFonts w:hint="eastAsia" w:ascii="宋体" w:hAnsi="宋体" w:cs="宋体"/>
                <w:szCs w:val="21"/>
              </w:rPr>
              <w:t>提供三年免费质保服务， 7×24小时技术响应支持，每年不少于2次的远程巡检服务及每季度对整个网站后台系统进行一次安全评估，以及网站性能分析，性能评估。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测试要求</w:t>
            </w:r>
          </w:p>
        </w:tc>
        <w:tc>
          <w:tcPr>
            <w:tcW w:w="6833" w:type="dxa"/>
            <w:vAlign w:val="center"/>
          </w:tcPr>
          <w:p>
            <w:pPr>
              <w:snapToGrid w:val="0"/>
              <w:spacing w:line="360" w:lineRule="auto"/>
              <w:jc w:val="left"/>
              <w:rPr>
                <w:rFonts w:ascii="宋体" w:hAnsi="宋体" w:cs="宋体"/>
                <w:szCs w:val="21"/>
              </w:rPr>
            </w:pPr>
            <w:r>
              <w:rPr>
                <w:rFonts w:hint="eastAsia" w:ascii="宋体" w:hAnsi="宋体" w:cs="宋体"/>
                <w:szCs w:val="21"/>
              </w:rPr>
              <w:t>本招标文件提出了较详细的功能需求和技术要求，投标方需根据所投标货物，提交完整、真实的点对点功能/技术应答表、系统配置及相关说明材料。</w:t>
            </w:r>
          </w:p>
          <w:p>
            <w:pPr>
              <w:snapToGrid w:val="0"/>
              <w:spacing w:line="360" w:lineRule="auto"/>
              <w:jc w:val="left"/>
              <w:rPr>
                <w:rFonts w:ascii="宋体" w:hAnsi="宋体" w:cs="宋体"/>
                <w:szCs w:val="21"/>
              </w:rPr>
            </w:pPr>
            <w:r>
              <w:rPr>
                <w:rFonts w:hint="eastAsia" w:ascii="宋体" w:hAnsi="宋体" w:cs="宋体"/>
                <w:szCs w:val="21"/>
              </w:rPr>
              <w:t>投标人应有能力在预中标后两日内提供本项目核心建设内容（基于我校通用网站管理平台设计、实施PC、移动网站）所投标货物及服务的当前建站进行测试，用户有权对投标文件所投货物及服务所列功能和技术参数提出测试要求，如测试结果与投标方案不符，采购人有权以虚假应标予以上报财政部门，按照评标委员会提出的中标候选人名单排序依次测试其他中标候选人所投标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numPr>
                <w:ilvl w:val="0"/>
                <w:numId w:val="21"/>
              </w:numPr>
              <w:snapToGrid w:val="0"/>
              <w:spacing w:line="360" w:lineRule="auto"/>
              <w:jc w:val="center"/>
              <w:rPr>
                <w:rFonts w:ascii="宋体" w:hAnsi="宋体" w:cs="宋体"/>
                <w:szCs w:val="21"/>
              </w:rPr>
            </w:pPr>
          </w:p>
        </w:tc>
        <w:tc>
          <w:tcPr>
            <w:tcW w:w="1701" w:type="dxa"/>
            <w:vAlign w:val="center"/>
          </w:tcPr>
          <w:p>
            <w:pPr>
              <w:snapToGrid w:val="0"/>
              <w:spacing w:line="360" w:lineRule="auto"/>
              <w:jc w:val="left"/>
              <w:rPr>
                <w:rFonts w:ascii="宋体" w:hAnsi="宋体" w:cs="宋体"/>
                <w:szCs w:val="21"/>
              </w:rPr>
            </w:pPr>
            <w:r>
              <w:rPr>
                <w:rFonts w:hint="eastAsia" w:ascii="宋体" w:hAnsi="宋体" w:cs="宋体"/>
                <w:szCs w:val="21"/>
              </w:rPr>
              <w:t>驻场人员要求</w:t>
            </w:r>
          </w:p>
        </w:tc>
        <w:tc>
          <w:tcPr>
            <w:tcW w:w="6833" w:type="dxa"/>
            <w:vAlign w:val="center"/>
          </w:tcPr>
          <w:p>
            <w:pPr>
              <w:tabs>
                <w:tab w:val="left" w:pos="426"/>
              </w:tabs>
              <w:spacing w:line="440" w:lineRule="exact"/>
              <w:ind w:left="425" w:hanging="424" w:hangingChars="193"/>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合同签订后需派驻</w:t>
            </w:r>
            <w:r>
              <w:rPr>
                <w:rFonts w:ascii="宋体" w:hAnsi="宋体"/>
                <w:color w:val="000000" w:themeColor="text1"/>
                <w:sz w:val="22"/>
                <w14:textFill>
                  <w14:solidFill>
                    <w14:schemeClr w14:val="tx1"/>
                  </w14:solidFill>
                </w14:textFill>
              </w:rPr>
              <w:t>1名人员</w:t>
            </w:r>
            <w:r>
              <w:rPr>
                <w:rFonts w:hint="eastAsia" w:ascii="宋体" w:hAnsi="宋体"/>
                <w:color w:val="000000" w:themeColor="text1"/>
                <w:sz w:val="22"/>
                <w14:textFill>
                  <w14:solidFill>
                    <w14:schemeClr w14:val="tx1"/>
                  </w14:solidFill>
                </w14:textFill>
              </w:rPr>
              <w:t xml:space="preserve">常驻我校进行系统维护工作一年，驻场维护人员必须具备高校的网站制作维护经验，计算机及相关专业本科以上学历，三年以上工作经验。  </w:t>
            </w:r>
            <w:r>
              <w:rPr>
                <w:rFonts w:ascii="宋体" w:hAnsi="宋体"/>
                <w:color w:val="000000" w:themeColor="text1"/>
                <w:sz w:val="22"/>
                <w14:textFill>
                  <w14:solidFill>
                    <w14:schemeClr w14:val="tx1"/>
                  </w14:solidFill>
                </w14:textFill>
              </w:rPr>
              <w:t xml:space="preserve">  </w:t>
            </w:r>
          </w:p>
          <w:p>
            <w:pPr>
              <w:tabs>
                <w:tab w:val="left" w:pos="2064"/>
              </w:tabs>
              <w:spacing w:line="440" w:lineRule="exact"/>
              <w:ind w:left="519" w:hanging="519" w:hangingChars="23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（1）供应商必须保证所派人员在项目研发期内保持稳定，未经学校允许，不得随意更换任何项目中在用的外派人员，所派人员应做到专人专责，在项目期间不得从事其他无关工作。</w:t>
            </w:r>
          </w:p>
          <w:p>
            <w:pPr>
              <w:tabs>
                <w:tab w:val="left" w:pos="2064"/>
              </w:tabs>
              <w:spacing w:line="440" w:lineRule="exact"/>
              <w:ind w:left="519" w:hanging="519" w:hangingChars="23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（2）驻场服务人员必须按照学校要求在指定的场所进行工作，学校提供工作中使用的电脑等办公设备。</w:t>
            </w:r>
          </w:p>
          <w:p>
            <w:pPr>
              <w:tabs>
                <w:tab w:val="left" w:pos="2064"/>
              </w:tabs>
              <w:spacing w:line="440" w:lineRule="exact"/>
              <w:ind w:left="519" w:hanging="519" w:hangingChars="23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3</w:t>
            </w:r>
            <w:r>
              <w:rPr>
                <w:rFonts w:hint="eastAsia" w:ascii="宋体" w:hAnsi="宋体"/>
                <w:color w:val="000000" w:themeColor="text1"/>
                <w:sz w:val="22"/>
                <w14:textFill>
                  <w14:solidFill>
                    <w14:schemeClr w14:val="tx1"/>
                  </w14:solidFill>
                </w14:textFill>
              </w:rPr>
              <w:t>）驻场服务人员必须听从校方工作安排，按时完成所布置的任务，并根据项目进展情况以及校方要求，保质保量的完成工作。</w:t>
            </w:r>
          </w:p>
          <w:p>
            <w:pPr>
              <w:tabs>
                <w:tab w:val="left" w:pos="2064"/>
              </w:tabs>
              <w:spacing w:line="440" w:lineRule="exact"/>
              <w:ind w:left="519" w:hanging="519" w:hangingChars="23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4</w:t>
            </w:r>
            <w:r>
              <w:rPr>
                <w:rFonts w:hint="eastAsia" w:ascii="宋体" w:hAnsi="宋体"/>
                <w:color w:val="000000" w:themeColor="text1"/>
                <w:sz w:val="22"/>
                <w14:textFill>
                  <w14:solidFill>
                    <w14:schemeClr w14:val="tx1"/>
                  </w14:solidFill>
                </w14:textFill>
              </w:rPr>
              <w:t>）驻场服务人员根据校方要求，定期上报工作任务完成情况给校方，校方有权核定主场服务人员的工作是否有效，无效工作量将从总工作量中扣除。</w:t>
            </w:r>
          </w:p>
          <w:p>
            <w:pPr>
              <w:tabs>
                <w:tab w:val="left" w:pos="2064"/>
              </w:tabs>
              <w:spacing w:line="440" w:lineRule="exact"/>
              <w:ind w:left="519" w:hanging="519" w:hangingChars="23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5</w:t>
            </w:r>
            <w:r>
              <w:rPr>
                <w:rFonts w:hint="eastAsia" w:ascii="宋体" w:hAnsi="宋体"/>
                <w:color w:val="000000" w:themeColor="text1"/>
                <w:sz w:val="22"/>
                <w14:textFill>
                  <w14:solidFill>
                    <w14:schemeClr w14:val="tx1"/>
                  </w14:solidFill>
                </w14:textFill>
              </w:rPr>
              <w:t>）驻场服务人员在工作中如需请假，须取得校方同意。</w:t>
            </w:r>
          </w:p>
          <w:p>
            <w:pPr>
              <w:tabs>
                <w:tab w:val="left" w:pos="2064"/>
              </w:tabs>
              <w:spacing w:line="440" w:lineRule="exact"/>
              <w:ind w:left="519" w:hanging="519" w:hangingChars="23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6</w:t>
            </w:r>
            <w:r>
              <w:rPr>
                <w:rFonts w:hint="eastAsia" w:ascii="宋体" w:hAnsi="宋体"/>
                <w:color w:val="000000" w:themeColor="text1"/>
                <w:sz w:val="22"/>
                <w14:textFill>
                  <w14:solidFill>
                    <w14:schemeClr w14:val="tx1"/>
                  </w14:solidFill>
                </w14:textFill>
              </w:rPr>
              <w:t>）驻场服务人员须严格遵守校方项目管理的各项制度，如因违犯项目管理制度影响项目工作，校方有权根据事态严重程度给予投标单位经济惩罚。</w:t>
            </w:r>
          </w:p>
          <w:p>
            <w:pPr>
              <w:tabs>
                <w:tab w:val="left" w:pos="2064"/>
              </w:tabs>
              <w:spacing w:line="440" w:lineRule="exact"/>
              <w:ind w:left="519" w:hanging="519" w:hangingChars="23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7</w:t>
            </w:r>
            <w:r>
              <w:rPr>
                <w:rFonts w:hint="eastAsia" w:ascii="宋体" w:hAnsi="宋体"/>
                <w:color w:val="000000" w:themeColor="text1"/>
                <w:sz w:val="22"/>
                <w14:textFill>
                  <w14:solidFill>
                    <w14:schemeClr w14:val="tx1"/>
                  </w14:solidFill>
                </w14:textFill>
              </w:rPr>
              <w:t>）校方在项目实施期间对驻场服务人员进行考核。驻场服务人员如果在工作中考核不达标或遭到客户投诉或擅自离岗的，中标公司有责任对其进行教育，督促其改正；如果一周内未有改善，校方有权要求调换人员或者将该人员退回并根据耽误的工时扣减相应驻场服务费。</w:t>
            </w:r>
          </w:p>
          <w:p>
            <w:pPr>
              <w:tabs>
                <w:tab w:val="left" w:pos="2064"/>
              </w:tabs>
              <w:spacing w:line="440" w:lineRule="exact"/>
              <w:ind w:left="519" w:hanging="519" w:hangingChars="23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8</w:t>
            </w:r>
            <w:r>
              <w:rPr>
                <w:rFonts w:hint="eastAsia" w:ascii="宋体" w:hAnsi="宋体"/>
                <w:color w:val="000000" w:themeColor="text1"/>
                <w:sz w:val="22"/>
                <w14:textFill>
                  <w14:solidFill>
                    <w14:schemeClr w14:val="tx1"/>
                  </w14:solidFill>
                </w14:textFill>
              </w:rPr>
              <w:t>） 项目实施期间驻场服务人员的工资、奖金、社保待遇、加班费、交通费、各种补贴以及其他福利待遇完全由中标单位负责，校方不与外包单位员工个人发生任何经济关系。</w:t>
            </w:r>
          </w:p>
          <w:p>
            <w:pPr>
              <w:tabs>
                <w:tab w:val="left" w:pos="2064"/>
              </w:tabs>
              <w:spacing w:line="440" w:lineRule="exact"/>
              <w:ind w:left="519" w:hanging="519" w:hangingChars="236"/>
              <w:rPr>
                <w:rFonts w:ascii="宋体" w:hAnsi="宋体" w:cs="宋体"/>
                <w:szCs w:val="21"/>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9</w:t>
            </w:r>
            <w:r>
              <w:rPr>
                <w:rFonts w:hint="eastAsia" w:ascii="宋体" w:hAnsi="宋体"/>
                <w:color w:val="000000" w:themeColor="text1"/>
                <w:sz w:val="22"/>
                <w14:textFill>
                  <w14:solidFill>
                    <w14:schemeClr w14:val="tx1"/>
                  </w14:solidFill>
                </w14:textFill>
              </w:rPr>
              <w:t>）驻场服务人员必须遵守校方的规章制度，所有作业产生的各种成果（媒介、程序、设计资料、报告等文档）归校方所有，在未经校方许可的情况下，不得另作他用，不得向校方以外的单位或个人公开。并且在项目实施期满离开校方之前，全部移交归还校方。</w:t>
            </w:r>
          </w:p>
        </w:tc>
      </w:tr>
    </w:tbl>
    <w:p>
      <w:pPr>
        <w:spacing w:line="360" w:lineRule="auto"/>
        <w:rPr>
          <w:rFonts w:ascii="宋体" w:hAnsi="宋体"/>
          <w:szCs w:val="21"/>
        </w:rPr>
      </w:pPr>
    </w:p>
    <w:p>
      <w:pPr>
        <w:pStyle w:val="64"/>
        <w:keepNext/>
        <w:keepLines/>
        <w:numPr>
          <w:ilvl w:val="0"/>
          <w:numId w:val="19"/>
        </w:numPr>
        <w:spacing w:line="360" w:lineRule="auto"/>
        <w:ind w:firstLineChars="0"/>
        <w:outlineLvl w:val="0"/>
        <w:rPr>
          <w:rFonts w:ascii="宋体" w:hAnsi="宋体"/>
          <w:b/>
          <w:bCs/>
          <w:color w:val="000000"/>
          <w:kern w:val="44"/>
          <w:sz w:val="24"/>
          <w:szCs w:val="24"/>
        </w:rPr>
      </w:pPr>
      <w:r>
        <w:rPr>
          <w:rFonts w:hint="eastAsia" w:ascii="宋体" w:hAnsi="宋体"/>
          <w:b/>
          <w:bCs/>
          <w:color w:val="000000"/>
          <w:kern w:val="44"/>
          <w:sz w:val="24"/>
          <w:szCs w:val="24"/>
        </w:rPr>
        <w:t>项目实施和付款方式</w:t>
      </w:r>
    </w:p>
    <w:p>
      <w:pPr>
        <w:numPr>
          <w:ilvl w:val="3"/>
          <w:numId w:val="23"/>
        </w:numPr>
        <w:spacing w:line="440" w:lineRule="exact"/>
        <w:ind w:left="297" w:hanging="297" w:hangingChars="135"/>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合同签订后的</w:t>
      </w:r>
      <w:r>
        <w:rPr>
          <w:rFonts w:ascii="宋体" w:hAnsi="宋体"/>
          <w:color w:val="000000" w:themeColor="text1"/>
          <w:sz w:val="22"/>
          <w14:textFill>
            <w14:solidFill>
              <w14:schemeClr w14:val="tx1"/>
            </w14:solidFill>
          </w14:textFill>
        </w:rPr>
        <w:t>10</w:t>
      </w:r>
      <w:r>
        <w:rPr>
          <w:rFonts w:hint="eastAsia" w:ascii="宋体" w:hAnsi="宋体"/>
          <w:color w:val="000000" w:themeColor="text1"/>
          <w:sz w:val="22"/>
          <w14:textFill>
            <w14:solidFill>
              <w14:schemeClr w14:val="tx1"/>
            </w14:solidFill>
          </w14:textFill>
        </w:rPr>
        <w:t>个工作日内，乙方（中标方，下同）向甲方（供应商，下同）支付合同总金额的</w:t>
      </w:r>
      <w:r>
        <w:rPr>
          <w:rFonts w:ascii="宋体" w:hAnsi="宋体"/>
          <w:color w:val="000000" w:themeColor="text1"/>
          <w:sz w:val="22"/>
          <w14:textFill>
            <w14:solidFill>
              <w14:schemeClr w14:val="tx1"/>
            </w14:solidFill>
          </w14:textFill>
        </w:rPr>
        <w:t>10%</w:t>
      </w:r>
      <w:r>
        <w:rPr>
          <w:rFonts w:hint="eastAsia" w:ascii="宋体" w:hAnsi="宋体"/>
          <w:color w:val="000000" w:themeColor="text1"/>
          <w:sz w:val="22"/>
          <w14:textFill>
            <w14:solidFill>
              <w14:schemeClr w14:val="tx1"/>
            </w14:solidFill>
          </w14:textFill>
        </w:rPr>
        <w:t>作为合同履约保证金，甲方在收到乙方履约保证金后，向乙方支付合同总金额的</w:t>
      </w:r>
      <w:r>
        <w:rPr>
          <w:rFonts w:ascii="宋体" w:hAnsi="宋体"/>
          <w:color w:val="000000" w:themeColor="text1"/>
          <w:sz w:val="22"/>
          <w14:textFill>
            <w14:solidFill>
              <w14:schemeClr w14:val="tx1"/>
            </w14:solidFill>
          </w14:textFill>
        </w:rPr>
        <w:t>20%-50</w:t>
      </w:r>
      <w:r>
        <w:rPr>
          <w:rFonts w:hint="eastAsia" w:ascii="宋体" w:hAnsi="宋体"/>
          <w:color w:val="000000" w:themeColor="text1"/>
          <w:sz w:val="22"/>
          <w14:textFill>
            <w14:solidFill>
              <w14:schemeClr w14:val="tx1"/>
            </w14:solidFill>
          </w14:textFill>
        </w:rPr>
        <w:t>%作为项目首付款。在甲方付款前，乙方应向甲方开具等额的符合国家规定的正式发票（增值税专用发票）。</w:t>
      </w:r>
    </w:p>
    <w:p>
      <w:pPr>
        <w:numPr>
          <w:ilvl w:val="3"/>
          <w:numId w:val="23"/>
        </w:numPr>
        <w:spacing w:line="440" w:lineRule="exact"/>
        <w:ind w:left="297" w:hanging="297" w:hangingChars="135"/>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合同签订后</w:t>
      </w:r>
      <w:r>
        <w:rPr>
          <w:rFonts w:ascii="宋体" w:hAnsi="宋体"/>
          <w:color w:val="000000" w:themeColor="text1"/>
          <w:sz w:val="22"/>
          <w14:textFill>
            <w14:solidFill>
              <w14:schemeClr w14:val="tx1"/>
            </w14:solidFill>
          </w14:textFill>
        </w:rPr>
        <w:t>3</w:t>
      </w:r>
      <w:r>
        <w:rPr>
          <w:rFonts w:hint="eastAsia" w:ascii="宋体" w:hAnsi="宋体"/>
          <w:color w:val="000000" w:themeColor="text1"/>
          <w:sz w:val="22"/>
          <w14:textFill>
            <w14:solidFill>
              <w14:schemeClr w14:val="tx1"/>
            </w14:solidFill>
          </w14:textFill>
        </w:rPr>
        <w:t>个自然月内完成招标要求中除运行维护外的所有实施工作。</w:t>
      </w:r>
    </w:p>
    <w:p>
      <w:pPr>
        <w:numPr>
          <w:ilvl w:val="3"/>
          <w:numId w:val="23"/>
        </w:numPr>
        <w:spacing w:line="440" w:lineRule="exact"/>
        <w:ind w:left="297" w:hanging="297" w:hangingChars="135"/>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系统实施工作完成后，经双方签字认可进入系统试运行期</w:t>
      </w:r>
      <w:r>
        <w:rPr>
          <w:rFonts w:hint="eastAsia" w:ascii="宋体" w:hAnsi="宋体"/>
          <w:color w:val="000000" w:themeColor="text1"/>
          <w:sz w:val="22"/>
          <w14:textFill>
            <w14:solidFill>
              <w14:schemeClr w14:val="tx1"/>
            </w14:solidFill>
          </w14:textFill>
        </w:rPr>
        <w:t>，甲方向乙方支付合同总金额的</w:t>
      </w:r>
      <w:r>
        <w:rPr>
          <w:rFonts w:ascii="宋体" w:hAnsi="宋体"/>
          <w:color w:val="000000" w:themeColor="text1"/>
          <w:sz w:val="22"/>
          <w14:textFill>
            <w14:solidFill>
              <w14:schemeClr w14:val="tx1"/>
            </w14:solidFill>
          </w14:textFill>
        </w:rPr>
        <w:t>2</w:t>
      </w:r>
      <w:r>
        <w:rPr>
          <w:rFonts w:hint="eastAsia" w:ascii="宋体" w:hAnsi="宋体"/>
          <w:color w:val="000000" w:themeColor="text1"/>
          <w:sz w:val="22"/>
          <w14:textFill>
            <w14:solidFill>
              <w14:schemeClr w14:val="tx1"/>
            </w14:solidFill>
          </w14:textFill>
        </w:rPr>
        <w:t>0%</w:t>
      </w:r>
      <w:r>
        <w:rPr>
          <w:rFonts w:ascii="宋体" w:hAnsi="宋体"/>
          <w:color w:val="000000" w:themeColor="text1"/>
          <w:sz w:val="22"/>
          <w14:textFill>
            <w14:solidFill>
              <w14:schemeClr w14:val="tx1"/>
            </w14:solidFill>
          </w14:textFill>
        </w:rPr>
        <w:t>作为</w:t>
      </w:r>
      <w:r>
        <w:rPr>
          <w:rFonts w:hint="eastAsia" w:ascii="宋体" w:hAnsi="宋体"/>
          <w:color w:val="000000" w:themeColor="text1"/>
          <w:sz w:val="22"/>
          <w14:textFill>
            <w14:solidFill>
              <w14:schemeClr w14:val="tx1"/>
            </w14:solidFill>
          </w14:textFill>
        </w:rPr>
        <w:t>试运行款，试运行期为3</w:t>
      </w:r>
      <w:r>
        <w:rPr>
          <w:rFonts w:ascii="宋体" w:hAnsi="宋体"/>
          <w:color w:val="000000" w:themeColor="text1"/>
          <w:sz w:val="22"/>
          <w14:textFill>
            <w14:solidFill>
              <w14:schemeClr w14:val="tx1"/>
            </w14:solidFill>
          </w14:textFill>
        </w:rPr>
        <w:t>-6</w:t>
      </w:r>
      <w:r>
        <w:rPr>
          <w:rFonts w:hint="eastAsia" w:ascii="宋体" w:hAnsi="宋体"/>
          <w:color w:val="000000" w:themeColor="text1"/>
          <w:sz w:val="22"/>
          <w14:textFill>
            <w14:solidFill>
              <w14:schemeClr w14:val="tx1"/>
            </w14:solidFill>
          </w14:textFill>
        </w:rPr>
        <w:t>个自然月。</w:t>
      </w:r>
    </w:p>
    <w:p>
      <w:pPr>
        <w:numPr>
          <w:ilvl w:val="3"/>
          <w:numId w:val="23"/>
        </w:numPr>
        <w:spacing w:line="440" w:lineRule="exact"/>
        <w:ind w:left="297" w:hanging="297" w:hangingChars="135"/>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系统试运行结束后中标公司</w:t>
      </w:r>
      <w:r>
        <w:rPr>
          <w:rFonts w:ascii="宋体" w:hAnsi="宋体"/>
          <w:color w:val="000000" w:themeColor="text1"/>
          <w:sz w:val="22"/>
          <w14:textFill>
            <w14:solidFill>
              <w14:schemeClr w14:val="tx1"/>
            </w14:solidFill>
          </w14:textFill>
        </w:rPr>
        <w:t>应</w:t>
      </w:r>
      <w:r>
        <w:rPr>
          <w:rFonts w:hint="eastAsia" w:ascii="宋体" w:hAnsi="宋体"/>
          <w:color w:val="000000" w:themeColor="text1"/>
          <w:sz w:val="22"/>
          <w14:textFill>
            <w14:solidFill>
              <w14:schemeClr w14:val="tx1"/>
            </w14:solidFill>
          </w14:textFill>
        </w:rPr>
        <w:t>按照规定的验收清单准备验收材料，并由学校组织人员验收。验收通过后甲方向乙方支付该合同总金额的</w:t>
      </w:r>
      <w:r>
        <w:rPr>
          <w:rFonts w:ascii="宋体" w:hAnsi="宋体"/>
          <w:color w:val="000000" w:themeColor="text1"/>
          <w:sz w:val="22"/>
          <w14:textFill>
            <w14:solidFill>
              <w14:schemeClr w14:val="tx1"/>
            </w14:solidFill>
          </w14:textFill>
        </w:rPr>
        <w:t>3</w:t>
      </w:r>
      <w:r>
        <w:rPr>
          <w:rFonts w:hint="eastAsia" w:ascii="宋体" w:hAnsi="宋体"/>
          <w:color w:val="000000" w:themeColor="text1"/>
          <w:sz w:val="22"/>
          <w14:textFill>
            <w14:solidFill>
              <w14:schemeClr w14:val="tx1"/>
            </w14:solidFill>
          </w14:textFill>
        </w:rPr>
        <w:t>0%-</w:t>
      </w:r>
      <w:r>
        <w:rPr>
          <w:rFonts w:ascii="宋体" w:hAnsi="宋体"/>
          <w:color w:val="000000" w:themeColor="text1"/>
          <w:sz w:val="22"/>
          <w14:textFill>
            <w14:solidFill>
              <w14:schemeClr w14:val="tx1"/>
            </w14:solidFill>
          </w14:textFill>
        </w:rPr>
        <w:t>60%</w:t>
      </w:r>
      <w:r>
        <w:rPr>
          <w:rFonts w:hint="eastAsia" w:ascii="宋体" w:hAnsi="宋体"/>
          <w:color w:val="000000" w:themeColor="text1"/>
          <w:sz w:val="22"/>
          <w14:textFill>
            <w14:solidFill>
              <w14:schemeClr w14:val="tx1"/>
            </w14:solidFill>
          </w14:textFill>
        </w:rPr>
        <w:t>作为项目验收款。</w:t>
      </w:r>
    </w:p>
    <w:p>
      <w:pPr>
        <w:numPr>
          <w:ilvl w:val="3"/>
          <w:numId w:val="23"/>
        </w:numPr>
        <w:spacing w:line="440" w:lineRule="exact"/>
        <w:ind w:left="297" w:hanging="297" w:hangingChars="135"/>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验收通过后，项目进入质保期。乙方需要在质保期内向甲方提供免费对接服务、功能升级服务、以及日常运维支持。</w:t>
      </w:r>
    </w:p>
    <w:p>
      <w:pPr>
        <w:numPr>
          <w:ilvl w:val="3"/>
          <w:numId w:val="23"/>
        </w:numPr>
        <w:spacing w:line="440" w:lineRule="exact"/>
        <w:ind w:left="297" w:hanging="297" w:hangingChars="135"/>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项目质保期满后，甲方向乙方退回履约保证金。</w:t>
      </w:r>
    </w:p>
    <w:p>
      <w:pPr>
        <w:pStyle w:val="64"/>
        <w:keepNext/>
        <w:keepLines/>
        <w:numPr>
          <w:ilvl w:val="0"/>
          <w:numId w:val="19"/>
        </w:numPr>
        <w:adjustRightInd/>
        <w:spacing w:line="360" w:lineRule="auto"/>
        <w:ind w:firstLineChars="0"/>
        <w:jc w:val="both"/>
        <w:textAlignment w:val="auto"/>
        <w:outlineLvl w:val="0"/>
        <w:rPr>
          <w:rFonts w:ascii="宋体" w:hAnsi="宋体"/>
          <w:b/>
          <w:bCs/>
          <w:color w:val="000000"/>
          <w:kern w:val="44"/>
          <w:sz w:val="24"/>
          <w:szCs w:val="24"/>
        </w:rPr>
      </w:pPr>
      <w:r>
        <w:rPr>
          <w:rFonts w:hint="eastAsia" w:ascii="宋体" w:hAnsi="宋体"/>
          <w:b/>
          <w:bCs/>
          <w:color w:val="000000"/>
          <w:kern w:val="44"/>
          <w:sz w:val="24"/>
          <w:szCs w:val="24"/>
        </w:rPr>
        <w:t>服务要求</w:t>
      </w:r>
    </w:p>
    <w:p>
      <w:pPr>
        <w:tabs>
          <w:tab w:val="left" w:pos="426"/>
        </w:tabs>
        <w:spacing w:line="440" w:lineRule="exact"/>
        <w:ind w:left="425" w:hanging="424" w:hangingChars="193"/>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1. 供应商应提供详细的实施计划和服务承诺。在实施计划中要从服务人员配置、服务流程设置、服务文档种类、服务响应时间等几个方面进行明确的说明。</w:t>
      </w:r>
    </w:p>
    <w:p>
      <w:pPr>
        <w:tabs>
          <w:tab w:val="left" w:pos="426"/>
        </w:tabs>
        <w:spacing w:line="440" w:lineRule="exact"/>
        <w:ind w:left="425" w:hanging="424" w:hangingChars="193"/>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2. 在系统验收进入正式运行后，供应商需向采购方提供不低于三年的免费售后服务并提供售后服务期满后续服务报价。服务方式应包括但不限于：电话技术服务、现场技术服务、定期巡查服务、技术升级服务等。技术支持与售后服务的全部费用包含在投标总价中。三年内如有操作系统升级，需免费重新编译或修改以适应新系统，以保证系统的长期有效使用。</w:t>
      </w:r>
    </w:p>
    <w:p>
      <w:pPr>
        <w:tabs>
          <w:tab w:val="left" w:pos="426"/>
        </w:tabs>
        <w:spacing w:line="440" w:lineRule="exact"/>
        <w:ind w:left="425" w:hanging="424" w:hangingChars="193"/>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4. 在项目建设过程中，供应商应与用户和运行维护人员进行密切沟通，充分考虑相关的技术服务。</w:t>
      </w:r>
    </w:p>
    <w:p>
      <w:pPr>
        <w:tabs>
          <w:tab w:val="left" w:pos="426"/>
        </w:tabs>
        <w:spacing w:line="440" w:lineRule="exact"/>
        <w:ind w:left="425" w:hanging="424" w:hangingChars="193"/>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5. 考虑到在售后维护期内，采购方的具体需求可能会发生变化，供应商需承诺对于在售后维护期内对采购方的应用软件变更要求给予充分的理解和切实的支持。</w:t>
      </w:r>
    </w:p>
    <w:p>
      <w:pPr>
        <w:pStyle w:val="58"/>
      </w:pPr>
    </w:p>
    <w:p>
      <w:pPr>
        <w:pStyle w:val="58"/>
      </w:pPr>
    </w:p>
    <w:p>
      <w:pPr>
        <w:pStyle w:val="3"/>
        <w:spacing w:line="415" w:lineRule="auto"/>
        <w:ind w:left="420" w:hanging="420"/>
        <w:jc w:val="center"/>
        <w:rPr>
          <w:rFonts w:ascii="Times New Roman" w:hAnsi="Times New Roman" w:eastAsiaTheme="majorEastAsia"/>
        </w:rPr>
      </w:pPr>
      <w:r>
        <w:rPr>
          <w:rFonts w:eastAsiaTheme="majorEastAsia"/>
        </w:rPr>
        <w:br w:type="page"/>
      </w:r>
      <w:r>
        <w:rPr>
          <w:rFonts w:hint="eastAsia" w:ascii="Times New Roman" w:hAnsi="Times New Roman" w:eastAsiaTheme="majorEastAsia"/>
        </w:rPr>
        <w:t xml:space="preserve"> </w:t>
      </w:r>
      <w:bookmarkStart w:id="68" w:name="_Ref508645948"/>
      <w:bookmarkStart w:id="69" w:name="_Toc524103452"/>
      <w:r>
        <w:rPr>
          <w:rFonts w:hint="eastAsia" w:ascii="Times New Roman" w:hAnsi="Times New Roman" w:eastAsiaTheme="majorEastAsia"/>
        </w:rPr>
        <w:t>第六部分  拟签订的合同文本</w:t>
      </w:r>
      <w:bookmarkEnd w:id="68"/>
      <w:bookmarkEnd w:id="69"/>
    </w:p>
    <w:p>
      <w:pPr>
        <w:pStyle w:val="58"/>
      </w:pPr>
    </w:p>
    <w:p>
      <w:pPr>
        <w:pStyle w:val="58"/>
        <w:ind w:firstLine="422"/>
        <w:jc w:val="center"/>
        <w:rPr>
          <w:b/>
        </w:rPr>
      </w:pPr>
      <w:r>
        <w:rPr>
          <w:b/>
        </w:rPr>
        <w:t>本合同为拟签订的合同范本</w:t>
      </w:r>
      <w:r>
        <w:rPr>
          <w:rFonts w:hint="eastAsia"/>
          <w:b/>
        </w:rPr>
        <w:t>，</w:t>
      </w:r>
      <w:r>
        <w:rPr>
          <w:b/>
        </w:rPr>
        <w:t>实际合同以最终合同为准</w:t>
      </w:r>
    </w:p>
    <w:p>
      <w:pPr>
        <w:pStyle w:val="58"/>
        <w:ind w:firstLine="422"/>
        <w:jc w:val="center"/>
        <w:rPr>
          <w:b/>
        </w:rPr>
      </w:pPr>
      <w:r>
        <w:rPr>
          <w:b/>
        </w:rPr>
        <w:t>本合同与采购文件其余部分不一致的部分</w:t>
      </w:r>
      <w:r>
        <w:rPr>
          <w:rFonts w:hint="eastAsia"/>
          <w:b/>
        </w:rPr>
        <w:t>，</w:t>
      </w:r>
      <w:r>
        <w:rPr>
          <w:b/>
        </w:rPr>
        <w:t>以采购文件为准</w:t>
      </w:r>
    </w:p>
    <w:p>
      <w:pPr>
        <w:widowControl/>
        <w:jc w:val="left"/>
        <w:rPr>
          <w:rFonts w:eastAsiaTheme="majorEastAsia"/>
        </w:rPr>
      </w:pPr>
    </w:p>
    <w:p>
      <w:pPr>
        <w:tabs>
          <w:tab w:val="left" w:pos="4536"/>
        </w:tabs>
        <w:spacing w:line="60" w:lineRule="auto"/>
        <w:rPr>
          <w:rFonts w:ascii="微软雅黑" w:hAnsi="微软雅黑" w:eastAsia="微软雅黑"/>
        </w:rPr>
      </w:pPr>
      <w:r>
        <w:rPr>
          <w:rFonts w:hint="eastAsia" w:ascii="微软雅黑" w:hAnsi="微软雅黑" w:eastAsia="微软雅黑"/>
        </w:rPr>
        <w:t>委托方（甲方）：中央财经大学</w:t>
      </w:r>
    </w:p>
    <w:p>
      <w:pPr>
        <w:tabs>
          <w:tab w:val="left" w:pos="4536"/>
        </w:tabs>
        <w:spacing w:line="60" w:lineRule="auto"/>
        <w:rPr>
          <w:rFonts w:ascii="微软雅黑" w:hAnsi="微软雅黑" w:eastAsia="微软雅黑"/>
        </w:rPr>
      </w:pPr>
      <w:r>
        <w:rPr>
          <w:rFonts w:hint="eastAsia" w:ascii="微软雅黑" w:hAnsi="微软雅黑" w:eastAsia="微软雅黑"/>
        </w:rPr>
        <w:t>地址：北京市海淀区学院南路39号                                 联系电话：</w:t>
      </w:r>
    </w:p>
    <w:p>
      <w:pPr>
        <w:spacing w:line="60" w:lineRule="auto"/>
        <w:rPr>
          <w:rFonts w:ascii="微软雅黑" w:hAnsi="微软雅黑" w:eastAsia="微软雅黑"/>
        </w:rPr>
      </w:pPr>
    </w:p>
    <w:p>
      <w:pPr>
        <w:tabs>
          <w:tab w:val="left" w:pos="4536"/>
        </w:tabs>
        <w:spacing w:line="60" w:lineRule="auto"/>
        <w:rPr>
          <w:rFonts w:ascii="微软雅黑" w:hAnsi="微软雅黑" w:eastAsia="微软雅黑"/>
        </w:rPr>
      </w:pPr>
      <w:r>
        <w:rPr>
          <w:rFonts w:hint="eastAsia" w:ascii="微软雅黑" w:hAnsi="微软雅黑" w:eastAsia="微软雅黑"/>
        </w:rPr>
        <w:t xml:space="preserve">承包方（乙方）： </w:t>
      </w:r>
    </w:p>
    <w:p>
      <w:pPr>
        <w:tabs>
          <w:tab w:val="left" w:pos="4536"/>
        </w:tabs>
        <w:spacing w:line="60" w:lineRule="auto"/>
        <w:rPr>
          <w:rFonts w:ascii="微软雅黑" w:hAnsi="微软雅黑" w:eastAsia="微软雅黑"/>
        </w:rPr>
      </w:pPr>
      <w:r>
        <w:rPr>
          <w:rFonts w:hint="eastAsia" w:ascii="微软雅黑" w:hAnsi="微软雅黑" w:eastAsia="微软雅黑"/>
        </w:rPr>
        <w:t xml:space="preserve">地址：                            </w:t>
      </w:r>
      <w:r>
        <w:rPr>
          <w:rFonts w:ascii="微软雅黑" w:hAnsi="微软雅黑" w:eastAsia="微软雅黑"/>
        </w:rPr>
        <w:t xml:space="preserve">  </w:t>
      </w:r>
      <w:r>
        <w:rPr>
          <w:rFonts w:hint="eastAsia" w:ascii="微软雅黑" w:hAnsi="微软雅黑" w:eastAsia="微软雅黑"/>
        </w:rPr>
        <w:t xml:space="preserve">      联系电话：</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总则</w:t>
      </w:r>
    </w:p>
    <w:p>
      <w:pPr>
        <w:pStyle w:val="64"/>
        <w:numPr>
          <w:ilvl w:val="0"/>
          <w:numId w:val="25"/>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甲方选择乙方为其建设网站，乙方将在甲方规定的时间内，根据甲方要求为甲方在已有的西安博达</w:t>
      </w:r>
    </w:p>
    <w:p>
      <w:pPr>
        <w:pStyle w:val="64"/>
        <w:spacing w:line="360" w:lineRule="auto"/>
        <w:ind w:left="420" w:firstLine="0" w:firstLineChars="0"/>
        <w:rPr>
          <w:rFonts w:asciiTheme="minorEastAsia" w:hAnsiTheme="minorEastAsia" w:eastAsiaTheme="minorEastAsia"/>
        </w:rPr>
      </w:pPr>
      <w:r>
        <w:rPr>
          <w:rFonts w:hint="eastAsia" w:asciiTheme="minorEastAsia" w:hAnsiTheme="minorEastAsia" w:eastAsiaTheme="minorEastAsia"/>
        </w:rPr>
        <w:t>软件系统平台上开发建设网站，并包含学校已有二级网站日常管理和改版。定制开发要求见《中央财经大学二级网站新建与改版采购项目招标文件》。</w:t>
      </w:r>
    </w:p>
    <w:p>
      <w:pPr>
        <w:pStyle w:val="64"/>
        <w:numPr>
          <w:ilvl w:val="0"/>
          <w:numId w:val="25"/>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甲、乙双方为明确双方责任，经友好协商，依照《中华人民共和国合同法》及其它有关法律、法规，遵循平等、自愿、公平和诚实信用的原则，就乙方承担本系统项目开发事宜达成一致，订立本合同。</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价格和项目内容</w:t>
      </w:r>
    </w:p>
    <w:p>
      <w:pPr>
        <w:pStyle w:val="64"/>
        <w:numPr>
          <w:ilvl w:val="0"/>
          <w:numId w:val="26"/>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本合同总金额总计</w:t>
      </w:r>
      <w:r>
        <w:rPr>
          <w:rFonts w:hint="eastAsia" w:asciiTheme="minorEastAsia" w:hAnsiTheme="minorEastAsia" w:eastAsiaTheme="minorEastAsia"/>
          <w:u w:val="single"/>
        </w:rPr>
        <w:t>￥</w:t>
      </w:r>
      <w:r>
        <w:rPr>
          <w:rFonts w:asciiTheme="minorEastAsia" w:hAnsiTheme="minorEastAsia" w:eastAsiaTheme="minorEastAsia"/>
          <w:u w:val="single"/>
        </w:rPr>
        <w:t xml:space="preserve">      </w:t>
      </w:r>
      <w:r>
        <w:rPr>
          <w:rFonts w:hint="eastAsia" w:asciiTheme="minorEastAsia" w:hAnsiTheme="minorEastAsia" w:eastAsiaTheme="minorEastAsia"/>
        </w:rPr>
        <w:t>元，大写人民币</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元整。作为</w:t>
      </w:r>
      <w:r>
        <w:rPr>
          <w:rFonts w:asciiTheme="minorEastAsia" w:hAnsiTheme="minorEastAsia" w:eastAsiaTheme="minorEastAsia"/>
        </w:rPr>
        <w:t>30</w:t>
      </w:r>
      <w:r>
        <w:rPr>
          <w:rFonts w:hint="eastAsia" w:asciiTheme="minorEastAsia" w:hAnsiTheme="minorEastAsia" w:eastAsiaTheme="minorEastAsia"/>
        </w:rPr>
        <w:t>个网站制作费用以及学校已有网站的日常管理和改版费用。上述费用为乙方履行本合同全部义务的对价，并包含乙方的全部成本、税费等，除上述费用外，甲方无需向乙方支付其他任何费用。</w:t>
      </w:r>
    </w:p>
    <w:p>
      <w:pPr>
        <w:pStyle w:val="64"/>
        <w:numPr>
          <w:ilvl w:val="0"/>
          <w:numId w:val="26"/>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乙方为甲方提供以下产品和服务：</w:t>
      </w:r>
    </w:p>
    <w:p>
      <w:pPr>
        <w:spacing w:line="360" w:lineRule="auto"/>
        <w:ind w:firstLine="7371" w:firstLineChars="3510"/>
        <w:jc w:val="left"/>
        <w:rPr>
          <w:rFonts w:asciiTheme="minorEastAsia" w:hAnsiTheme="minorEastAsia" w:eastAsiaTheme="minorEastAsia"/>
        </w:rPr>
      </w:pPr>
      <w:r>
        <w:rPr>
          <w:rFonts w:hint="eastAsia" w:asciiTheme="minorEastAsia" w:hAnsiTheme="minorEastAsia" w:eastAsiaTheme="minorEastAsia"/>
        </w:rPr>
        <w:t>单位：人民币元</w:t>
      </w:r>
    </w:p>
    <w:tbl>
      <w:tblPr>
        <w:tblStyle w:val="67"/>
        <w:tblW w:w="8911" w:type="dxa"/>
        <w:tblInd w:w="298" w:type="dxa"/>
        <w:tblLayout w:type="fixed"/>
        <w:tblCellMar>
          <w:top w:w="133" w:type="dxa"/>
          <w:left w:w="106" w:type="dxa"/>
          <w:bottom w:w="0" w:type="dxa"/>
          <w:right w:w="41" w:type="dxa"/>
        </w:tblCellMar>
      </w:tblPr>
      <w:tblGrid>
        <w:gridCol w:w="1546"/>
        <w:gridCol w:w="852"/>
        <w:gridCol w:w="708"/>
        <w:gridCol w:w="1274"/>
        <w:gridCol w:w="1418"/>
        <w:gridCol w:w="1135"/>
        <w:gridCol w:w="1978"/>
      </w:tblGrid>
      <w:tr>
        <w:tblPrEx>
          <w:tblLayout w:type="fixed"/>
          <w:tblCellMar>
            <w:top w:w="133" w:type="dxa"/>
            <w:left w:w="106" w:type="dxa"/>
            <w:bottom w:w="0" w:type="dxa"/>
            <w:right w:w="41" w:type="dxa"/>
          </w:tblCellMar>
        </w:tblPrEx>
        <w:trPr>
          <w:trHeight w:val="760" w:hRule="atLeast"/>
        </w:trPr>
        <w:tc>
          <w:tcPr>
            <w:tcW w:w="1546"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245"/>
              <w:jc w:val="left"/>
              <w:rPr>
                <w:rFonts w:asciiTheme="minorHAnsi" w:hAnsiTheme="minorHAnsi" w:eastAsiaTheme="minorEastAsia" w:cstheme="minorBidi"/>
                <w:szCs w:val="22"/>
              </w:rPr>
            </w:pPr>
            <w:r>
              <w:rPr>
                <w:rFonts w:hint="eastAsia" w:eastAsiaTheme="minorEastAsia" w:cstheme="minorBidi"/>
                <w:szCs w:val="22"/>
              </w:rPr>
              <w:t>产品名称</w:t>
            </w:r>
            <w:r>
              <w:rPr>
                <w:rFonts w:eastAsiaTheme="minorEastAsia" w:cstheme="minorBidi"/>
                <w:szCs w:val="22"/>
              </w:rPr>
              <w:t xml:space="preserve"> </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08"/>
              <w:jc w:val="left"/>
              <w:rPr>
                <w:rFonts w:eastAsiaTheme="minorEastAsia" w:cstheme="minorBidi"/>
                <w:szCs w:val="22"/>
              </w:rPr>
            </w:pPr>
            <w:r>
              <w:rPr>
                <w:rFonts w:hint="eastAsia" w:eastAsiaTheme="minorEastAsia" w:cstheme="minorBidi"/>
                <w:szCs w:val="22"/>
              </w:rPr>
              <w:t>单位</w:t>
            </w:r>
            <w:r>
              <w:rPr>
                <w:rFonts w:eastAsiaTheme="minorEastAsia" w:cstheme="minorBidi"/>
                <w:szCs w:val="22"/>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36"/>
              <w:rPr>
                <w:rFonts w:eastAsiaTheme="minorEastAsia" w:cstheme="minorBidi"/>
                <w:szCs w:val="22"/>
              </w:rPr>
            </w:pPr>
            <w:r>
              <w:rPr>
                <w:rFonts w:hint="eastAsia" w:eastAsiaTheme="minorEastAsia" w:cstheme="minorBidi"/>
                <w:szCs w:val="22"/>
              </w:rPr>
              <w:t>数量</w:t>
            </w:r>
            <w:r>
              <w:rPr>
                <w:rFonts w:eastAsiaTheme="minorEastAsia" w:cstheme="minorBidi"/>
                <w:szCs w:val="22"/>
              </w:rPr>
              <w:t xml:space="preserve"> </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eastAsiaTheme="minorEastAsia" w:cstheme="minorBidi"/>
                <w:szCs w:val="22"/>
              </w:rPr>
            </w:pPr>
            <w:r>
              <w:rPr>
                <w:rFonts w:hint="eastAsia" w:eastAsiaTheme="minorEastAsia" w:cstheme="minorBidi"/>
                <w:szCs w:val="22"/>
              </w:rPr>
              <w:t>单价（元</w:t>
            </w:r>
            <w:r>
              <w:rPr>
                <w:rFonts w:eastAsiaTheme="minorEastAsia" w:cstheme="minorBidi"/>
                <w:szCs w:val="22"/>
              </w:rPr>
              <w:t xml:space="preserve">/ </w:t>
            </w:r>
            <w:r>
              <w:rPr>
                <w:rFonts w:hint="eastAsia" w:eastAsiaTheme="minorEastAsia" w:cstheme="minorBidi"/>
                <w:szCs w:val="22"/>
              </w:rPr>
              <w:t>人民币）</w:t>
            </w:r>
            <w:r>
              <w:rPr>
                <w:rFonts w:eastAsiaTheme="minorEastAsia" w:cstheme="minorBidi"/>
                <w:szCs w:val="22"/>
              </w:rPr>
              <w:t xml:space="preserve"> </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eastAsiaTheme="minorEastAsia" w:cstheme="minorBidi"/>
                <w:szCs w:val="22"/>
              </w:rPr>
            </w:pPr>
            <w:r>
              <w:rPr>
                <w:rFonts w:hint="eastAsia" w:eastAsiaTheme="minorEastAsia" w:cstheme="minorBidi"/>
                <w:szCs w:val="22"/>
              </w:rPr>
              <w:t>总金额（元</w:t>
            </w:r>
            <w:r>
              <w:rPr>
                <w:rFonts w:eastAsiaTheme="minorEastAsia" w:cstheme="minorBidi"/>
                <w:szCs w:val="22"/>
              </w:rPr>
              <w:t xml:space="preserve">/ </w:t>
            </w:r>
            <w:r>
              <w:rPr>
                <w:rFonts w:hint="eastAsia" w:eastAsiaTheme="minorEastAsia" w:cstheme="minorBidi"/>
                <w:szCs w:val="22"/>
              </w:rPr>
              <w:t>人民币）</w:t>
            </w:r>
            <w:r>
              <w:rPr>
                <w:rFonts w:eastAsiaTheme="minorEastAsia" w:cstheme="minorBidi"/>
                <w:szCs w:val="22"/>
              </w:rPr>
              <w:t xml:space="preserve"> </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2"/>
              <w:jc w:val="left"/>
              <w:rPr>
                <w:rFonts w:eastAsiaTheme="minorEastAsia" w:cstheme="minorBidi"/>
                <w:szCs w:val="22"/>
              </w:rPr>
            </w:pPr>
            <w:r>
              <w:rPr>
                <w:rFonts w:hint="eastAsia" w:eastAsiaTheme="minorEastAsia" w:cstheme="minorBidi"/>
                <w:szCs w:val="22"/>
              </w:rPr>
              <w:t>网站制作数量</w:t>
            </w:r>
            <w:r>
              <w:rPr>
                <w:rFonts w:eastAsiaTheme="minorEastAsia" w:cstheme="minorBidi"/>
                <w:szCs w:val="22"/>
              </w:rPr>
              <w:t xml:space="preserve"> </w:t>
            </w:r>
          </w:p>
        </w:tc>
        <w:tc>
          <w:tcPr>
            <w:tcW w:w="1978" w:type="dxa"/>
            <w:tcBorders>
              <w:top w:val="single" w:color="000000" w:sz="4" w:space="0"/>
              <w:left w:val="single" w:color="000000" w:sz="4" w:space="0"/>
              <w:bottom w:val="single" w:color="000000" w:sz="4" w:space="0"/>
              <w:right w:val="single" w:color="000000" w:sz="4" w:space="0"/>
            </w:tcBorders>
            <w:vAlign w:val="center"/>
          </w:tcPr>
          <w:p>
            <w:pPr>
              <w:spacing w:line="256" w:lineRule="auto"/>
              <w:jc w:val="left"/>
              <w:rPr>
                <w:rFonts w:eastAsiaTheme="minorEastAsia" w:cstheme="minorBidi"/>
                <w:szCs w:val="22"/>
              </w:rPr>
            </w:pPr>
            <w:r>
              <w:rPr>
                <w:rFonts w:hint="eastAsia" w:eastAsiaTheme="minorEastAsia" w:cstheme="minorBidi"/>
                <w:szCs w:val="22"/>
              </w:rPr>
              <w:t>已有二级网站日常管理和改版数量</w:t>
            </w:r>
            <w:r>
              <w:rPr>
                <w:rFonts w:eastAsiaTheme="minorEastAsia" w:cstheme="minorBidi"/>
                <w:szCs w:val="22"/>
              </w:rPr>
              <w:t xml:space="preserve"> </w:t>
            </w:r>
          </w:p>
        </w:tc>
      </w:tr>
      <w:tr>
        <w:tblPrEx>
          <w:tblLayout w:type="fixed"/>
          <w:tblCellMar>
            <w:top w:w="133" w:type="dxa"/>
            <w:left w:w="106" w:type="dxa"/>
            <w:bottom w:w="0" w:type="dxa"/>
            <w:right w:w="41" w:type="dxa"/>
          </w:tblCellMar>
        </w:tblPrEx>
        <w:trPr>
          <w:trHeight w:val="561" w:hRule="atLeast"/>
        </w:trPr>
        <w:tc>
          <w:tcPr>
            <w:tcW w:w="1546"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34"/>
              <w:rPr>
                <w:rFonts w:eastAsiaTheme="minorEastAsia" w:cstheme="minorBidi"/>
                <w:szCs w:val="22"/>
              </w:rPr>
            </w:pPr>
            <w:r>
              <w:rPr>
                <w:rFonts w:hint="eastAsia" w:eastAsiaTheme="minorEastAsia" w:cstheme="minorBidi"/>
                <w:szCs w:val="22"/>
              </w:rPr>
              <w:t>二级网站建设</w:t>
            </w:r>
            <w:r>
              <w:rPr>
                <w:rFonts w:eastAsiaTheme="minorEastAsia" w:cstheme="minorBidi"/>
                <w:szCs w:val="22"/>
              </w:rPr>
              <w:t xml:space="preserve"> </w:t>
            </w:r>
          </w:p>
        </w:tc>
        <w:tc>
          <w:tcPr>
            <w:tcW w:w="852"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211"/>
              <w:jc w:val="left"/>
              <w:rPr>
                <w:rFonts w:eastAsiaTheme="minorEastAsia" w:cstheme="minorBidi"/>
                <w:szCs w:val="22"/>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56" w:lineRule="auto"/>
              <w:ind w:right="72"/>
              <w:jc w:val="center"/>
              <w:rPr>
                <w:rFonts w:eastAsiaTheme="minorEastAsia" w:cstheme="minorBidi"/>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58"/>
              <w:jc w:val="left"/>
              <w:rPr>
                <w:rFonts w:eastAsiaTheme="minorEastAsia" w:cstheme="minorBidi"/>
                <w:szCs w:val="22"/>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256" w:lineRule="auto"/>
              <w:ind w:right="65"/>
              <w:jc w:val="center"/>
              <w:rPr>
                <w:rFonts w:eastAsiaTheme="minorEastAsia" w:cstheme="minorBidi"/>
                <w:szCs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2"/>
              <w:jc w:val="left"/>
              <w:rPr>
                <w:rFonts w:eastAsiaTheme="minorEastAsia" w:cstheme="minorBidi"/>
                <w:szCs w:val="22"/>
              </w:rPr>
            </w:pPr>
          </w:p>
        </w:tc>
        <w:tc>
          <w:tcPr>
            <w:tcW w:w="1978" w:type="dxa"/>
            <w:tcBorders>
              <w:top w:val="single" w:color="000000" w:sz="4" w:space="0"/>
              <w:left w:val="single" w:color="000000" w:sz="4" w:space="0"/>
              <w:bottom w:val="single" w:color="000000" w:sz="4" w:space="0"/>
              <w:right w:val="single" w:color="000000" w:sz="4" w:space="0"/>
            </w:tcBorders>
          </w:tcPr>
          <w:p>
            <w:pPr>
              <w:spacing w:line="256" w:lineRule="auto"/>
              <w:jc w:val="left"/>
              <w:rPr>
                <w:rFonts w:eastAsiaTheme="minorEastAsia" w:cstheme="minorBidi"/>
                <w:szCs w:val="22"/>
              </w:rPr>
            </w:pPr>
          </w:p>
        </w:tc>
      </w:tr>
      <w:tr>
        <w:tblPrEx>
          <w:tblLayout w:type="fixed"/>
          <w:tblCellMar>
            <w:top w:w="133" w:type="dxa"/>
            <w:left w:w="106" w:type="dxa"/>
            <w:bottom w:w="0" w:type="dxa"/>
            <w:right w:w="41" w:type="dxa"/>
          </w:tblCellMar>
        </w:tblPrEx>
        <w:trPr>
          <w:trHeight w:val="478" w:hRule="atLeast"/>
        </w:trPr>
        <w:tc>
          <w:tcPr>
            <w:tcW w:w="4380" w:type="dxa"/>
            <w:gridSpan w:val="4"/>
            <w:tcBorders>
              <w:top w:val="single" w:color="000000" w:sz="4" w:space="0"/>
              <w:left w:val="single" w:color="000000" w:sz="4" w:space="0"/>
              <w:bottom w:val="single" w:color="000000" w:sz="4" w:space="0"/>
              <w:right w:val="nil"/>
            </w:tcBorders>
            <w:vAlign w:val="center"/>
          </w:tcPr>
          <w:p>
            <w:pPr>
              <w:spacing w:line="256" w:lineRule="auto"/>
              <w:jc w:val="left"/>
              <w:rPr>
                <w:rFonts w:eastAsiaTheme="minorEastAsia" w:cstheme="minorBidi"/>
                <w:szCs w:val="22"/>
              </w:rPr>
            </w:pPr>
            <w:r>
              <w:rPr>
                <w:rFonts w:hint="eastAsia" w:eastAsiaTheme="minorEastAsia" w:cstheme="minorBidi"/>
                <w:szCs w:val="22"/>
              </w:rPr>
              <w:t>合计人民币（大写）：</w:t>
            </w:r>
            <w:r>
              <w:rPr>
                <w:rFonts w:eastAsiaTheme="minorEastAsia" w:cstheme="minorBidi"/>
                <w:szCs w:val="22"/>
              </w:rPr>
              <w:t xml:space="preserve"> </w:t>
            </w:r>
          </w:p>
        </w:tc>
        <w:tc>
          <w:tcPr>
            <w:tcW w:w="4531" w:type="dxa"/>
            <w:gridSpan w:val="3"/>
            <w:tcBorders>
              <w:top w:val="single" w:color="000000" w:sz="4" w:space="0"/>
              <w:left w:val="nil"/>
              <w:bottom w:val="single" w:color="000000" w:sz="4" w:space="0"/>
              <w:right w:val="single" w:color="000000" w:sz="4" w:space="0"/>
            </w:tcBorders>
          </w:tcPr>
          <w:p>
            <w:pPr>
              <w:spacing w:after="160" w:line="256" w:lineRule="auto"/>
              <w:jc w:val="left"/>
              <w:rPr>
                <w:rFonts w:eastAsiaTheme="minorEastAsia" w:cstheme="minorBidi"/>
                <w:szCs w:val="22"/>
              </w:rPr>
            </w:pPr>
          </w:p>
        </w:tc>
      </w:tr>
    </w:tbl>
    <w:p>
      <w:pPr>
        <w:spacing w:line="360" w:lineRule="auto"/>
        <w:jc w:val="left"/>
        <w:rPr>
          <w:rFonts w:asciiTheme="minorEastAsia" w:hAnsiTheme="minorEastAsia" w:eastAsiaTheme="minorEastAsia"/>
          <w:szCs w:val="22"/>
        </w:rPr>
      </w:pP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工期和付款方式</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本合同生效之日起的</w:t>
      </w:r>
      <w:r>
        <w:rPr>
          <w:rFonts w:hint="eastAsia" w:asciiTheme="minorEastAsia" w:hAnsiTheme="minorEastAsia" w:eastAsiaTheme="minorEastAsia"/>
          <w:b/>
        </w:rPr>
        <w:t>五个</w:t>
      </w:r>
      <w:r>
        <w:rPr>
          <w:rFonts w:hint="eastAsia" w:asciiTheme="minorEastAsia" w:hAnsiTheme="minorEastAsia" w:eastAsiaTheme="minorEastAsia"/>
        </w:rPr>
        <w:t>工作日内，乙方向甲方支付合同总金额的10%作为履约保证金，甲方在收到履约保证金后向乙方支付合同总金额的</w:t>
      </w:r>
      <w:r>
        <w:rPr>
          <w:rFonts w:asciiTheme="minorEastAsia" w:hAnsiTheme="minorEastAsia" w:eastAsiaTheme="minorEastAsia"/>
        </w:rPr>
        <w:t>3</w:t>
      </w:r>
      <w:r>
        <w:rPr>
          <w:rFonts w:hint="eastAsia" w:asciiTheme="minorEastAsia" w:hAnsiTheme="minorEastAsia" w:eastAsiaTheme="minorEastAsia"/>
        </w:rPr>
        <w:t>0%作为此项目的首付款。</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自合同生效之日起，乙方根据甲方要求与甲方各用户单位洽谈网站制作需求，每个网站的建设周期</w:t>
      </w:r>
    </w:p>
    <w:p>
      <w:pPr>
        <w:pStyle w:val="64"/>
        <w:spacing w:line="360" w:lineRule="auto"/>
        <w:ind w:left="422" w:firstLine="0" w:firstLineChars="0"/>
        <w:rPr>
          <w:rFonts w:asciiTheme="minorEastAsia" w:hAnsiTheme="minorEastAsia" w:eastAsiaTheme="minorEastAsia"/>
        </w:rPr>
      </w:pPr>
      <w:r>
        <w:rPr>
          <w:rFonts w:hint="eastAsia" w:asciiTheme="minorEastAsia" w:hAnsiTheme="minorEastAsia" w:eastAsiaTheme="minorEastAsia"/>
        </w:rPr>
        <w:t>原则上不得超过30 日，所有网站的建设总周期不超过一年，并提供一年期我校分别部署在北京通元内容管理系统及西安博达网站群系统的1</w:t>
      </w:r>
      <w:r>
        <w:rPr>
          <w:rFonts w:asciiTheme="minorEastAsia" w:hAnsiTheme="minorEastAsia" w:eastAsiaTheme="minorEastAsia"/>
        </w:rPr>
        <w:t>21</w:t>
      </w:r>
      <w:r>
        <w:rPr>
          <w:rFonts w:hint="eastAsia" w:asciiTheme="minorEastAsia" w:hAnsiTheme="minorEastAsia" w:eastAsiaTheme="minorEastAsia"/>
        </w:rPr>
        <w:t xml:space="preserve"> 个网站日常管理和改版。在项目实施期间，甲方如果提出超出招标文件中规定的需求，由此产生的费用由甲乙双方协商解决。</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本合同不涉及本系统相关硬件的采购，乙方需提供相关硬件的配置标准，由甲方另行采购。应用服务器的操作系统及环境配置由乙方根据开发的需求自行安装部署并负责安装系统补丁等相关升级工作。</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网站全部建设完毕，并验收合格，经乙方提出书面申请，甲方在收到乙方书面申请后的五个工作日内向乙方支付合同总金额</w:t>
      </w:r>
      <w:r>
        <w:rPr>
          <w:rFonts w:asciiTheme="minorEastAsia" w:hAnsiTheme="minorEastAsia" w:eastAsiaTheme="minorEastAsia"/>
        </w:rPr>
        <w:t>7</w:t>
      </w:r>
      <w:r>
        <w:rPr>
          <w:rFonts w:hint="eastAsia" w:asciiTheme="minorEastAsia" w:hAnsiTheme="minorEastAsia" w:eastAsiaTheme="minorEastAsia"/>
        </w:rPr>
        <w:t>0%的验收款。</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系统验收合格后三年时间为项目质保期。项目质保期满后，甲方在收到乙方书面请款函后，经甲方确认质保期内乙方正常履行服务承诺后，甲方向乙方无息返回履约保证金，如项目质保期内出现质量问题，甲方有权直接从履约保证金中扣除相应的维修费用（包括但不限于委托第三方维修的费用），履约保证金不足以支付的，乙方应赔偿甲方因此造成的损失。</w:t>
      </w:r>
    </w:p>
    <w:p>
      <w:pPr>
        <w:pStyle w:val="64"/>
        <w:numPr>
          <w:ilvl w:val="0"/>
          <w:numId w:val="27"/>
        </w:numPr>
        <w:adjustRightInd/>
        <w:spacing w:line="360" w:lineRule="auto"/>
        <w:ind w:firstLineChars="0"/>
        <w:jc w:val="both"/>
        <w:textAlignment w:val="auto"/>
        <w:rPr>
          <w:rFonts w:asciiTheme="minorEastAsia" w:hAnsiTheme="minorEastAsia" w:eastAsiaTheme="minorEastAsia"/>
          <w:szCs w:val="22"/>
        </w:rPr>
      </w:pPr>
      <w:r>
        <w:rPr>
          <w:rFonts w:hint="eastAsia" w:asciiTheme="minorEastAsia" w:hAnsiTheme="minorEastAsia" w:eastAsiaTheme="minorEastAsia"/>
        </w:rPr>
        <w:t>在项目质保期内，乙方为甲方提供上门维护服务，项目质保期内的服务费用已包含在合同总额内。</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系统开发应严格遵照国家软件工程规范，符合学校信息编码标准，数据接口等要向用户全面开放。实现该系统与中央财经大学数据交换平台、统一身份认证中心或者其它应用系统的标准数据交换接口，并提供进行对接整合服务。因我校系统建设原因暂无法对接的，该系统也需要预留对接接口，待可以对接时，无论是否超出免维时间，乙方都需协助我方实现数据对接，由此产生的费用包含在此次招标范围内。</w:t>
      </w:r>
    </w:p>
    <w:p>
      <w:pPr>
        <w:pStyle w:val="64"/>
        <w:numPr>
          <w:ilvl w:val="0"/>
          <w:numId w:val="27"/>
        </w:numPr>
        <w:adjustRightInd/>
        <w:spacing w:line="360" w:lineRule="auto"/>
        <w:ind w:firstLineChars="0"/>
        <w:jc w:val="both"/>
        <w:textAlignment w:val="auto"/>
        <w:rPr>
          <w:rFonts w:asciiTheme="minorEastAsia" w:hAnsiTheme="minorEastAsia" w:eastAsiaTheme="minorEastAsia"/>
          <w:szCs w:val="22"/>
        </w:rPr>
      </w:pPr>
      <w:r>
        <w:rPr>
          <w:rFonts w:hint="eastAsia" w:asciiTheme="minorEastAsia" w:hAnsiTheme="minorEastAsia" w:eastAsiaTheme="minorEastAsia"/>
        </w:rPr>
        <w:t>甲方向乙方支付的费用，除另有规定外，所有费用的支付币种为人民币(￥)，由甲方按本合同规定的付款方式以电汇或支票划入乙方指定的开户银行帐户中。</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乙方电汇收取本合同款项的指定银行账户信息如下：</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甲方每次向乙方付款前，乙方均应提供符合甲方要求的国家正规增值税专用发票。否则，甲方有权拒绝付款，且无需承担任何法律责任。</w:t>
      </w:r>
    </w:p>
    <w:p>
      <w:pPr>
        <w:pStyle w:val="64"/>
        <w:numPr>
          <w:ilvl w:val="0"/>
          <w:numId w:val="27"/>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我校实行大额发票验证制度：凡单张发票或者多张联号发票累计1000元以上的（含1000元），均需到税务局网站进行发票真伪验证，并打印发票真实性证明，连同发票一同作为付款凭证。</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售后服务</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乙方应提供详细的服务计划和服务承诺。在服务计划中要从服务人员配置、服务流程设置、服务文档种类、服务响应时间等几个方面进行明确的说明。</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在系统终验进入正式运行后，乙方需向甲方提供不低于三年的免费技术支持服务，以合同项目完成终验合格证书签署之日起计算。服务方式应包括但不限于：电话技术服务、现场技术服务、定期巡查服务、技术升级服务等。技术支持与售后服务的全部费用包含在投标总价中。三年内如有操作系统升级，需免费重新编译或修改以适应新系统，以保证系统的长期有效使用。</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乙方必须在北京设立售后维护处。在系统终验进入正式运行后，乙方需向甲方提供专人负责服务。</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在项目建设过程中，乙方应与甲方和运行维护人员进行密切沟通，充分考虑相关的技术服务。</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考虑到在售后维护期内，甲方的具体需求可能会发生变化，乙方需承诺对于在售后维护期内对甲方的应用软件变更要求给予充分的理解和切实的支持。</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售后维护期内，有专人服务人员，可提供7×24小时技术服务；系统出现故障，乙方接到甲方通知后，应在2小时之内赶赴现场，并在24小时内修复，所发生的费用全部由乙方负担。</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在项目质保期满后，甲方和乙方将签订系统维护合同，后期每年维护费用不应高于合同总金额的10%。</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乙方提供每季度的例行巡检服务，并出具巡检服务报告，报告中应对发现的问题提出改进建议和解决方案。每年提供完善的服务总结报告。</w:t>
      </w:r>
    </w:p>
    <w:p>
      <w:pPr>
        <w:pStyle w:val="64"/>
        <w:numPr>
          <w:ilvl w:val="0"/>
          <w:numId w:val="28"/>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售后服务期内，如乙方公司被兼并或收购，兼并或收购公司有责任继续对甲方履行服务。</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变更</w:t>
      </w:r>
    </w:p>
    <w:p>
      <w:pPr>
        <w:pStyle w:val="64"/>
        <w:numPr>
          <w:ilvl w:val="0"/>
          <w:numId w:val="29"/>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任何一方要求对合同内容进行变更时，所有的变更都必须以书面形式提交并经双方签字同意。</w:t>
      </w:r>
    </w:p>
    <w:p>
      <w:pPr>
        <w:pStyle w:val="64"/>
        <w:numPr>
          <w:ilvl w:val="0"/>
          <w:numId w:val="29"/>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对合同内容的任何变更都可能导致对预定计划、可交付资料或费用的变更。根据变更要求的范围和复杂程度，乙方应对实现变更要求的工作而相应增加或减少收取费用，并将预计发生费用以书面形式通知甲方，待甲方确认后执行。</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知识产权约定</w:t>
      </w:r>
    </w:p>
    <w:p>
      <w:pPr>
        <w:pStyle w:val="64"/>
        <w:numPr>
          <w:ilvl w:val="0"/>
          <w:numId w:val="30"/>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除非另有规定，乙方依照合同为学校定制开发的功能产品和个性化定制部分（包括源码、程序、文件、文档资料等），需完整交付与甲方。未经甲方许可，乙方不得公布相关数据、文件、源码，不得复制、传播、反编译、出售、出租或者许可他人使用其相关的程序、文件、源码等。</w:t>
      </w:r>
    </w:p>
    <w:p>
      <w:pPr>
        <w:pStyle w:val="64"/>
        <w:numPr>
          <w:ilvl w:val="0"/>
          <w:numId w:val="30"/>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甲方未经乙方同意不能对乙方所开发的软件进行拷贝、传播、泄露给第三方开发使用等，否则乙方将追究甲方的法律责任。</w:t>
      </w:r>
    </w:p>
    <w:p>
      <w:pPr>
        <w:pStyle w:val="64"/>
        <w:numPr>
          <w:ilvl w:val="0"/>
          <w:numId w:val="30"/>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乙方保证所售出的产品享有合法的知识产权并且不存在任何侵害第三方合法权利或第三方可以提出权利要求的瑕疵，否则，所有损失由乙方承担。</w:t>
      </w:r>
    </w:p>
    <w:p>
      <w:pPr>
        <w:pStyle w:val="64"/>
        <w:numPr>
          <w:ilvl w:val="0"/>
          <w:numId w:val="30"/>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系统在本地化部署时，在用户界面上必须使用“中央财经大学XX系统”的名称、中央财经大学LOGO及相关图片。</w:t>
      </w:r>
    </w:p>
    <w:p>
      <w:pPr>
        <w:pStyle w:val="2"/>
        <w:numPr>
          <w:ilvl w:val="0"/>
          <w:numId w:val="24"/>
        </w:numPr>
        <w:spacing w:before="0" w:after="0" w:line="360" w:lineRule="auto"/>
        <w:rPr>
          <w:rFonts w:asciiTheme="minorEastAsia" w:hAnsiTheme="minorEastAsia" w:eastAsiaTheme="minorEastAsia"/>
          <w:sz w:val="21"/>
          <w:szCs w:val="20"/>
        </w:rPr>
      </w:pPr>
      <w:r>
        <w:rPr>
          <w:rFonts w:hint="eastAsia" w:asciiTheme="minorEastAsia" w:hAnsiTheme="minorEastAsia" w:eastAsiaTheme="minorEastAsia"/>
          <w:bCs w:val="0"/>
          <w:sz w:val="21"/>
        </w:rPr>
        <w:t>保密</w:t>
      </w:r>
    </w:p>
    <w:p>
      <w:pPr>
        <w:pStyle w:val="64"/>
        <w:numPr>
          <w:ilvl w:val="0"/>
          <w:numId w:val="31"/>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双方不得向第三者泄露本协议的任何内容。</w:t>
      </w:r>
    </w:p>
    <w:p>
      <w:pPr>
        <w:pStyle w:val="64"/>
        <w:numPr>
          <w:ilvl w:val="0"/>
          <w:numId w:val="31"/>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双方按本合同规定相互提供和提交的全部文件资料，凡涉及需要保密的，以预先说明的有关条款为据。并且任何一方在没有经过另一方书面同意的情况下，不能将另一方的保密资料（如技术资料、用户信息）透露给第三者。</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合同解除</w:t>
      </w:r>
    </w:p>
    <w:p>
      <w:pPr>
        <w:pStyle w:val="64"/>
        <w:numPr>
          <w:ilvl w:val="0"/>
          <w:numId w:val="32"/>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任意一方欲提前解除本合同，应提前通知对方，经双方协商签字同意后方可解除。乙方单方面解除合同，应返还甲方已支付的费用，并赔偿由此引起甲方的损失。</w:t>
      </w:r>
    </w:p>
    <w:p>
      <w:pPr>
        <w:pStyle w:val="64"/>
        <w:numPr>
          <w:ilvl w:val="0"/>
          <w:numId w:val="32"/>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订立本合同所依据的客观情况发生重大变化，致使本合同无法履行的，经双方协商同意，可以变更本合同相关内容或者终止合同的履行。</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违约责任</w:t>
      </w:r>
    </w:p>
    <w:p>
      <w:pPr>
        <w:pStyle w:val="64"/>
        <w:numPr>
          <w:ilvl w:val="0"/>
          <w:numId w:val="33"/>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双方在执行本协议过程中，任何一方违反本协议之约定，均为违约。违约方除向相对方赔偿实际损失外，还需承担另一方为取得此等赔偿而支出的所有费用，包括但不限于仲裁费、诉讼费、律师费、差旅费等。</w:t>
      </w:r>
    </w:p>
    <w:p>
      <w:pPr>
        <w:pStyle w:val="64"/>
        <w:numPr>
          <w:ilvl w:val="0"/>
          <w:numId w:val="33"/>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甲方无正当理由未按合同规定的付款方式支付乙方款项时，除支付约定款项外，甲方应向乙方以应付未付款的每天千分之一的比例支付违约金，违约金最高不超过应付未付款项的百分之3%。</w:t>
      </w:r>
    </w:p>
    <w:p>
      <w:pPr>
        <w:pStyle w:val="64"/>
        <w:numPr>
          <w:ilvl w:val="0"/>
          <w:numId w:val="33"/>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由于乙方原因，导致工期延期，乙方应向甲方以总价款的每天千分之一的比例支付违约金，当违约金超过合同总价款的3%（含3%）时，甲方可以单方解除合同，甲方因上述原因解除本合同的，乙方应当向甲方承担本合同总额的3%的违约金，并要求乙方赔偿甲方全部损失。</w:t>
      </w:r>
    </w:p>
    <w:p>
      <w:pPr>
        <w:pStyle w:val="64"/>
        <w:numPr>
          <w:ilvl w:val="0"/>
          <w:numId w:val="33"/>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如乙方未按本合同约定履行相应的培训和服务义务，乙方应当承担合同总额3%的违约金，甲方可直接从后续应付款项中扣除。如因乙方的不作为致使甲方遭受损失的，乙方应当承担甲方的一切损失。</w:t>
      </w:r>
    </w:p>
    <w:p>
      <w:pPr>
        <w:pStyle w:val="64"/>
        <w:numPr>
          <w:ilvl w:val="0"/>
          <w:numId w:val="33"/>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由一方未执行本合同的行为给另一方造成损失的，未执行合同方应向另一方赔偿损失。</w:t>
      </w:r>
    </w:p>
    <w:p>
      <w:pPr>
        <w:pStyle w:val="64"/>
        <w:numPr>
          <w:ilvl w:val="0"/>
          <w:numId w:val="33"/>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未经甲方允许，乙方不得将合同述及工程转包或分包他人，否则甲方有权解除合同。甲方因上述原因解除本合同的，乙方应当向甲方承担本合同总额3%的违约金，并赔偿甲方因此造成的一切损失。</w:t>
      </w:r>
    </w:p>
    <w:p>
      <w:pPr>
        <w:pStyle w:val="64"/>
        <w:numPr>
          <w:ilvl w:val="0"/>
          <w:numId w:val="33"/>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乙方所开发的系统经甲方验收不合格的，乙方应当自费对系统进行完善，并自验收不合格之日起，按照合同第九条第3款内容向甲方承担违约责任。</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不可抗力</w:t>
      </w:r>
    </w:p>
    <w:p>
      <w:pPr>
        <w:pStyle w:val="64"/>
        <w:numPr>
          <w:ilvl w:val="0"/>
          <w:numId w:val="34"/>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双方因不可抗力的影响不能履行合同，履行合同的时间相应推迟，推迟时间与不可抗力持续时间相同，合同价格不因此而改变。</w:t>
      </w:r>
    </w:p>
    <w:p>
      <w:pPr>
        <w:pStyle w:val="64"/>
        <w:numPr>
          <w:ilvl w:val="0"/>
          <w:numId w:val="34"/>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不可抗力发生后，双方要立即通知对方，并采取必要措施密切配合，以减少影响。</w:t>
      </w:r>
    </w:p>
    <w:p>
      <w:pPr>
        <w:pStyle w:val="64"/>
        <w:numPr>
          <w:ilvl w:val="0"/>
          <w:numId w:val="34"/>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不可抗力是指动乱、台风、地震、水灾等以及双方不可预见、不能避免、不能克服的情况。</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争议的解决</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有关本合同的任何争议，双方应本着相互信任、以诚相见的原则，共同协商解决。若经协商不能达成协议时, 可直接向甲方所在地有管辖权的人民法院提起诉讼。</w:t>
      </w:r>
    </w:p>
    <w:p>
      <w:pPr>
        <w:pStyle w:val="2"/>
        <w:numPr>
          <w:ilvl w:val="0"/>
          <w:numId w:val="24"/>
        </w:numPr>
        <w:spacing w:before="0" w:after="0" w:line="360" w:lineRule="auto"/>
        <w:rPr>
          <w:rFonts w:asciiTheme="minorEastAsia" w:hAnsiTheme="minorEastAsia" w:eastAsiaTheme="minorEastAsia"/>
          <w:sz w:val="21"/>
        </w:rPr>
      </w:pPr>
      <w:r>
        <w:rPr>
          <w:rFonts w:hint="eastAsia" w:asciiTheme="minorEastAsia" w:hAnsiTheme="minorEastAsia" w:eastAsiaTheme="minorEastAsia"/>
          <w:bCs w:val="0"/>
          <w:sz w:val="21"/>
        </w:rPr>
        <w:t>合同效力</w:t>
      </w:r>
    </w:p>
    <w:p>
      <w:pPr>
        <w:pStyle w:val="64"/>
        <w:numPr>
          <w:ilvl w:val="0"/>
          <w:numId w:val="35"/>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本合同壹式陆份，甲方肆份，乙方贰份，均具有同等法律效力，自双方法定代表人或授权代表签字并加盖单位公章之日起生效。</w:t>
      </w:r>
    </w:p>
    <w:p>
      <w:pPr>
        <w:pStyle w:val="64"/>
        <w:numPr>
          <w:ilvl w:val="0"/>
          <w:numId w:val="35"/>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本合同受《中华人民共和国合同法》保护，未尽事宜，均按《中华人民共和国合同法》规定执行。</w:t>
      </w:r>
    </w:p>
    <w:p>
      <w:pPr>
        <w:pStyle w:val="64"/>
        <w:numPr>
          <w:ilvl w:val="0"/>
          <w:numId w:val="35"/>
        </w:numPr>
        <w:adjustRightInd/>
        <w:spacing w:line="360" w:lineRule="auto"/>
        <w:ind w:firstLineChars="0"/>
        <w:jc w:val="both"/>
        <w:textAlignment w:val="auto"/>
        <w:rPr>
          <w:rFonts w:asciiTheme="minorEastAsia" w:hAnsiTheme="minorEastAsia" w:eastAsiaTheme="minorEastAsia"/>
        </w:rPr>
      </w:pPr>
      <w:r>
        <w:rPr>
          <w:rFonts w:hint="eastAsia" w:asciiTheme="minorEastAsia" w:hAnsiTheme="minorEastAsia" w:eastAsiaTheme="minorEastAsia"/>
        </w:rPr>
        <w:t>本合同未尽事宜，双方共同协商解决，亦可另行签订补充协议，补充协议与本合同具有同等效力。补充协议条款与本合同条款有冲突的，以补充协议为准。</w:t>
      </w:r>
    </w:p>
    <w:p>
      <w:pPr>
        <w:widowControl/>
        <w:jc w:val="left"/>
        <w:rPr>
          <w:rFonts w:eastAsiaTheme="majorEastAsia"/>
        </w:rPr>
      </w:pPr>
    </w:p>
    <w:p>
      <w:pPr>
        <w:widowControl/>
        <w:jc w:val="left"/>
        <w:rPr>
          <w:rFonts w:eastAsiaTheme="majorEastAsia"/>
        </w:rPr>
      </w:pPr>
    </w:p>
    <w:p>
      <w:pPr>
        <w:widowControl/>
        <w:jc w:val="left"/>
        <w:rPr>
          <w:rFonts w:eastAsiaTheme="majorEastAsia"/>
          <w:b/>
          <w:bCs/>
          <w:sz w:val="32"/>
          <w:szCs w:val="32"/>
        </w:rPr>
      </w:pPr>
      <w:r>
        <w:rPr>
          <w:rFonts w:eastAsiaTheme="majorEastAsia"/>
          <w:b/>
          <w:bCs/>
          <w:sz w:val="32"/>
          <w:szCs w:val="32"/>
        </w:rPr>
        <w:br w:type="page"/>
      </w:r>
    </w:p>
    <w:p>
      <w:pPr>
        <w:pStyle w:val="3"/>
        <w:spacing w:line="415" w:lineRule="auto"/>
        <w:ind w:left="420" w:hanging="420"/>
        <w:jc w:val="center"/>
        <w:rPr>
          <w:rFonts w:ascii="Times New Roman" w:hAnsi="Times New Roman" w:eastAsiaTheme="majorEastAsia"/>
        </w:rPr>
      </w:pPr>
      <w:r>
        <w:rPr>
          <w:rFonts w:hint="eastAsia" w:ascii="Times New Roman" w:hAnsi="Times New Roman" w:eastAsiaTheme="majorEastAsia"/>
        </w:rPr>
        <w:t xml:space="preserve"> </w:t>
      </w:r>
      <w:bookmarkStart w:id="70" w:name="_Toc524103453"/>
      <w:bookmarkStart w:id="71" w:name="_Ref492453766"/>
      <w:r>
        <w:rPr>
          <w:rFonts w:hint="eastAsia" w:ascii="Times New Roman" w:hAnsi="Times New Roman" w:eastAsiaTheme="majorEastAsia"/>
        </w:rPr>
        <w:t>第七部分  投标文件格式</w:t>
      </w:r>
      <w:bookmarkEnd w:id="63"/>
      <w:bookmarkEnd w:id="70"/>
      <w:bookmarkEnd w:id="71"/>
    </w:p>
    <w:p>
      <w:pPr>
        <w:pStyle w:val="4"/>
        <w:numPr>
          <w:ilvl w:val="0"/>
          <w:numId w:val="36"/>
        </w:numPr>
        <w:spacing w:line="415" w:lineRule="auto"/>
        <w:rPr>
          <w:rFonts w:asciiTheme="minorHAnsi" w:hAnsiTheme="minorHAnsi" w:eastAsiaTheme="minorEastAsia" w:cstheme="minorBidi"/>
        </w:rPr>
      </w:pPr>
      <w:bookmarkStart w:id="72" w:name="_Toc524103454"/>
      <w:bookmarkStart w:id="73" w:name="_Toc86202633"/>
      <w:r>
        <w:rPr>
          <w:rFonts w:hint="eastAsia" w:asciiTheme="minorHAnsi" w:hAnsiTheme="minorHAnsi" w:eastAsiaTheme="minorEastAsia" w:cstheme="minorBidi"/>
        </w:rPr>
        <w:t>投标人提交文件须知</w:t>
      </w:r>
      <w:bookmarkEnd w:id="72"/>
      <w:bookmarkEnd w:id="73"/>
    </w:p>
    <w:p>
      <w:pPr>
        <w:pStyle w:val="58"/>
        <w:numPr>
          <w:ilvl w:val="1"/>
          <w:numId w:val="37"/>
        </w:numPr>
        <w:ind w:firstLineChars="0"/>
      </w:pPr>
      <w:r>
        <w:rPr>
          <w:rFonts w:hint="eastAsia"/>
        </w:rPr>
        <w:t>投标人应严格按照“二、标书顺序”部分约定的顺序填写和提交下述规定的全部格式文件以及其他有关资料，混乱的编排导致投标文件被误读或查找不到，后果由投标人承担。</w:t>
      </w:r>
    </w:p>
    <w:p>
      <w:pPr>
        <w:pStyle w:val="58"/>
        <w:numPr>
          <w:ilvl w:val="1"/>
          <w:numId w:val="37"/>
        </w:numPr>
        <w:ind w:firstLineChars="0"/>
      </w:pPr>
      <w:r>
        <w:rPr>
          <w:rFonts w:hint="eastAsia"/>
        </w:rPr>
        <w:t>所附表格中要求回答的全部问题和信息都必须正面回答。</w:t>
      </w:r>
    </w:p>
    <w:p>
      <w:pPr>
        <w:pStyle w:val="58"/>
        <w:numPr>
          <w:ilvl w:val="1"/>
          <w:numId w:val="37"/>
        </w:numPr>
        <w:ind w:firstLineChars="0"/>
      </w:pPr>
      <w:r>
        <w:rPr>
          <w:rFonts w:hint="eastAsia"/>
        </w:rPr>
        <w:t>本资格声明的签字人应保证全部声明和问题的回答是真实的和准确的。</w:t>
      </w:r>
    </w:p>
    <w:p>
      <w:pPr>
        <w:pStyle w:val="58"/>
        <w:numPr>
          <w:ilvl w:val="1"/>
          <w:numId w:val="37"/>
        </w:numPr>
        <w:ind w:firstLineChars="0"/>
      </w:pPr>
      <w:r>
        <w:rPr>
          <w:rFonts w:hint="eastAsia"/>
        </w:rPr>
        <w:t>评标委员会将应用投标人提交的资料并根据自己的判断，决定投标人履行合同的合格性及能力。</w:t>
      </w:r>
    </w:p>
    <w:p>
      <w:pPr>
        <w:pStyle w:val="58"/>
        <w:numPr>
          <w:ilvl w:val="1"/>
          <w:numId w:val="37"/>
        </w:numPr>
        <w:ind w:firstLineChars="0"/>
      </w:pPr>
      <w:r>
        <w:rPr>
          <w:rFonts w:hint="eastAsia"/>
        </w:rPr>
        <w:t>投标人提交的材料将被保密保存，但不退还。</w:t>
      </w:r>
    </w:p>
    <w:p>
      <w:pPr>
        <w:pStyle w:val="58"/>
        <w:numPr>
          <w:ilvl w:val="1"/>
          <w:numId w:val="37"/>
        </w:numPr>
        <w:ind w:firstLineChars="0"/>
      </w:pPr>
      <w:r>
        <w:rPr>
          <w:rFonts w:hint="eastAsia"/>
        </w:rPr>
        <w:t>全部文件应按投标人须知中规定的语言和份数提交。</w:t>
      </w:r>
    </w:p>
    <w:p>
      <w:pPr>
        <w:widowControl/>
        <w:jc w:val="left"/>
        <w:rPr>
          <w:rFonts w:asciiTheme="minorHAnsi" w:hAnsiTheme="minorHAnsi" w:eastAsiaTheme="minorEastAsia" w:cstheme="minorBidi"/>
          <w:szCs w:val="22"/>
        </w:rPr>
      </w:pPr>
      <w:r>
        <w:br w:type="page"/>
      </w:r>
    </w:p>
    <w:p>
      <w:pPr>
        <w:pStyle w:val="4"/>
        <w:numPr>
          <w:ilvl w:val="0"/>
          <w:numId w:val="36"/>
        </w:numPr>
        <w:spacing w:line="415" w:lineRule="auto"/>
        <w:rPr>
          <w:rFonts w:asciiTheme="minorHAnsi" w:hAnsiTheme="minorHAnsi" w:eastAsiaTheme="minorEastAsia" w:cstheme="minorBidi"/>
        </w:rPr>
      </w:pPr>
      <w:bookmarkStart w:id="74" w:name="_Toc524103455"/>
      <w:r>
        <w:rPr>
          <w:rFonts w:asciiTheme="minorHAnsi" w:hAnsiTheme="minorHAnsi" w:eastAsiaTheme="minorEastAsia" w:cstheme="minorBidi"/>
        </w:rPr>
        <w:t>标书顺序</w:t>
      </w:r>
      <w:bookmarkEnd w:id="74"/>
    </w:p>
    <w:p>
      <w:pPr>
        <w:pStyle w:val="58"/>
      </w:pPr>
      <w:r>
        <w:rPr>
          <w:rFonts w:hint="eastAsia"/>
        </w:rPr>
        <w:t>投标人应严格按照本部分约定的顺序填写和提交规定的全部格式文件以及其他有关资料，混乱的编排导致投标文件被误读或查找不到，后果由投标人承担。</w:t>
      </w:r>
    </w:p>
    <w:p>
      <w:pPr>
        <w:pStyle w:val="58"/>
        <w:numPr>
          <w:ilvl w:val="0"/>
          <w:numId w:val="38"/>
        </w:numPr>
        <w:ind w:firstLineChars="0"/>
      </w:pPr>
      <w:r>
        <w:fldChar w:fldCharType="begin"/>
      </w:r>
      <w:r>
        <w:instrText xml:space="preserve"> </w:instrText>
      </w:r>
      <w:r>
        <w:rPr>
          <w:rFonts w:hint="eastAsia"/>
        </w:rPr>
        <w:instrText xml:space="preserve">REF _Ref477452653 \h</w:instrText>
      </w:r>
      <w:r>
        <w:instrText xml:space="preserve"> </w:instrText>
      </w:r>
      <w:r>
        <w:fldChar w:fldCharType="separate"/>
      </w:r>
      <w:r>
        <w:rPr>
          <w:rFonts w:hint="eastAsia"/>
        </w:rPr>
        <w:t>投标确认函</w:t>
      </w:r>
      <w:r>
        <w:fldChar w:fldCharType="end"/>
      </w:r>
      <w:r>
        <w:rPr>
          <w:rFonts w:hint="eastAsia"/>
        </w:rPr>
        <w:t>：见</w:t>
      </w:r>
      <w:r>
        <w:fldChar w:fldCharType="begin"/>
      </w:r>
      <w:r>
        <w:instrText xml:space="preserve"> REF _Ref477176159 \r \h </w:instrText>
      </w:r>
      <w:r>
        <w:fldChar w:fldCharType="separate"/>
      </w:r>
      <w:r>
        <w:rPr>
          <w:rFonts w:hint="eastAsia"/>
        </w:rPr>
        <w:t>附件1</w:t>
      </w:r>
      <w:r>
        <w:fldChar w:fldCharType="end"/>
      </w:r>
      <w:r>
        <w:rPr>
          <w:rFonts w:hint="eastAsia"/>
        </w:rPr>
        <w:t>；</w:t>
      </w:r>
    </w:p>
    <w:p>
      <w:pPr>
        <w:pStyle w:val="58"/>
        <w:numPr>
          <w:ilvl w:val="0"/>
          <w:numId w:val="38"/>
        </w:numPr>
        <w:ind w:firstLineChars="0"/>
      </w:pPr>
      <w:r>
        <w:fldChar w:fldCharType="begin"/>
      </w:r>
      <w:r>
        <w:instrText xml:space="preserve"> </w:instrText>
      </w:r>
      <w:r>
        <w:rPr>
          <w:rFonts w:hint="eastAsia"/>
        </w:rPr>
        <w:instrText xml:space="preserve">REF _Ref492454876 \h</w:instrText>
      </w:r>
      <w:r>
        <w:instrText xml:space="preserve"> </w:instrText>
      </w:r>
      <w:r>
        <w:fldChar w:fldCharType="separate"/>
      </w:r>
      <w:r>
        <w:rPr>
          <w:b/>
        </w:rPr>
        <w:t>* 投标函；</w:t>
      </w:r>
      <w:r>
        <w:fldChar w:fldCharType="end"/>
      </w:r>
      <w:r>
        <w:t>见</w:t>
      </w:r>
      <w:r>
        <w:fldChar w:fldCharType="begin"/>
      </w:r>
      <w:r>
        <w:instrText xml:space="preserve"> REF _Ref477452657 \r \h </w:instrText>
      </w:r>
      <w:r>
        <w:fldChar w:fldCharType="separate"/>
      </w:r>
      <w:r>
        <w:rPr>
          <w:rFonts w:hint="eastAsia"/>
        </w:rPr>
        <w:t>附件2</w:t>
      </w:r>
      <w:r>
        <w:fldChar w:fldCharType="end"/>
      </w:r>
      <w:r>
        <w:rPr>
          <w:rFonts w:hint="eastAsia"/>
        </w:rPr>
        <w:t>；</w:t>
      </w:r>
    </w:p>
    <w:p>
      <w:pPr>
        <w:pStyle w:val="58"/>
        <w:numPr>
          <w:ilvl w:val="0"/>
          <w:numId w:val="38"/>
        </w:numPr>
        <w:ind w:firstLineChars="0"/>
      </w:pPr>
      <w:r>
        <w:fldChar w:fldCharType="begin"/>
      </w:r>
      <w:r>
        <w:instrText xml:space="preserve"> REF _Ref492454877 \h </w:instrText>
      </w:r>
      <w:r>
        <w:fldChar w:fldCharType="separate"/>
      </w:r>
      <w:r>
        <w:rPr>
          <w:b/>
        </w:rPr>
        <w:t>*</w:t>
      </w:r>
      <w:r>
        <w:rPr>
          <w:rFonts w:hint="eastAsia"/>
          <w:b/>
        </w:rPr>
        <w:t xml:space="preserve"> </w:t>
      </w:r>
      <w:r>
        <w:rPr>
          <w:b/>
        </w:rPr>
        <w:t>法定代表人授权委托书</w:t>
      </w:r>
      <w:r>
        <w:fldChar w:fldCharType="end"/>
      </w:r>
      <w:r>
        <w:rPr>
          <w:rFonts w:hint="eastAsia"/>
        </w:rPr>
        <w:t>见</w:t>
      </w:r>
      <w:r>
        <w:fldChar w:fldCharType="begin"/>
      </w:r>
      <w:r>
        <w:instrText xml:space="preserve"> </w:instrText>
      </w:r>
      <w:r>
        <w:rPr>
          <w:rFonts w:hint="eastAsia"/>
        </w:rPr>
        <w:instrText xml:space="preserve">REF _Ref477176255 \r \h</w:instrText>
      </w:r>
      <w:r>
        <w:instrText xml:space="preserve"> </w:instrText>
      </w:r>
      <w:r>
        <w:fldChar w:fldCharType="separate"/>
      </w:r>
      <w:r>
        <w:rPr>
          <w:rFonts w:hint="eastAsia"/>
        </w:rPr>
        <w:t>附件3</w:t>
      </w:r>
      <w:r>
        <w:fldChar w:fldCharType="end"/>
      </w:r>
    </w:p>
    <w:p>
      <w:pPr>
        <w:pStyle w:val="58"/>
        <w:numPr>
          <w:ilvl w:val="0"/>
          <w:numId w:val="38"/>
        </w:numPr>
        <w:ind w:firstLineChars="0"/>
      </w:pPr>
      <w:r>
        <w:fldChar w:fldCharType="begin"/>
      </w:r>
      <w:r>
        <w:instrText xml:space="preserve"> REF _Ref492454880 \h </w:instrText>
      </w:r>
      <w:r>
        <w:fldChar w:fldCharType="separate"/>
      </w:r>
      <w:r>
        <w:t>* 有效的企业法人营业执照或事业单位法人证书、组织机构代码、税务登记证（副本复印件并加盖投标人公章；按规定需要年检的，年检章要清楚）</w:t>
      </w:r>
      <w:r>
        <w:rPr>
          <w:rFonts w:hint="eastAsia"/>
        </w:rPr>
        <w:t>，三证合一的提供有效文件复印件并加盖公章</w:t>
      </w:r>
      <w:r>
        <w:t>；</w:t>
      </w:r>
      <w:r>
        <w:fldChar w:fldCharType="end"/>
      </w:r>
    </w:p>
    <w:p>
      <w:pPr>
        <w:pStyle w:val="58"/>
        <w:numPr>
          <w:ilvl w:val="0"/>
          <w:numId w:val="38"/>
        </w:numPr>
        <w:ind w:firstLineChars="0"/>
      </w:pPr>
      <w:r>
        <w:fldChar w:fldCharType="begin"/>
      </w:r>
      <w:r>
        <w:instrText xml:space="preserve"> REF _Ref492454882 \h </w:instrText>
      </w:r>
      <w:r>
        <w:fldChar w:fldCharType="separate"/>
      </w:r>
      <w:r>
        <w:t>* 投标人的资质要求对应的证书（副本复印件加盖投标人公章）</w:t>
      </w:r>
      <w:r>
        <w:rPr>
          <w:rFonts w:hint="eastAsia"/>
        </w:rPr>
        <w:t>；</w:t>
      </w:r>
      <w:r>
        <w:fldChar w:fldCharType="end"/>
      </w:r>
    </w:p>
    <w:p>
      <w:pPr>
        <w:pStyle w:val="58"/>
        <w:numPr>
          <w:ilvl w:val="0"/>
          <w:numId w:val="38"/>
        </w:numPr>
        <w:ind w:firstLineChars="0"/>
      </w:pPr>
      <w:r>
        <w:fldChar w:fldCharType="begin"/>
      </w:r>
      <w:r>
        <w:instrText xml:space="preserve"> REF _Ref492454885 \h </w:instrText>
      </w:r>
      <w:r>
        <w:fldChar w:fldCharType="separate"/>
      </w:r>
      <w:r>
        <w:t>* 提交参与采购活动前三年内在经营活动中没有重大违法记录的书面声明函；</w:t>
      </w:r>
      <w:r>
        <w:fldChar w:fldCharType="end"/>
      </w:r>
    </w:p>
    <w:p>
      <w:pPr>
        <w:pStyle w:val="58"/>
        <w:numPr>
          <w:ilvl w:val="0"/>
          <w:numId w:val="38"/>
        </w:numPr>
        <w:ind w:firstLineChars="0"/>
      </w:pPr>
      <w:r>
        <w:fldChar w:fldCharType="begin"/>
      </w:r>
      <w:r>
        <w:instrText xml:space="preserve"> REF _Ref492454886 \h </w:instrText>
      </w:r>
      <w:r>
        <w:fldChar w:fldCharType="separate"/>
      </w:r>
      <w:r>
        <w:t xml:space="preserve">* </w:t>
      </w:r>
      <w:r>
        <w:rPr>
          <w:rFonts w:hint="eastAsia"/>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fldChar w:fldCharType="end"/>
      </w:r>
    </w:p>
    <w:p>
      <w:pPr>
        <w:pStyle w:val="58"/>
        <w:numPr>
          <w:ilvl w:val="0"/>
          <w:numId w:val="38"/>
        </w:numPr>
        <w:ind w:firstLineChars="0"/>
      </w:pPr>
      <w:r>
        <w:fldChar w:fldCharType="begin"/>
      </w:r>
      <w:r>
        <w:instrText xml:space="preserve"> REF _Ref492454887 \h </w:instrText>
      </w:r>
      <w:r>
        <w:fldChar w:fldCharType="separate"/>
      </w:r>
      <w:r>
        <w:t xml:space="preserve">* </w:t>
      </w:r>
      <w:r>
        <w:rPr>
          <w:rFonts w:hint="eastAsia"/>
        </w:rPr>
        <w:t>开标日前半年内不少于一个月缴纳税收 及 不少于一个月的社会保障资金的证明材料（缴纳凭证复印件或税务部门及社保中心开具的缴纳证明扫描件）；</w:t>
      </w:r>
      <w:r>
        <w:fldChar w:fldCharType="end"/>
      </w:r>
    </w:p>
    <w:p>
      <w:pPr>
        <w:pStyle w:val="58"/>
        <w:numPr>
          <w:ilvl w:val="0"/>
          <w:numId w:val="38"/>
        </w:numPr>
        <w:ind w:firstLineChars="0"/>
      </w:pPr>
      <w:r>
        <w:fldChar w:fldCharType="begin"/>
      </w:r>
      <w:r>
        <w:instrText xml:space="preserve"> REF _Ref492454890 \h </w:instrText>
      </w:r>
      <w:r>
        <w:fldChar w:fldCharType="separate"/>
      </w:r>
      <w:r>
        <w:rPr>
          <w:rFonts w:hint="eastAsia"/>
        </w:rPr>
        <w:t>* 信用信息查询记录及查询结果：根据财政部《关于在政府采购活动中查询及使用信用记录有关问题的通知》（财库（2016）125号）文件要求，投标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r>
        <w:fldChar w:fldCharType="end"/>
      </w:r>
    </w:p>
    <w:p>
      <w:pPr>
        <w:pStyle w:val="58"/>
        <w:numPr>
          <w:ilvl w:val="0"/>
          <w:numId w:val="38"/>
        </w:numPr>
        <w:ind w:firstLineChars="0"/>
      </w:pPr>
      <w:r>
        <w:fldChar w:fldCharType="begin"/>
      </w:r>
      <w:r>
        <w:instrText xml:space="preserve"> REF _Ref492454895 \h </w:instrText>
      </w:r>
      <w:r>
        <w:fldChar w:fldCharType="separate"/>
      </w:r>
      <w:r>
        <w:rPr>
          <w:b/>
        </w:rPr>
        <w:t>* 开标一览表</w:t>
      </w:r>
      <w:r>
        <w:rPr>
          <w:rFonts w:hint="eastAsia"/>
          <w:b/>
        </w:rPr>
        <w:t>，</w:t>
      </w:r>
      <w:r>
        <w:rPr>
          <w:b/>
        </w:rPr>
        <w:t>除装订在投标文件中外</w:t>
      </w:r>
      <w:r>
        <w:rPr>
          <w:rFonts w:hint="eastAsia"/>
          <w:b/>
        </w:rPr>
        <w:t>，</w:t>
      </w:r>
      <w:r>
        <w:rPr>
          <w:b/>
        </w:rPr>
        <w:t>还需要提供单独密封的报价一览表一份；</w:t>
      </w:r>
      <w:r>
        <w:fldChar w:fldCharType="end"/>
      </w:r>
      <w:r>
        <w:rPr>
          <w:rFonts w:hint="eastAsia"/>
        </w:rPr>
        <w:t>：见</w:t>
      </w:r>
      <w:r>
        <w:fldChar w:fldCharType="begin"/>
      </w:r>
      <w:r>
        <w:instrText xml:space="preserve"> </w:instrText>
      </w:r>
      <w:r>
        <w:rPr>
          <w:rFonts w:hint="eastAsia"/>
        </w:rPr>
        <w:instrText xml:space="preserve">REF _Ref477176421 \r \h</w:instrText>
      </w:r>
      <w:r>
        <w:instrText xml:space="preserve"> </w:instrText>
      </w:r>
      <w:r>
        <w:fldChar w:fldCharType="separate"/>
      </w:r>
      <w:r>
        <w:rPr>
          <w:rFonts w:hint="eastAsia"/>
        </w:rPr>
        <w:t>附件7</w:t>
      </w:r>
      <w:r>
        <w:fldChar w:fldCharType="end"/>
      </w:r>
      <w:r>
        <w:rPr>
          <w:rFonts w:hint="eastAsia"/>
        </w:rPr>
        <w:t>；</w:t>
      </w:r>
    </w:p>
    <w:p>
      <w:pPr>
        <w:pStyle w:val="64"/>
        <w:numPr>
          <w:ilvl w:val="0"/>
          <w:numId w:val="38"/>
        </w:numPr>
        <w:ind w:firstLineChars="0"/>
        <w:rPr>
          <w:rFonts w:eastAsiaTheme="minorEastAsia"/>
          <w:szCs w:val="22"/>
        </w:rPr>
      </w:pPr>
      <w:r>
        <w:rPr>
          <w:rFonts w:hint="eastAsia" w:eastAsiaTheme="minorEastAsia"/>
          <w:szCs w:val="22"/>
        </w:rPr>
        <w:t>响应产品的相关证件：见附件4；</w:t>
      </w:r>
    </w:p>
    <w:p>
      <w:pPr>
        <w:pStyle w:val="58"/>
        <w:numPr>
          <w:ilvl w:val="0"/>
          <w:numId w:val="38"/>
        </w:numPr>
        <w:ind w:firstLineChars="0"/>
      </w:pPr>
      <w:r>
        <w:rPr>
          <w:rFonts w:hint="eastAsia"/>
        </w:rPr>
        <w:t>投标人认为需要提供的其他商务资料；</w:t>
      </w:r>
    </w:p>
    <w:p>
      <w:pPr>
        <w:pStyle w:val="58"/>
        <w:numPr>
          <w:ilvl w:val="0"/>
          <w:numId w:val="38"/>
        </w:numPr>
        <w:ind w:firstLineChars="0"/>
      </w:pPr>
      <w:r>
        <w:fldChar w:fldCharType="begin"/>
      </w:r>
      <w:r>
        <w:instrText xml:space="preserve"> REF _Ref477452661 \h </w:instrText>
      </w:r>
      <w:r>
        <w:fldChar w:fldCharType="separate"/>
      </w:r>
      <w:r>
        <w:rPr>
          <w:rFonts w:hint="eastAsia"/>
        </w:rPr>
        <w:t>商务条款偏离表</w:t>
      </w:r>
      <w:r>
        <w:fldChar w:fldCharType="end"/>
      </w:r>
      <w:r>
        <w:rPr>
          <w:rFonts w:hint="eastAsia"/>
        </w:rPr>
        <w:t>：</w:t>
      </w:r>
      <w:r>
        <w:t>见</w:t>
      </w:r>
      <w:r>
        <w:fldChar w:fldCharType="begin"/>
      </w:r>
      <w:r>
        <w:instrText xml:space="preserve"> REF _Ref477176388 \r \h </w:instrText>
      </w:r>
      <w:r>
        <w:fldChar w:fldCharType="separate"/>
      </w:r>
      <w:r>
        <w:rPr>
          <w:rFonts w:hint="eastAsia"/>
        </w:rPr>
        <w:t>附件5</w:t>
      </w:r>
      <w:r>
        <w:fldChar w:fldCharType="end"/>
      </w:r>
      <w:r>
        <w:rPr>
          <w:rFonts w:hint="eastAsia"/>
        </w:rPr>
        <w:t>；</w:t>
      </w:r>
    </w:p>
    <w:p>
      <w:pPr>
        <w:pStyle w:val="58"/>
        <w:numPr>
          <w:ilvl w:val="0"/>
          <w:numId w:val="38"/>
        </w:numPr>
        <w:ind w:firstLineChars="0"/>
      </w:pPr>
      <w:r>
        <w:fldChar w:fldCharType="begin"/>
      </w:r>
      <w:r>
        <w:instrText xml:space="preserve"> REF _Ref477452662 \h </w:instrText>
      </w:r>
      <w:r>
        <w:fldChar w:fldCharType="separate"/>
      </w:r>
      <w:r>
        <w:rPr>
          <w:rFonts w:hint="eastAsia"/>
        </w:rPr>
        <w:t>投标人货物、服务项目偏离表</w:t>
      </w:r>
      <w:r>
        <w:fldChar w:fldCharType="end"/>
      </w:r>
      <w:r>
        <w:rPr>
          <w:rFonts w:hint="eastAsia"/>
        </w:rPr>
        <w:t>：</w:t>
      </w:r>
      <w:r>
        <w:t>见</w:t>
      </w:r>
      <w:r>
        <w:fldChar w:fldCharType="begin"/>
      </w:r>
      <w:r>
        <w:instrText xml:space="preserve"> REF _Ref477176408 \r \h </w:instrText>
      </w:r>
      <w:r>
        <w:fldChar w:fldCharType="separate"/>
      </w:r>
      <w:r>
        <w:rPr>
          <w:rFonts w:hint="eastAsia"/>
        </w:rPr>
        <w:t>附件6</w:t>
      </w:r>
      <w:r>
        <w:fldChar w:fldCharType="end"/>
      </w:r>
      <w:r>
        <w:rPr>
          <w:rFonts w:hint="eastAsia"/>
        </w:rPr>
        <w:t>；</w:t>
      </w:r>
    </w:p>
    <w:p>
      <w:pPr>
        <w:pStyle w:val="58"/>
        <w:numPr>
          <w:ilvl w:val="0"/>
          <w:numId w:val="38"/>
        </w:numPr>
        <w:ind w:firstLineChars="0"/>
      </w:pPr>
      <w:r>
        <w:fldChar w:fldCharType="begin"/>
      </w:r>
      <w:r>
        <w:instrText xml:space="preserve"> REF _Ref477176437 \h </w:instrText>
      </w:r>
      <w:r>
        <w:fldChar w:fldCharType="separate"/>
      </w:r>
      <w:r>
        <w:rPr>
          <w:rFonts w:hint="eastAsia"/>
        </w:rPr>
        <w:t xml:space="preserve"> </w:t>
      </w:r>
      <w:r>
        <w:t xml:space="preserve"> 货物</w:t>
      </w:r>
      <w:r>
        <w:rPr>
          <w:rFonts w:hint="eastAsia"/>
        </w:rPr>
        <w:t>、服务分项报价表</w:t>
      </w:r>
      <w:r>
        <w:fldChar w:fldCharType="end"/>
      </w:r>
      <w:r>
        <w:rPr>
          <w:rFonts w:hint="eastAsia"/>
        </w:rPr>
        <w:t>：</w:t>
      </w:r>
      <w:r>
        <w:t>见</w:t>
      </w:r>
      <w:r>
        <w:fldChar w:fldCharType="begin"/>
      </w:r>
      <w:r>
        <w:instrText xml:space="preserve"> REF _Ref477176437 \r \h </w:instrText>
      </w:r>
      <w:r>
        <w:fldChar w:fldCharType="separate"/>
      </w:r>
      <w:r>
        <w:rPr>
          <w:rFonts w:hint="eastAsia"/>
        </w:rPr>
        <w:t>附件8</w:t>
      </w:r>
      <w:r>
        <w:fldChar w:fldCharType="end"/>
      </w:r>
      <w:r>
        <w:rPr>
          <w:rFonts w:hint="eastAsia"/>
        </w:rPr>
        <w:t>；</w:t>
      </w:r>
    </w:p>
    <w:p>
      <w:pPr>
        <w:pStyle w:val="58"/>
        <w:numPr>
          <w:ilvl w:val="0"/>
          <w:numId w:val="38"/>
        </w:numPr>
        <w:ind w:firstLineChars="0"/>
      </w:pPr>
      <w:r>
        <w:t>拟配备的项目服务团队表</w:t>
      </w:r>
      <w:r>
        <w:rPr>
          <w:rFonts w:hint="eastAsia"/>
        </w:rPr>
        <w:t>：其中，项目经理需与投标人存在缴纳社保关系（开标前一年内至少连续6个月）的有效证明，学习及工作履历；</w:t>
      </w:r>
    </w:p>
    <w:p>
      <w:pPr>
        <w:pStyle w:val="58"/>
        <w:numPr>
          <w:ilvl w:val="0"/>
          <w:numId w:val="38"/>
        </w:numPr>
        <w:ind w:firstLineChars="0"/>
      </w:pPr>
      <w:r>
        <w:rPr>
          <w:rFonts w:hint="eastAsia"/>
        </w:rPr>
        <w:t>投标货物售后培训、维修和服务方案</w:t>
      </w:r>
    </w:p>
    <w:p>
      <w:pPr>
        <w:pStyle w:val="58"/>
        <w:numPr>
          <w:ilvl w:val="0"/>
          <w:numId w:val="38"/>
        </w:numPr>
        <w:ind w:firstLineChars="0"/>
      </w:pPr>
      <w:r>
        <w:t>售后服务网点明细表</w:t>
      </w:r>
      <w:r>
        <w:rPr>
          <w:rFonts w:hint="eastAsia"/>
        </w:rPr>
        <w:t>，</w:t>
      </w:r>
      <w:r>
        <w:t>包括但不限于</w:t>
      </w:r>
      <w:r>
        <w:rPr>
          <w:rFonts w:hint="eastAsia"/>
        </w:rPr>
        <w:t>：</w:t>
      </w:r>
    </w:p>
    <w:p>
      <w:pPr>
        <w:pStyle w:val="58"/>
      </w:pPr>
      <w:r>
        <w:rPr>
          <w:rFonts w:hint="eastAsia"/>
        </w:rPr>
        <w:t>（1）投标人指定的中标后本项目总负责人姓名、职务和详细联系方法，负责有关的咨询查询、签定执行合同、无条件履行售后服务承诺等事务；</w:t>
      </w:r>
    </w:p>
    <w:p>
      <w:pPr>
        <w:pStyle w:val="58"/>
      </w:pPr>
      <w:r>
        <w:rPr>
          <w:rFonts w:hint="eastAsia"/>
        </w:rPr>
        <w:t>（2）统一销售热线；</w:t>
      </w:r>
    </w:p>
    <w:p>
      <w:pPr>
        <w:pStyle w:val="58"/>
      </w:pPr>
      <w:r>
        <w:rPr>
          <w:rFonts w:hint="eastAsia"/>
        </w:rPr>
        <w:t>（3）销售及售后服务代理网点的详细地址、电话、传真。</w:t>
      </w:r>
    </w:p>
    <w:p>
      <w:pPr>
        <w:pStyle w:val="58"/>
        <w:numPr>
          <w:ilvl w:val="0"/>
          <w:numId w:val="38"/>
        </w:numPr>
        <w:ind w:firstLineChars="0"/>
      </w:pPr>
      <w:r>
        <w:t>投标人自行编写的其他技术文件</w:t>
      </w:r>
      <w:r>
        <w:rPr>
          <w:rFonts w:hint="eastAsia"/>
        </w:rPr>
        <w:t>。</w:t>
      </w:r>
    </w:p>
    <w:p>
      <w:pPr>
        <w:pStyle w:val="4"/>
        <w:numPr>
          <w:ilvl w:val="0"/>
          <w:numId w:val="39"/>
        </w:numPr>
        <w:spacing w:line="415" w:lineRule="auto"/>
        <w:rPr>
          <w:rFonts w:asciiTheme="minorHAnsi" w:hAnsiTheme="minorHAnsi" w:eastAsiaTheme="minorEastAsia" w:cstheme="minorBidi"/>
        </w:rPr>
      </w:pPr>
      <w:r>
        <w:rPr>
          <w:rFonts w:asciiTheme="minorHAnsi" w:hAnsiTheme="minorHAnsi" w:eastAsiaTheme="minorEastAsia" w:cstheme="minorBidi"/>
        </w:rPr>
        <w:br w:type="page"/>
      </w:r>
      <w:bookmarkStart w:id="75" w:name="_Ref477176159"/>
      <w:bookmarkStart w:id="76" w:name="_Toc86202634"/>
      <w:r>
        <w:rPr>
          <w:rFonts w:asciiTheme="minorHAnsi" w:hAnsiTheme="minorHAnsi" w:eastAsiaTheme="minorEastAsia" w:cstheme="minorBidi"/>
        </w:rPr>
        <w:t xml:space="preserve"> </w:t>
      </w:r>
      <w:r>
        <w:rPr>
          <w:rFonts w:hint="eastAsia" w:asciiTheme="minorHAnsi" w:hAnsiTheme="minorHAnsi" w:eastAsiaTheme="minorEastAsia" w:cstheme="minorBidi"/>
        </w:rPr>
        <w:t xml:space="preserve"> </w:t>
      </w:r>
      <w:bookmarkStart w:id="77" w:name="_Ref477452653"/>
      <w:bookmarkStart w:id="78" w:name="_Toc524103456"/>
      <w:r>
        <w:rPr>
          <w:rFonts w:hint="eastAsia" w:asciiTheme="minorHAnsi" w:hAnsiTheme="minorHAnsi" w:eastAsiaTheme="minorEastAsia" w:cstheme="minorBidi"/>
        </w:rPr>
        <w:t>投标确认函</w:t>
      </w:r>
      <w:bookmarkEnd w:id="75"/>
      <w:bookmarkEnd w:id="77"/>
      <w:bookmarkEnd w:id="78"/>
    </w:p>
    <w:p>
      <w:pPr>
        <w:pBdr>
          <w:top w:val="dashed" w:color="auto" w:sz="4" w:space="1"/>
          <w:left w:val="dashed" w:color="auto" w:sz="4" w:space="4"/>
          <w:bottom w:val="dashed" w:color="auto" w:sz="4" w:space="1"/>
          <w:right w:val="dashed" w:color="auto" w:sz="4" w:space="4"/>
        </w:pBdr>
        <w:adjustRightInd w:val="0"/>
        <w:spacing w:line="400" w:lineRule="exact"/>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rFonts w:hint="eastAsia"/>
          <w:kern w:val="0"/>
          <w:szCs w:val="21"/>
        </w:rPr>
        <w:t>中央财经大学 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u w:val="single"/>
        </w:rPr>
      </w:pPr>
      <w:r>
        <w:rPr>
          <w:rFonts w:hint="eastAsia"/>
          <w:kern w:val="0"/>
          <w:szCs w:val="21"/>
        </w:rPr>
        <w:t>本单位在认真阅读、全面理解招标文件所有内容与要求的基础上，确定将于</w:t>
      </w:r>
      <w:r>
        <w:rPr>
          <w:kern w:val="0"/>
          <w:szCs w:val="21"/>
        </w:rPr>
        <w:t>2019</w:t>
      </w:r>
      <w:r>
        <w:rPr>
          <w:rFonts w:hint="eastAsia"/>
          <w:kern w:val="0"/>
          <w:szCs w:val="21"/>
        </w:rPr>
        <w:t>年</w:t>
      </w:r>
      <w:r>
        <w:rPr>
          <w:kern w:val="0"/>
          <w:szCs w:val="21"/>
        </w:rPr>
        <w:t>5</w:t>
      </w:r>
      <w:r>
        <w:rPr>
          <w:rFonts w:hint="eastAsia"/>
          <w:kern w:val="0"/>
          <w:szCs w:val="21"/>
        </w:rPr>
        <w:t>月10    点</w:t>
      </w:r>
      <w:r>
        <w:rPr>
          <w:kern w:val="0"/>
          <w:szCs w:val="21"/>
        </w:rPr>
        <w:t>9</w:t>
      </w:r>
      <w:r>
        <w:rPr>
          <w:rFonts w:hint="eastAsia"/>
          <w:kern w:val="0"/>
          <w:szCs w:val="21"/>
        </w:rPr>
        <w:t>：00分，在中央财经大学学六楼201，参与</w:t>
      </w:r>
      <w:r>
        <w:rPr>
          <w:rFonts w:hint="eastAsia"/>
          <w:kern w:val="0"/>
          <w:szCs w:val="21"/>
          <w:u w:val="single"/>
        </w:rPr>
        <w:t xml:space="preserve">                   （项目名称</w:t>
      </w:r>
      <w:r>
        <w:rPr>
          <w:kern w:val="0"/>
          <w:szCs w:val="21"/>
          <w:u w:val="single"/>
        </w:rPr>
        <w:t>）</w:t>
      </w:r>
      <w:r>
        <w:rPr>
          <w:rFonts w:hint="eastAsia"/>
          <w:kern w:val="0"/>
          <w:szCs w:val="21"/>
        </w:rPr>
        <w:t>的投标，项目编号：</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u w:val="single"/>
        </w:rPr>
        <w:t xml:space="preserve">        </w:t>
      </w:r>
      <w:r>
        <w:rPr>
          <w:rFonts w:hint="eastAsia"/>
          <w:kern w:val="0"/>
          <w:szCs w:val="21"/>
        </w:rPr>
        <w:t>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单位名称：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联系电话：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法人授权代表（投标代表）：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联系电话（手机）：                 </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before="468" w:beforeLines="150" w:after="156" w:afterLines="50" w:line="400" w:lineRule="exact"/>
        <w:jc w:val="right"/>
        <w:textAlignment w:val="baseline"/>
        <w:rPr>
          <w:kern w:val="0"/>
          <w:szCs w:val="21"/>
        </w:rPr>
      </w:pPr>
      <w:r>
        <w:rPr>
          <w:rFonts w:hint="eastAsia"/>
          <w:kern w:val="0"/>
          <w:szCs w:val="21"/>
        </w:rPr>
        <w:t xml:space="preserve">（单位公章）：  </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630" w:firstLineChars="300"/>
        <w:jc w:val="right"/>
        <w:textAlignment w:val="baseline"/>
        <w:rPr>
          <w:kern w:val="0"/>
          <w:szCs w:val="21"/>
        </w:rPr>
      </w:pPr>
      <w:r>
        <w:rPr>
          <w:rFonts w:hint="eastAsia"/>
          <w:kern w:val="0"/>
          <w:szCs w:val="21"/>
        </w:rPr>
        <w:t xml:space="preserve">年  月  日 </w:t>
      </w:r>
      <w:r>
        <w:rPr>
          <w:kern w:val="0"/>
          <w:szCs w:val="21"/>
        </w:rPr>
        <w:t xml:space="preserve">     </w:t>
      </w:r>
    </w:p>
    <w:p>
      <w:pPr>
        <w:pStyle w:val="58"/>
      </w:pPr>
      <w:r>
        <w:fldChar w:fldCharType="begin"/>
      </w:r>
      <w:r>
        <w:instrText xml:space="preserve"> REF 确认函发送信息 \h  \* MERGEFORMAT </w:instrText>
      </w:r>
      <w:r>
        <w:fldChar w:fldCharType="separate"/>
      </w:r>
      <w:r>
        <w:rPr>
          <w:rFonts w:hint="eastAsia"/>
        </w:rPr>
        <w:t>请确认参加投标的供应商于</w:t>
      </w:r>
      <w:r>
        <w:t>2019</w:t>
      </w:r>
      <w:r>
        <w:rPr>
          <w:rFonts w:hint="eastAsia"/>
        </w:rPr>
        <w:t>年5月</w:t>
      </w:r>
      <w:r>
        <w:t>7</w:t>
      </w:r>
      <w:r>
        <w:rPr>
          <w:rFonts w:hint="eastAsia"/>
        </w:rPr>
        <w:t>日15:00前将盖章扫描件发送至邮箱：cufexscg@cufe.edu.cn，请务必保证您的</w:t>
      </w:r>
      <w:r>
        <w:rPr>
          <w:rFonts w:hint="eastAsia"/>
          <w:b/>
        </w:rPr>
        <w:t>邮件主题为“投标确认函+公司简称+项目名称+项目编号”，以免邮件漏检！</w:t>
      </w:r>
    </w:p>
    <w:p>
      <w:pPr>
        <w:pStyle w:val="58"/>
      </w:pPr>
      <w:r>
        <w:fldChar w:fldCharType="end"/>
      </w:r>
    </w:p>
    <w:p>
      <w:pPr>
        <w:pStyle w:val="58"/>
      </w:pPr>
      <w:r>
        <w:fldChar w:fldCharType="begin"/>
      </w:r>
      <w:r>
        <w:instrText xml:space="preserve"> </w:instrText>
      </w:r>
      <w:r>
        <w:rPr>
          <w:rFonts w:hint="eastAsia"/>
        </w:rPr>
        <w:instrText xml:space="preserve">REF 联系人及信息 \h</w:instrText>
      </w:r>
      <w:r>
        <w:instrText xml:space="preserve"> </w:instrText>
      </w:r>
      <w:r>
        <w:fldChar w:fldCharType="separate"/>
      </w:r>
      <w:r>
        <w:rPr>
          <w:rFonts w:hint="eastAsia"/>
        </w:rPr>
        <w:t>联系人：王老师</w:t>
      </w:r>
    </w:p>
    <w:p>
      <w:pPr>
        <w:pStyle w:val="58"/>
      </w:pPr>
      <w:r>
        <w:rPr>
          <w:rFonts w:hint="eastAsia"/>
        </w:rPr>
        <w:t>联系电话：010-62288125</w:t>
      </w:r>
    </w:p>
    <w:p>
      <w:pPr>
        <w:pStyle w:val="58"/>
      </w:pPr>
      <w:r>
        <w:rPr>
          <w:rFonts w:hint="eastAsia"/>
        </w:rPr>
        <w:t>联系邮箱：cufexscg@cufe.edu.cn</w:t>
      </w:r>
    </w:p>
    <w:p>
      <w:pPr>
        <w:pStyle w:val="58"/>
      </w:pPr>
      <w:r>
        <w:fldChar w:fldCharType="end"/>
      </w:r>
    </w:p>
    <w:p>
      <w:pPr>
        <w:widowControl/>
        <w:jc w:val="left"/>
        <w:rPr>
          <w:rFonts w:asciiTheme="minorHAnsi" w:hAnsiTheme="minorHAnsi" w:eastAsiaTheme="minorEastAsia" w:cstheme="minorBidi"/>
          <w:szCs w:val="22"/>
        </w:rPr>
      </w:pPr>
      <w:r>
        <w:br w:type="page"/>
      </w:r>
    </w:p>
    <w:p>
      <w:pPr>
        <w:pStyle w:val="4"/>
        <w:numPr>
          <w:ilvl w:val="0"/>
          <w:numId w:val="39"/>
        </w:numPr>
        <w:spacing w:line="415" w:lineRule="auto"/>
      </w:pPr>
      <w:bookmarkStart w:id="79" w:name="_Ref477176240"/>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80" w:name="_Toc524103457"/>
      <w:bookmarkStart w:id="81" w:name="_Ref477452657"/>
      <w:r>
        <w:rPr>
          <w:rFonts w:hint="eastAsia" w:asciiTheme="minorHAnsi" w:hAnsiTheme="minorHAnsi" w:eastAsiaTheme="minorEastAsia" w:cstheme="minorBidi"/>
        </w:rPr>
        <w:t>投标函</w:t>
      </w:r>
      <w:bookmarkEnd w:id="76"/>
      <w:bookmarkEnd w:id="79"/>
      <w:bookmarkEnd w:id="80"/>
      <w:bookmarkEnd w:id="81"/>
    </w:p>
    <w:p>
      <w:pPr>
        <w:pStyle w:val="58"/>
      </w:pPr>
      <w:r>
        <w:rPr>
          <w:rFonts w:hint="eastAsia"/>
        </w:rPr>
        <w:t>致中央财经大学：</w:t>
      </w:r>
    </w:p>
    <w:p>
      <w:pPr>
        <w:pStyle w:val="58"/>
      </w:pPr>
      <w:r>
        <w:rPr>
          <w:rFonts w:hint="eastAsia"/>
        </w:rPr>
        <w:t>（投标人名称）授权（投标人代表姓名）（职务或职称）为我方代表，参加贵方组织的（项目名称、项目编号、包号）招标的有关活动，并对此项目进行投标。为此：</w:t>
      </w:r>
    </w:p>
    <w:p>
      <w:pPr>
        <w:pStyle w:val="58"/>
      </w:pPr>
      <w:r>
        <w:rPr>
          <w:rFonts w:hint="eastAsia"/>
        </w:rPr>
        <w:t>我方同意在本项目招标文件中规定的开标日起90天内遵守本投标文件中的承诺，且在此期限期满之前均具有约束力。</w:t>
      </w:r>
    </w:p>
    <w:p>
      <w:pPr>
        <w:pStyle w:val="58"/>
      </w:pPr>
      <w:r>
        <w:rPr>
          <w:rFonts w:hint="eastAsia"/>
        </w:rPr>
        <w:t>我方承诺已经具备《中华人民共和国政府采购法》中规定的参加政府采购活动的供应商应当具备的条件：</w:t>
      </w:r>
    </w:p>
    <w:p>
      <w:pPr>
        <w:pStyle w:val="58"/>
      </w:pPr>
      <w:r>
        <w:rPr>
          <w:rFonts w:hint="eastAsia"/>
        </w:rPr>
        <w:t>具有独立承担民事责任的能力；</w:t>
      </w:r>
    </w:p>
    <w:p>
      <w:pPr>
        <w:pStyle w:val="58"/>
      </w:pPr>
      <w:r>
        <w:rPr>
          <w:rFonts w:hint="eastAsia"/>
        </w:rPr>
        <w:t>具有良好的商业信誉和健全的财务会计制度；</w:t>
      </w:r>
    </w:p>
    <w:p>
      <w:pPr>
        <w:pStyle w:val="58"/>
      </w:pPr>
      <w:r>
        <w:rPr>
          <w:rFonts w:hint="eastAsia"/>
        </w:rPr>
        <w:t>具有履行合同所必需的设备和专业技术能力；</w:t>
      </w:r>
    </w:p>
    <w:p>
      <w:pPr>
        <w:pStyle w:val="58"/>
      </w:pPr>
      <w:r>
        <w:rPr>
          <w:rFonts w:hint="eastAsia"/>
        </w:rPr>
        <w:t>有依法缴纳税收和社会保障资金的良好记录；</w:t>
      </w:r>
    </w:p>
    <w:p>
      <w:pPr>
        <w:pStyle w:val="58"/>
      </w:pPr>
      <w:r>
        <w:rPr>
          <w:rFonts w:hint="eastAsia"/>
        </w:rPr>
        <w:t>参加此项采购活动前三年内，在经营活动中没有重大违法记录；</w:t>
      </w:r>
    </w:p>
    <w:p>
      <w:pPr>
        <w:pStyle w:val="58"/>
      </w:pPr>
      <w:r>
        <w:rPr>
          <w:rFonts w:hint="eastAsia"/>
        </w:rPr>
        <w:t>法律、行政法规规定的其他条件。</w:t>
      </w:r>
    </w:p>
    <w:p>
      <w:pPr>
        <w:pStyle w:val="58"/>
      </w:pPr>
      <w:r>
        <w:rPr>
          <w:rFonts w:hint="eastAsia"/>
        </w:rPr>
        <w:t>我方提供投标须知规定的全部投标文件，包括投标文件正本、副本、开标一览表和电子文档。</w:t>
      </w:r>
    </w:p>
    <w:p>
      <w:pPr>
        <w:pStyle w:val="58"/>
      </w:pPr>
      <w:r>
        <w:rPr>
          <w:rFonts w:hint="eastAsia"/>
        </w:rPr>
        <w:t>其中，按招标文件要求提供和交付的货物和服务的投标报价详见开标一览表。</w:t>
      </w:r>
    </w:p>
    <w:p>
      <w:pPr>
        <w:pStyle w:val="58"/>
      </w:pPr>
      <w:r>
        <w:rPr>
          <w:rFonts w:hint="eastAsia"/>
        </w:rPr>
        <w:t>我方承诺：完全理解投标报价超过开标时公布的预算金额时，投标将被拒绝。</w:t>
      </w:r>
    </w:p>
    <w:p>
      <w:pPr>
        <w:pStyle w:val="58"/>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pPr>
        <w:pStyle w:val="58"/>
      </w:pPr>
      <w:r>
        <w:rPr>
          <w:rFonts w:hint="eastAsia"/>
        </w:rPr>
        <w:t>我方承诺：保证忠实地执行双方所签订的合同，并承担合同规定的责任和义务。</w:t>
      </w:r>
    </w:p>
    <w:p>
      <w:pPr>
        <w:pStyle w:val="58"/>
      </w:pPr>
      <w:r>
        <w:rPr>
          <w:rFonts w:hint="eastAsia"/>
        </w:rPr>
        <w:t>我方承诺完全满足和响应招标文件中的各项商务和技术要求，若有偏差，已在投标文件商务条款偏离表中予以明确特别说明。</w:t>
      </w:r>
    </w:p>
    <w:p>
      <w:pPr>
        <w:pStyle w:val="58"/>
      </w:pPr>
      <w:r>
        <w:rPr>
          <w:rFonts w:hint="eastAsia"/>
        </w:rPr>
        <w:t>我方保证遵守招标文件的规定。</w:t>
      </w:r>
    </w:p>
    <w:p>
      <w:pPr>
        <w:pStyle w:val="58"/>
      </w:pPr>
      <w:r>
        <w:rPr>
          <w:rFonts w:hint="eastAsia"/>
        </w:rPr>
        <w:t>如果在开标后规定的投标有效期内撤回投标，我方的投标保证金可被贵方没收。</w:t>
      </w:r>
    </w:p>
    <w:p>
      <w:pPr>
        <w:pStyle w:val="58"/>
      </w:pPr>
      <w:r>
        <w:rPr>
          <w:rFonts w:hint="eastAsia"/>
        </w:rPr>
        <w:t>我方完全理解贵方不一定接受最低价的投标或收到的任何投标。</w:t>
      </w:r>
    </w:p>
    <w:p>
      <w:pPr>
        <w:pStyle w:val="58"/>
      </w:pPr>
      <w:r>
        <w:rPr>
          <w:rFonts w:hint="eastAsia"/>
        </w:rPr>
        <w:t>我方愿意向贵方提供任何与本项投标有关的数据、情况和技术资料。若贵方需要，我方愿意提供我方作出的一切承诺的证明材料。</w:t>
      </w:r>
    </w:p>
    <w:p>
      <w:pPr>
        <w:pStyle w:val="58"/>
      </w:pPr>
      <w:r>
        <w:rPr>
          <w:rFonts w:hint="eastAsia"/>
        </w:rPr>
        <w:t>我方已详细审核全部投标文件，包括投标文件修改书（如有的话）、参考资料及有关附件，确认无误。</w:t>
      </w:r>
    </w:p>
    <w:p>
      <w:pPr>
        <w:pStyle w:val="58"/>
      </w:pPr>
      <w:r>
        <w:rPr>
          <w:rFonts w:hint="eastAsia"/>
        </w:rPr>
        <w:t>我方承诺：采购人若需追加采购本项目招标文件所列货物及相关服务的，在不改变合同其他实质性条款的前提下，按相同或更优惠的折扣率保证供货。</w:t>
      </w:r>
    </w:p>
    <w:p>
      <w:pPr>
        <w:pStyle w:val="58"/>
      </w:pPr>
      <w:r>
        <w:rPr>
          <w:rFonts w:hint="eastAsia"/>
        </w:rPr>
        <w:t>我方承诺接受招标文件中《中标合同》的全部条款且无任何异议。</w:t>
      </w:r>
    </w:p>
    <w:p>
      <w:pPr>
        <w:pStyle w:val="58"/>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58"/>
      </w:pPr>
      <w:r>
        <w:rPr>
          <w:rFonts w:hint="eastAsia"/>
        </w:rPr>
        <w:t>提供虚假材料谋取中标、成交的；</w:t>
      </w:r>
    </w:p>
    <w:p>
      <w:pPr>
        <w:pStyle w:val="58"/>
      </w:pPr>
      <w:r>
        <w:rPr>
          <w:rFonts w:hint="eastAsia"/>
        </w:rPr>
        <w:t>采取不正当手段诋毁、排挤其他供应商的；</w:t>
      </w:r>
    </w:p>
    <w:p>
      <w:pPr>
        <w:pStyle w:val="58"/>
      </w:pPr>
      <w:r>
        <w:rPr>
          <w:rFonts w:hint="eastAsia"/>
        </w:rPr>
        <w:t>与采购人、其它供应商或者采购人工作人员恶意串通的；</w:t>
      </w:r>
    </w:p>
    <w:p>
      <w:pPr>
        <w:pStyle w:val="58"/>
      </w:pPr>
      <w:r>
        <w:rPr>
          <w:rFonts w:hint="eastAsia"/>
        </w:rPr>
        <w:t>向采购人、采购人工作人员行贿或者提供其他不正当利益的；</w:t>
      </w:r>
    </w:p>
    <w:p>
      <w:pPr>
        <w:pStyle w:val="58"/>
      </w:pPr>
      <w:r>
        <w:rPr>
          <w:rFonts w:hint="eastAsia"/>
        </w:rPr>
        <w:t>未经采购人同意，在采购过程中与采购人进行协商谈判的；</w:t>
      </w:r>
    </w:p>
    <w:p>
      <w:pPr>
        <w:pStyle w:val="58"/>
      </w:pPr>
      <w:r>
        <w:rPr>
          <w:rFonts w:hint="eastAsia"/>
        </w:rPr>
        <w:t>拒绝有关部门监督检查或提供虚假情况的。</w:t>
      </w:r>
    </w:p>
    <w:p>
      <w:pPr>
        <w:pStyle w:val="58"/>
      </w:pPr>
      <w:r>
        <w:rPr>
          <w:rFonts w:hint="eastAsia"/>
        </w:rPr>
        <w:t>如果我方违反上述承诺，或承诺内容不属实，我方愿意承担一切不利的法律后果。</w:t>
      </w:r>
    </w:p>
    <w:p>
      <w:pPr>
        <w:pStyle w:val="58"/>
      </w:pPr>
      <w:r>
        <w:rPr>
          <w:rFonts w:hint="eastAsia"/>
        </w:rPr>
        <w:t>与本投标有关的一切往来通讯请寄：</w:t>
      </w:r>
    </w:p>
    <w:p>
      <w:pPr>
        <w:pStyle w:val="58"/>
        <w:sectPr>
          <w:headerReference r:id="rId7" w:type="default"/>
          <w:pgSz w:w="11906" w:h="16838"/>
          <w:pgMar w:top="1134" w:right="1134" w:bottom="1021" w:left="1418" w:header="851" w:footer="851" w:gutter="0"/>
          <w:cols w:space="720" w:num="1"/>
          <w:docGrid w:type="linesAndChars" w:linePitch="312" w:charSpace="0"/>
        </w:sectPr>
      </w:pPr>
    </w:p>
    <w:p>
      <w:pPr>
        <w:pStyle w:val="58"/>
      </w:pPr>
      <w:r>
        <w:rPr>
          <w:rFonts w:hint="eastAsia"/>
        </w:rPr>
        <w:t>地址：</w:t>
      </w:r>
    </w:p>
    <w:p>
      <w:pPr>
        <w:pStyle w:val="58"/>
      </w:pPr>
      <w:r>
        <w:rPr>
          <w:rFonts w:hint="eastAsia"/>
        </w:rPr>
        <w:t>邮编：</w:t>
      </w:r>
    </w:p>
    <w:p>
      <w:pPr>
        <w:pStyle w:val="58"/>
      </w:pPr>
      <w:r>
        <w:rPr>
          <w:rFonts w:hint="eastAsia"/>
        </w:rPr>
        <w:t>电话：</w:t>
      </w:r>
    </w:p>
    <w:p>
      <w:pPr>
        <w:pStyle w:val="58"/>
      </w:pPr>
      <w:r>
        <w:rPr>
          <w:rFonts w:hint="eastAsia"/>
        </w:rPr>
        <w:t>传真：</w:t>
      </w:r>
    </w:p>
    <w:p>
      <w:pPr>
        <w:pStyle w:val="58"/>
      </w:pPr>
      <w:r>
        <w:rPr>
          <w:rFonts w:hint="eastAsia"/>
        </w:rPr>
        <w:t>投标人代表姓名：</w:t>
      </w:r>
    </w:p>
    <w:p>
      <w:pPr>
        <w:pStyle w:val="58"/>
      </w:pPr>
      <w:r>
        <w:rPr>
          <w:rFonts w:hint="eastAsia"/>
        </w:rPr>
        <w:t>投标人代表联系电话</w:t>
      </w:r>
    </w:p>
    <w:p>
      <w:pPr>
        <w:pStyle w:val="58"/>
      </w:pPr>
      <w:r>
        <w:rPr>
          <w:rFonts w:hint="eastAsia"/>
        </w:rPr>
        <w:t>电子邮箱：</w:t>
      </w:r>
    </w:p>
    <w:p>
      <w:pPr>
        <w:pStyle w:val="58"/>
        <w:sectPr>
          <w:type w:val="continuous"/>
          <w:pgSz w:w="11906" w:h="16838"/>
          <w:pgMar w:top="1134" w:right="1134" w:bottom="1021" w:left="1418" w:header="851" w:footer="851" w:gutter="0"/>
          <w:cols w:space="720" w:num="2"/>
          <w:docGrid w:type="linesAndChars" w:linePitch="312" w:charSpace="0"/>
        </w:sectPr>
      </w:pPr>
    </w:p>
    <w:p>
      <w:pPr>
        <w:pStyle w:val="58"/>
      </w:pPr>
      <w:r>
        <w:rPr>
          <w:rFonts w:hint="eastAsia"/>
        </w:rPr>
        <w:t>投标人名称：（加盖公章）</w:t>
      </w:r>
    </w:p>
    <w:p>
      <w:pPr>
        <w:pStyle w:val="58"/>
      </w:pPr>
      <w:r>
        <w:rPr>
          <w:rFonts w:hint="eastAsia"/>
        </w:rPr>
        <w:t>投标人代表签字：</w:t>
      </w:r>
    </w:p>
    <w:p>
      <w:pPr>
        <w:pStyle w:val="58"/>
      </w:pPr>
      <w:r>
        <w:rPr>
          <w:rFonts w:hint="eastAsia"/>
        </w:rPr>
        <w:t>年  月  日</w:t>
      </w:r>
    </w:p>
    <w:p>
      <w:pPr>
        <w:pStyle w:val="58"/>
      </w:pPr>
    </w:p>
    <w:p>
      <w:pPr>
        <w:pStyle w:val="58"/>
      </w:pPr>
      <w:r>
        <w:rPr>
          <w:rFonts w:hint="eastAsia"/>
        </w:rPr>
        <w:t>注：除可填报项目外，对本投标函的任何实质性修改将被视为非实质性响应投标，从而导致该投标被拒绝。</w:t>
      </w:r>
    </w:p>
    <w:p>
      <w:pPr>
        <w:pStyle w:val="4"/>
        <w:numPr>
          <w:ilvl w:val="0"/>
          <w:numId w:val="39"/>
        </w:numPr>
        <w:spacing w:line="415" w:lineRule="auto"/>
      </w:pPr>
      <w:r>
        <w:rPr>
          <w:rFonts w:hint="eastAsia"/>
        </w:rPr>
        <w:br w:type="page"/>
      </w:r>
      <w:bookmarkStart w:id="82" w:name="_Toc86202635"/>
      <w:bookmarkStart w:id="83" w:name="_Ref477176255"/>
      <w:r>
        <w:rPr>
          <w:rFonts w:hint="eastAsia"/>
        </w:rPr>
        <w:t xml:space="preserve"> </w:t>
      </w:r>
      <w:r>
        <w:t xml:space="preserve"> </w:t>
      </w:r>
      <w:bookmarkStart w:id="84" w:name="_Toc524103458"/>
      <w:bookmarkStart w:id="85" w:name="_Ref477452659"/>
      <w:r>
        <w:rPr>
          <w:rFonts w:hint="eastAsia" w:asciiTheme="minorHAnsi" w:hAnsiTheme="minorHAnsi" w:eastAsiaTheme="minorEastAsia" w:cstheme="minorBidi"/>
        </w:rPr>
        <w:t>法定代表人授权委托书</w:t>
      </w:r>
      <w:bookmarkEnd w:id="82"/>
      <w:bookmarkEnd w:id="83"/>
      <w:bookmarkEnd w:id="84"/>
      <w:bookmarkEnd w:id="85"/>
    </w:p>
    <w:p>
      <w:pPr>
        <w:pStyle w:val="58"/>
      </w:pPr>
      <w:r>
        <w:rPr>
          <w:rFonts w:hint="eastAsia"/>
        </w:rPr>
        <w:t>中央财经大学：</w:t>
      </w:r>
    </w:p>
    <w:p>
      <w:pPr>
        <w:pStyle w:val="58"/>
      </w:pPr>
      <w:r>
        <w:t>本授权书声明：注册于</w:t>
      </w:r>
      <w:r>
        <w:rPr>
          <w:rFonts w:hint="eastAsia"/>
        </w:rPr>
        <w:t xml:space="preserve"> </w:t>
      </w:r>
      <w:r>
        <w:rPr>
          <w:rFonts w:hint="eastAsia"/>
          <w:b/>
        </w:rPr>
        <w:t>&lt;</w:t>
      </w:r>
      <w:r>
        <w:rPr>
          <w:b/>
        </w:rPr>
        <w:t xml:space="preserve"> 投标人住址</w:t>
      </w:r>
      <w:r>
        <w:rPr>
          <w:rFonts w:hint="eastAsia"/>
          <w:b/>
        </w:rPr>
        <w:t xml:space="preserve"> </w:t>
      </w:r>
      <w:r>
        <w:rPr>
          <w:b/>
        </w:rPr>
        <w:t>&gt;</w:t>
      </w:r>
      <w:r>
        <w:t xml:space="preserve"> 的</w:t>
      </w:r>
      <w:r>
        <w:rPr>
          <w:rFonts w:hint="eastAsia"/>
        </w:rPr>
        <w:t xml:space="preserve"> </w:t>
      </w:r>
      <w:r>
        <w:rPr>
          <w:rFonts w:hint="eastAsia"/>
          <w:b/>
        </w:rPr>
        <w:t xml:space="preserve">&lt; </w:t>
      </w:r>
      <w:r>
        <w:rPr>
          <w:b/>
        </w:rPr>
        <w:t>投标人名称</w:t>
      </w:r>
      <w:r>
        <w:rPr>
          <w:rFonts w:hint="eastAsia"/>
          <w:b/>
        </w:rPr>
        <w:t xml:space="preserve"> </w:t>
      </w:r>
      <w:r>
        <w:rPr>
          <w:b/>
        </w:rPr>
        <w:t>&gt;</w:t>
      </w:r>
      <w:r>
        <w:t xml:space="preserve"> </w:t>
      </w:r>
      <w:r>
        <w:rPr>
          <w:rFonts w:hint="eastAsia"/>
        </w:rPr>
        <w:t>，</w:t>
      </w:r>
      <w:r>
        <w:t>法定代表人</w:t>
      </w:r>
      <w:r>
        <w:rPr>
          <w:rFonts w:hint="eastAsia"/>
        </w:rPr>
        <w:t xml:space="preserve"> </w:t>
      </w:r>
      <w:r>
        <w:rPr>
          <w:rFonts w:hint="eastAsia"/>
          <w:b/>
        </w:rPr>
        <w:t xml:space="preserve">&lt; </w:t>
      </w:r>
      <w:r>
        <w:rPr>
          <w:b/>
        </w:rPr>
        <w:t>法定代表人姓名、职务</w:t>
      </w:r>
      <w:r>
        <w:rPr>
          <w:rFonts w:hint="eastAsia"/>
          <w:b/>
        </w:rPr>
        <w:t xml:space="preserve"> </w:t>
      </w:r>
      <w:r>
        <w:rPr>
          <w:b/>
        </w:rPr>
        <w:t>&gt;</w:t>
      </w:r>
      <w:r>
        <w:t xml:space="preserve"> 代表本公司授权在下面签字的</w:t>
      </w:r>
      <w:r>
        <w:rPr>
          <w:rFonts w:hint="eastAsia"/>
        </w:rPr>
        <w:t xml:space="preserve"> </w:t>
      </w:r>
      <w:r>
        <w:rPr>
          <w:rFonts w:hint="eastAsia"/>
          <w:b/>
        </w:rPr>
        <w:t xml:space="preserve">&lt; </w:t>
      </w:r>
      <w:r>
        <w:rPr>
          <w:b/>
        </w:rPr>
        <w:t>投标人代表姓名、职务</w:t>
      </w:r>
      <w:r>
        <w:rPr>
          <w:rFonts w:hint="eastAsia"/>
          <w:b/>
        </w:rPr>
        <w:t xml:space="preserve"> </w:t>
      </w:r>
      <w:r>
        <w:rPr>
          <w:b/>
        </w:rPr>
        <w:t>&gt;</w:t>
      </w:r>
      <w:r>
        <w:t xml:space="preserve"> 为本公司的合法代理人，就贵方组织的</w:t>
      </w:r>
      <w:r>
        <w:rPr>
          <w:rFonts w:hint="eastAsia"/>
          <w:u w:val="single"/>
        </w:rPr>
        <w:t xml:space="preserve">              （项目名称）</w:t>
      </w:r>
      <w:r>
        <w:rPr>
          <w:u w:val="single"/>
        </w:rPr>
        <w:t>，</w:t>
      </w:r>
      <w:r>
        <w:t>项目编号：</w:t>
      </w:r>
      <w:r>
        <w:rPr>
          <w:rFonts w:hint="eastAsia"/>
          <w:u w:val="single"/>
        </w:rPr>
        <w:t xml:space="preserve">          </w:t>
      </w:r>
      <w:r>
        <w:t>，以本公司名义处理一切与之有关的事务。</w:t>
      </w:r>
    </w:p>
    <w:p>
      <w:pPr>
        <w:pStyle w:val="58"/>
      </w:pPr>
      <w:r>
        <w:rPr>
          <w:rFonts w:hint="eastAsia"/>
        </w:rPr>
        <w:t>本授权书于签订之日起（    年  月  日）签字生效，特此声明。</w:t>
      </w:r>
    </w:p>
    <w:p>
      <w:pPr>
        <w:pStyle w:val="58"/>
      </w:pPr>
    </w:p>
    <w:p>
      <w:pPr>
        <w:pStyle w:val="58"/>
      </w:pPr>
      <w:r>
        <w:rPr>
          <w:rFonts w:hint="eastAsia"/>
        </w:rPr>
        <w:t>法定代表人签字或盖章：</w:t>
      </w:r>
    </w:p>
    <w:p>
      <w:pPr>
        <w:pStyle w:val="58"/>
      </w:pPr>
      <w:r>
        <w:rPr>
          <w:rFonts w:hint="eastAsia"/>
        </w:rPr>
        <w:t>投标人代表签字或盖章：</w:t>
      </w:r>
    </w:p>
    <w:p>
      <w:pPr>
        <w:pStyle w:val="58"/>
      </w:pPr>
      <w:r>
        <w:rPr>
          <w:rFonts w:hint="eastAsia"/>
        </w:rPr>
        <w:t>投标人名称：        （加盖公章）</w:t>
      </w:r>
    </w:p>
    <w:p>
      <w:pPr>
        <w:pStyle w:val="58"/>
      </w:pPr>
      <w:r>
        <w:t xml:space="preserve">    年    月    日</w:t>
      </w:r>
    </w:p>
    <w:p>
      <w:pPr>
        <w:pStyle w:val="58"/>
      </w:pPr>
    </w:p>
    <w:p>
      <w:pPr>
        <w:pStyle w:val="58"/>
      </w:pPr>
      <w:r>
        <w:rPr>
          <w:rFonts w:hint="eastAsia"/>
        </w:rPr>
        <w:t>附：</w:t>
      </w:r>
    </w:p>
    <w:p>
      <w:pPr>
        <w:pStyle w:val="58"/>
      </w:pPr>
      <w:r>
        <w:rPr>
          <w:rFonts w:hint="eastAsia"/>
        </w:rPr>
        <w:t>法定代表人身份证复印件：</w:t>
      </w:r>
    </w:p>
    <w:p>
      <w:pPr>
        <w:pStyle w:val="58"/>
      </w:pPr>
      <w:r>
        <w:t>正面</w:t>
      </w:r>
      <w:r>
        <w:rPr>
          <w:rFonts w:hint="eastAsia"/>
        </w:rPr>
        <w:t>：</w:t>
      </w:r>
    </w:p>
    <w:p>
      <w:pPr>
        <w:pStyle w:val="58"/>
        <w:ind w:firstLine="0" w:firstLineChars="0"/>
      </w:pPr>
    </w:p>
    <w:p>
      <w:pPr>
        <w:pStyle w:val="58"/>
      </w:pPr>
    </w:p>
    <w:p>
      <w:pPr>
        <w:pStyle w:val="58"/>
      </w:pPr>
      <w:r>
        <w:t>反面</w:t>
      </w:r>
    </w:p>
    <w:p>
      <w:pPr>
        <w:pStyle w:val="58"/>
      </w:pPr>
    </w:p>
    <w:p>
      <w:pPr>
        <w:pStyle w:val="58"/>
        <w:ind w:firstLine="0" w:firstLineChars="0"/>
      </w:pPr>
    </w:p>
    <w:p>
      <w:pPr>
        <w:pStyle w:val="58"/>
      </w:pPr>
      <w:r>
        <w:rPr>
          <w:rFonts w:hint="eastAsia"/>
        </w:rPr>
        <w:t>投标人代表身份证复印件：</w:t>
      </w:r>
    </w:p>
    <w:p>
      <w:pPr>
        <w:pStyle w:val="58"/>
      </w:pPr>
      <w:r>
        <w:t>正面</w:t>
      </w:r>
      <w:r>
        <w:rPr>
          <w:rFonts w:hint="eastAsia"/>
        </w:rPr>
        <w:t>：</w:t>
      </w:r>
    </w:p>
    <w:p>
      <w:pPr>
        <w:pStyle w:val="58"/>
        <w:ind w:firstLine="0" w:firstLineChars="0"/>
      </w:pPr>
    </w:p>
    <w:p>
      <w:pPr>
        <w:pStyle w:val="58"/>
      </w:pPr>
    </w:p>
    <w:p>
      <w:pPr>
        <w:pStyle w:val="58"/>
      </w:pPr>
      <w:r>
        <w:t>反面</w:t>
      </w:r>
    </w:p>
    <w:p>
      <w:pPr>
        <w:pStyle w:val="58"/>
      </w:pPr>
    </w:p>
    <w:p>
      <w:pPr>
        <w:pStyle w:val="58"/>
        <w:ind w:firstLine="0" w:firstLineChars="0"/>
      </w:pPr>
    </w:p>
    <w:p>
      <w:pPr>
        <w:pStyle w:val="58"/>
      </w:pPr>
    </w:p>
    <w:p>
      <w:pPr>
        <w:pStyle w:val="58"/>
      </w:pPr>
      <w:r>
        <w:rPr>
          <w:rFonts w:hint="eastAsia"/>
        </w:rPr>
        <w:t>注：</w:t>
      </w:r>
      <w:r>
        <w:t>1、此表除装订在资格文件中外</w:t>
      </w:r>
      <w:r>
        <w:rPr>
          <w:rFonts w:hint="eastAsia"/>
        </w:rPr>
        <w:t>，</w:t>
      </w:r>
      <w:r>
        <w:t>还应按投标人须知的规定密封标记并单独递交。</w:t>
      </w:r>
    </w:p>
    <w:p>
      <w:pPr>
        <w:pStyle w:val="58"/>
      </w:pPr>
      <w:r>
        <w:t>2</w:t>
      </w:r>
      <w:r>
        <w:rPr>
          <w:rFonts w:hint="eastAsia"/>
        </w:rPr>
        <w:t>、除可填报项目外，对本委托书的任何实质性修改将被视为非实质性响应投标，从而导致该投标被拒绝。</w:t>
      </w:r>
    </w:p>
    <w:p>
      <w:pPr>
        <w:widowControl/>
        <w:jc w:val="left"/>
        <w:rPr>
          <w:rFonts w:asciiTheme="minorHAnsi" w:hAnsiTheme="minorHAnsi" w:eastAsiaTheme="minorEastAsia" w:cstheme="minorBidi"/>
          <w:szCs w:val="22"/>
        </w:rPr>
      </w:pPr>
      <w:r>
        <w:br w:type="page"/>
      </w:r>
    </w:p>
    <w:p>
      <w:pPr>
        <w:pStyle w:val="4"/>
        <w:numPr>
          <w:ilvl w:val="0"/>
          <w:numId w:val="39"/>
        </w:numPr>
        <w:spacing w:line="415" w:lineRule="auto"/>
      </w:pPr>
      <w:bookmarkStart w:id="86" w:name="_Ref477176379"/>
      <w:bookmarkStart w:id="87" w:name="_Toc86202642"/>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88" w:name="_Toc524103459"/>
      <w:bookmarkStart w:id="89" w:name="_Ref477452660"/>
      <w:r>
        <w:rPr>
          <w:rFonts w:hint="eastAsia" w:asciiTheme="minorHAnsi" w:hAnsiTheme="minorHAnsi" w:eastAsiaTheme="minorEastAsia" w:cstheme="minorBidi"/>
        </w:rPr>
        <w:t>制造厂家授权委托书</w:t>
      </w:r>
      <w:bookmarkEnd w:id="86"/>
      <w:bookmarkEnd w:id="88"/>
      <w:bookmarkEnd w:id="89"/>
    </w:p>
    <w:p>
      <w:pPr>
        <w:pStyle w:val="58"/>
      </w:pPr>
    </w:p>
    <w:p>
      <w:pPr>
        <w:pStyle w:val="58"/>
      </w:pPr>
      <w:r>
        <w:rPr>
          <w:rFonts w:hint="eastAsia" w:ascii="Times New Roman" w:hAnsi="Times New Roman" w:cs="Times New Roman"/>
        </w:rPr>
        <w:t>响应产品的相关证件，如：生产许可证、产品合格证、产品检验、检测报告、质量管理体系认证及国家或行业规定的许可证等相关证书（复印件须加盖公章）。</w:t>
      </w:r>
      <w:r>
        <w:br w:type="page"/>
      </w:r>
    </w:p>
    <w:bookmarkEnd w:id="87"/>
    <w:p>
      <w:pPr>
        <w:pStyle w:val="4"/>
        <w:numPr>
          <w:ilvl w:val="0"/>
          <w:numId w:val="39"/>
        </w:numPr>
        <w:spacing w:line="415" w:lineRule="auto"/>
        <w:rPr>
          <w:rFonts w:asciiTheme="minorHAnsi" w:hAnsiTheme="minorHAnsi" w:eastAsiaTheme="minorEastAsia" w:cstheme="minorBidi"/>
        </w:rPr>
      </w:pPr>
      <w:bookmarkStart w:id="90" w:name="_Ref477176388"/>
      <w:bookmarkStart w:id="91" w:name="_Toc86202648"/>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92" w:name="_Toc524103460"/>
      <w:bookmarkStart w:id="93" w:name="_Ref477452661"/>
      <w:r>
        <w:rPr>
          <w:rFonts w:hint="eastAsia" w:asciiTheme="minorHAnsi" w:hAnsiTheme="minorHAnsi" w:eastAsiaTheme="minorEastAsia" w:cstheme="minorBidi"/>
        </w:rPr>
        <w:t>商务条款偏离表</w:t>
      </w:r>
      <w:bookmarkEnd w:id="90"/>
      <w:bookmarkEnd w:id="91"/>
      <w:bookmarkEnd w:id="92"/>
      <w:bookmarkEnd w:id="93"/>
    </w:p>
    <w:p>
      <w:pPr>
        <w:pStyle w:val="58"/>
      </w:pPr>
      <w:bookmarkStart w:id="94" w:name="_Toc86202649"/>
      <w:r>
        <w:rPr>
          <w:rFonts w:hint="eastAsia"/>
        </w:rPr>
        <w:t>如投标人提交的投标文件商务条款及合同条款与招标文件的要求存在偏离，需逐项填写《商务条款偏离表》，完全满足招标文件要求的投标人需应答“完全满足招标文件的全部要求”。</w:t>
      </w:r>
    </w:p>
    <w:p>
      <w:pPr>
        <w:pStyle w:val="58"/>
      </w:pPr>
      <w:r>
        <mc:AlternateContent>
          <mc:Choice Requires="wps">
            <w:drawing>
              <wp:anchor distT="0" distB="0" distL="114300" distR="114300" simplePos="0" relativeHeight="251658240" behindDoc="1" locked="0" layoutInCell="1" allowOverlap="1">
                <wp:simplePos x="0" y="0"/>
                <wp:positionH relativeFrom="column">
                  <wp:posOffset>-24130</wp:posOffset>
                </wp:positionH>
                <wp:positionV relativeFrom="paragraph">
                  <wp:posOffset>31750</wp:posOffset>
                </wp:positionV>
                <wp:extent cx="6027420" cy="3253740"/>
                <wp:effectExtent l="0" t="0" r="11430" b="2286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027725" cy="32537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pt;margin-top:2.5pt;height:256.2pt;width:474.6pt;z-index:-251658240;mso-width-relative:page;mso-height-relative:page;" fillcolor="#FFFFFF" filled="t" stroked="t" coordsize="21600,21600" o:gfxdata="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O943DWAAAACAEAAA8AAAAAAAAAAQAgAAAAIgAAAGRycy9kb3ducmV2LnhtbFBLAQIUABQA&#10;AAAIAIdO4kBYoVSqKwIAAEkEAAAOAAAAAAAAAAEAIAAAACUBAABkcnMvZTJvRG9jLnhtbFBLBQYA&#10;AAAABgAGAFkBAADCBQAAAAA=&#10;">
                <v:fill on="t" focussize="0,0"/>
                <v:stroke weight="1pt" color="#000000" miterlimit="8" joinstyle="miter" dashstyle="dash"/>
                <v:imagedata o:title=""/>
                <o:lock v:ext="edit" aspectratio="f"/>
              </v:rect>
            </w:pict>
          </mc:Fallback>
        </mc:AlternateContent>
      </w:r>
      <w:r>
        <w:rPr>
          <w:rFonts w:hint="eastAsia"/>
        </w:rPr>
        <w:t>项目名称：</w:t>
      </w:r>
    </w:p>
    <w:p>
      <w:pPr>
        <w:pStyle w:val="58"/>
      </w:pPr>
      <w:r>
        <w:rPr>
          <w:rFonts w:hint="eastAsia"/>
        </w:rPr>
        <w:t>项目编号：</w:t>
      </w:r>
      <w:r>
        <w:t xml:space="preserve"> </w:t>
      </w:r>
    </w:p>
    <w:p>
      <w:pPr>
        <w:pStyle w:val="58"/>
      </w:pPr>
      <w:r>
        <w:rPr>
          <w:rFonts w:hint="eastAsia"/>
        </w:rPr>
        <w:t>投标人名称：</w:t>
      </w:r>
    </w:p>
    <w:p>
      <w:pPr>
        <w:pStyle w:val="58"/>
      </w:pPr>
      <w:r>
        <w:rPr>
          <w:rFonts w:hint="eastAsia"/>
        </w:rPr>
        <w:t>包号：（以包为单位分别填报，如无此项可不填写）</w:t>
      </w:r>
    </w:p>
    <w:p>
      <w:pPr>
        <w:pStyle w:val="58"/>
      </w:pPr>
    </w:p>
    <w:tbl>
      <w:tblPr>
        <w:tblStyle w:val="2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58"/>
            </w:pPr>
            <w:r>
              <w:rPr>
                <w:rFonts w:hint="eastAsia"/>
              </w:rPr>
              <w:t>序号</w:t>
            </w:r>
          </w:p>
        </w:tc>
        <w:tc>
          <w:tcPr>
            <w:tcW w:w="1800" w:type="dxa"/>
          </w:tcPr>
          <w:p>
            <w:pPr>
              <w:pStyle w:val="58"/>
            </w:pPr>
            <w:r>
              <w:rPr>
                <w:rFonts w:hint="eastAsia"/>
              </w:rPr>
              <w:t>招标文件条目号</w:t>
            </w:r>
          </w:p>
        </w:tc>
        <w:tc>
          <w:tcPr>
            <w:tcW w:w="2400" w:type="dxa"/>
          </w:tcPr>
          <w:p>
            <w:pPr>
              <w:pStyle w:val="58"/>
            </w:pPr>
            <w:r>
              <w:rPr>
                <w:rFonts w:hint="eastAsia"/>
              </w:rPr>
              <w:t>招标文件商务文件要求</w:t>
            </w:r>
          </w:p>
        </w:tc>
        <w:tc>
          <w:tcPr>
            <w:tcW w:w="2294" w:type="dxa"/>
          </w:tcPr>
          <w:p>
            <w:pPr>
              <w:pStyle w:val="58"/>
            </w:pPr>
            <w:r>
              <w:rPr>
                <w:rFonts w:hint="eastAsia"/>
              </w:rPr>
              <w:t>投标文件的应答</w:t>
            </w:r>
          </w:p>
        </w:tc>
        <w:tc>
          <w:tcPr>
            <w:tcW w:w="1801" w:type="dxa"/>
          </w:tcPr>
          <w:p>
            <w:pPr>
              <w:pStyle w:val="58"/>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58"/>
            </w:pPr>
          </w:p>
        </w:tc>
        <w:tc>
          <w:tcPr>
            <w:tcW w:w="1800" w:type="dxa"/>
          </w:tcPr>
          <w:p>
            <w:pPr>
              <w:pStyle w:val="58"/>
            </w:pPr>
          </w:p>
        </w:tc>
        <w:tc>
          <w:tcPr>
            <w:tcW w:w="2400" w:type="dxa"/>
          </w:tcPr>
          <w:p>
            <w:pPr>
              <w:pStyle w:val="58"/>
            </w:pPr>
          </w:p>
        </w:tc>
        <w:tc>
          <w:tcPr>
            <w:tcW w:w="2294" w:type="dxa"/>
          </w:tcPr>
          <w:p>
            <w:pPr>
              <w:pStyle w:val="58"/>
            </w:pPr>
            <w:r>
              <w:rPr>
                <w:rFonts w:hint="eastAsia"/>
              </w:rPr>
              <w:t>满足/不满足</w:t>
            </w:r>
          </w:p>
        </w:tc>
        <w:tc>
          <w:tcPr>
            <w:tcW w:w="1801" w:type="dxa"/>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58"/>
            </w:pPr>
          </w:p>
        </w:tc>
        <w:tc>
          <w:tcPr>
            <w:tcW w:w="1800" w:type="dxa"/>
          </w:tcPr>
          <w:p>
            <w:pPr>
              <w:pStyle w:val="58"/>
            </w:pPr>
          </w:p>
        </w:tc>
        <w:tc>
          <w:tcPr>
            <w:tcW w:w="2400" w:type="dxa"/>
          </w:tcPr>
          <w:p>
            <w:pPr>
              <w:pStyle w:val="58"/>
            </w:pPr>
          </w:p>
        </w:tc>
        <w:tc>
          <w:tcPr>
            <w:tcW w:w="2294" w:type="dxa"/>
          </w:tcPr>
          <w:p>
            <w:pPr>
              <w:pStyle w:val="58"/>
            </w:pPr>
          </w:p>
        </w:tc>
        <w:tc>
          <w:tcPr>
            <w:tcW w:w="1801" w:type="dxa"/>
          </w:tcPr>
          <w:p>
            <w:pPr>
              <w:pStyle w:val="58"/>
            </w:pPr>
          </w:p>
        </w:tc>
      </w:tr>
    </w:tbl>
    <w:p>
      <w:pPr>
        <w:pStyle w:val="58"/>
      </w:pPr>
    </w:p>
    <w:p>
      <w:pPr>
        <w:pStyle w:val="58"/>
      </w:pPr>
      <w:r>
        <w:rPr>
          <w:rFonts w:hint="eastAsia"/>
        </w:rPr>
        <w:t>投标人名称：                      （加盖公章）</w:t>
      </w:r>
    </w:p>
    <w:p>
      <w:pPr>
        <w:pStyle w:val="58"/>
      </w:pPr>
      <w:r>
        <w:rPr>
          <w:rFonts w:hint="eastAsia"/>
        </w:rPr>
        <w:t>投标人代表签字：</w:t>
      </w:r>
    </w:p>
    <w:p>
      <w:pPr>
        <w:pStyle w:val="58"/>
      </w:pPr>
      <w:r>
        <w:rPr>
          <w:rFonts w:hint="eastAsia"/>
        </w:rPr>
        <w:t>年  月  日</w:t>
      </w:r>
    </w:p>
    <w:p>
      <w:pPr>
        <w:pStyle w:val="58"/>
      </w:pPr>
    </w:p>
    <w:p>
      <w:pPr>
        <w:pStyle w:val="58"/>
      </w:pPr>
      <w:r>
        <w:rPr>
          <w:rFonts w:hint="eastAsia"/>
        </w:rPr>
        <w:t>注：本表格式可自制，若无商务偏离，请注明。</w:t>
      </w:r>
    </w:p>
    <w:p>
      <w:pPr>
        <w:widowControl/>
        <w:jc w:val="left"/>
        <w:rPr>
          <w:rFonts w:asciiTheme="minorHAnsi" w:hAnsiTheme="minorHAnsi" w:eastAsiaTheme="minorEastAsia" w:cstheme="minorBidi"/>
          <w:szCs w:val="22"/>
        </w:rPr>
      </w:pPr>
      <w:r>
        <w:br w:type="page"/>
      </w:r>
    </w:p>
    <w:p>
      <w:pPr>
        <w:pStyle w:val="4"/>
        <w:numPr>
          <w:ilvl w:val="0"/>
          <w:numId w:val="39"/>
        </w:numPr>
        <w:spacing w:line="415" w:lineRule="auto"/>
        <w:rPr>
          <w:rFonts w:asciiTheme="minorHAnsi" w:hAnsiTheme="minorHAnsi" w:eastAsiaTheme="minorEastAsia" w:cstheme="minorBidi"/>
        </w:rPr>
      </w:pPr>
      <w:bookmarkStart w:id="95" w:name="_Toc86202659"/>
      <w:bookmarkStart w:id="96" w:name="_Ref477176408"/>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bookmarkStart w:id="97" w:name="_Toc524103461"/>
      <w:bookmarkStart w:id="98" w:name="_Ref477452662"/>
      <w:r>
        <w:rPr>
          <w:rFonts w:hint="eastAsia" w:asciiTheme="minorHAnsi" w:hAnsiTheme="minorHAnsi" w:eastAsiaTheme="minorEastAsia" w:cstheme="minorBidi"/>
        </w:rPr>
        <w:t>投标人货物、服务项目偏离表</w:t>
      </w:r>
      <w:bookmarkEnd w:id="95"/>
      <w:bookmarkEnd w:id="96"/>
      <w:bookmarkEnd w:id="97"/>
      <w:bookmarkEnd w:id="98"/>
    </w:p>
    <w:p>
      <w:pPr>
        <w:pStyle w:val="58"/>
      </w:pPr>
      <w:r>
        <w:rPr>
          <w:rFonts w:hint="eastAsia"/>
        </w:rPr>
        <w:t>项目需求详见本招标文件第五部分“</w:t>
      </w:r>
      <w:r>
        <w:fldChar w:fldCharType="begin"/>
      </w:r>
      <w:r>
        <w:instrText xml:space="preserve"> </w:instrText>
      </w:r>
      <w:r>
        <w:rPr>
          <w:rFonts w:hint="eastAsia"/>
        </w:rPr>
        <w:instrText xml:space="preserve">REF diwubufen \h</w:instrText>
      </w:r>
      <w:r>
        <w:instrText xml:space="preserve"> </w:instrText>
      </w:r>
      <w:r>
        <w:fldChar w:fldCharType="separate"/>
      </w:r>
      <w:r>
        <w:rPr>
          <w:rFonts w:hint="eastAsia" w:ascii="Times New Roman" w:hAnsi="Times New Roman" w:eastAsiaTheme="majorEastAsia"/>
        </w:rPr>
        <w:t>招标货物、服务的清单、质量要求和供货</w:t>
      </w:r>
      <w:r>
        <w:fldChar w:fldCharType="end"/>
      </w:r>
      <w:r>
        <w:rPr>
          <w:rFonts w:hint="eastAsia"/>
        </w:rPr>
        <w:t>”。</w:t>
      </w:r>
    </w:p>
    <w:p>
      <w:pPr>
        <w:pStyle w:val="58"/>
      </w:pPr>
      <w:r>
        <w:rPr>
          <w:rFonts w:hint="eastAsia"/>
        </w:rPr>
        <w:t>如投标人提供的服务与招标文件的要求存在偏离，需逐项填写《服务项目偏离表》，完全满足招标文件要求的投标人需应答“完全满足招标文件的全部要求”无需再制作技术偏离表。</w:t>
      </w:r>
    </w:p>
    <w:p>
      <w:pPr>
        <w:pStyle w:val="58"/>
      </w:pPr>
    </w:p>
    <w:p>
      <w:pPr>
        <w:pStyle w:val="58"/>
      </w:pPr>
      <w:r>
        <w:rPr>
          <w:rFonts w:hint="eastAsia"/>
        </w:rPr>
        <w:t>项目名称：</w:t>
      </w:r>
    </w:p>
    <w:p>
      <w:pPr>
        <w:pStyle w:val="58"/>
      </w:pPr>
      <w:r>
        <w:rPr>
          <w:rFonts w:hint="eastAsia"/>
        </w:rPr>
        <w:t>项目编号：</w:t>
      </w:r>
    </w:p>
    <w:p>
      <w:pPr>
        <w:pStyle w:val="58"/>
      </w:pPr>
      <w:r>
        <w:rPr>
          <w:rFonts w:hint="eastAsia"/>
        </w:rPr>
        <w:t xml:space="preserve">投标人名称：  </w:t>
      </w:r>
    </w:p>
    <w:p>
      <w:pPr>
        <w:pStyle w:val="58"/>
      </w:pPr>
      <w:r>
        <w:rPr>
          <w:rFonts w:hint="eastAsia"/>
        </w:rPr>
        <w:t xml:space="preserve">包号：（以包为单位分别填报，如无此项可不填写）               </w:t>
      </w:r>
    </w:p>
    <w:tbl>
      <w:tblPr>
        <w:tblStyle w:val="21"/>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80"/>
        <w:gridCol w:w="3180"/>
        <w:gridCol w:w="186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58"/>
            </w:pPr>
            <w:r>
              <w:rPr>
                <w:rFonts w:hint="eastAsia"/>
              </w:rPr>
              <w:t>序号</w:t>
            </w:r>
          </w:p>
        </w:tc>
        <w:tc>
          <w:tcPr>
            <w:tcW w:w="1980" w:type="dxa"/>
          </w:tcPr>
          <w:p>
            <w:pPr>
              <w:pStyle w:val="58"/>
            </w:pPr>
            <w:r>
              <w:t>招标文件条目号</w:t>
            </w:r>
          </w:p>
        </w:tc>
        <w:tc>
          <w:tcPr>
            <w:tcW w:w="3180" w:type="dxa"/>
          </w:tcPr>
          <w:p>
            <w:pPr>
              <w:pStyle w:val="58"/>
            </w:pPr>
            <w:r>
              <mc:AlternateContent>
                <mc:Choice Requires="wps">
                  <w:drawing>
                    <wp:anchor distT="0" distB="0" distL="114300" distR="114300" simplePos="0" relativeHeight="251662336" behindDoc="1" locked="0" layoutInCell="1" allowOverlap="1">
                      <wp:simplePos x="0" y="0"/>
                      <wp:positionH relativeFrom="column">
                        <wp:posOffset>-1888490</wp:posOffset>
                      </wp:positionH>
                      <wp:positionV relativeFrom="paragraph">
                        <wp:posOffset>-1059180</wp:posOffset>
                      </wp:positionV>
                      <wp:extent cx="6027420" cy="3381375"/>
                      <wp:effectExtent l="0" t="0" r="11430" b="285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6027420" cy="3381554"/>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8.7pt;margin-top:-83.4pt;height:266.25pt;width:474.6pt;z-index:-251654144;mso-width-relative:page;mso-height-relative:page;" fillcolor="#FFFFFF" filled="t" stroked="t" coordsize="21600,21600" o:gfxdata="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MC2ydoAAAANAQAADwAAAAAAAAABACAAAAAiAAAAZHJzL2Rvd25yZXYueG1sUEsBAhQA&#10;FAAAAAgAh07iQE+mWOYpAgAASQQAAA4AAAAAAAAAAQAgAAAAKQEAAGRycy9lMm9Eb2MueG1sUEsF&#10;BgAAAAAGAAYAWQEAAMQFAAAAAA==&#10;">
                      <v:fill on="t" focussize="0,0"/>
                      <v:stroke weight="1pt" color="#000000" miterlimit="8" joinstyle="miter" dashstyle="dash"/>
                      <v:imagedata o:title=""/>
                      <o:lock v:ext="edit" aspectratio="f"/>
                    </v:rect>
                  </w:pict>
                </mc:Fallback>
              </mc:AlternateContent>
            </w:r>
            <w:r>
              <w:rPr>
                <w:rFonts w:hint="eastAsia"/>
              </w:rPr>
              <w:t>招标文件要求</w:t>
            </w:r>
          </w:p>
        </w:tc>
        <w:tc>
          <w:tcPr>
            <w:tcW w:w="1860" w:type="dxa"/>
          </w:tcPr>
          <w:p>
            <w:pPr>
              <w:pStyle w:val="58"/>
            </w:pPr>
            <w:r>
              <w:rPr>
                <w:rFonts w:hint="eastAsia"/>
              </w:rPr>
              <w:t>投标文件的应答</w:t>
            </w:r>
          </w:p>
        </w:tc>
        <w:tc>
          <w:tcPr>
            <w:tcW w:w="1421" w:type="dxa"/>
          </w:tcPr>
          <w:p>
            <w:pPr>
              <w:pStyle w:val="58"/>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58"/>
            </w:pPr>
          </w:p>
        </w:tc>
        <w:tc>
          <w:tcPr>
            <w:tcW w:w="1980" w:type="dxa"/>
          </w:tcPr>
          <w:p>
            <w:pPr>
              <w:pStyle w:val="58"/>
            </w:pPr>
          </w:p>
        </w:tc>
        <w:tc>
          <w:tcPr>
            <w:tcW w:w="3180" w:type="dxa"/>
          </w:tcPr>
          <w:p>
            <w:pPr>
              <w:pStyle w:val="58"/>
            </w:pPr>
          </w:p>
        </w:tc>
        <w:tc>
          <w:tcPr>
            <w:tcW w:w="1860" w:type="dxa"/>
          </w:tcPr>
          <w:p>
            <w:pPr>
              <w:pStyle w:val="58"/>
            </w:pPr>
            <w:r>
              <w:rPr>
                <w:rFonts w:hint="eastAsia"/>
              </w:rPr>
              <w:t>完全满足招标文件的全部要求</w:t>
            </w:r>
          </w:p>
        </w:tc>
        <w:tc>
          <w:tcPr>
            <w:tcW w:w="1421" w:type="dxa"/>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58"/>
            </w:pPr>
          </w:p>
        </w:tc>
        <w:tc>
          <w:tcPr>
            <w:tcW w:w="1980" w:type="dxa"/>
          </w:tcPr>
          <w:p>
            <w:pPr>
              <w:pStyle w:val="58"/>
            </w:pPr>
          </w:p>
        </w:tc>
        <w:tc>
          <w:tcPr>
            <w:tcW w:w="3180" w:type="dxa"/>
          </w:tcPr>
          <w:p>
            <w:pPr>
              <w:pStyle w:val="58"/>
            </w:pPr>
          </w:p>
        </w:tc>
        <w:tc>
          <w:tcPr>
            <w:tcW w:w="1860" w:type="dxa"/>
          </w:tcPr>
          <w:p>
            <w:pPr>
              <w:pStyle w:val="58"/>
            </w:pPr>
          </w:p>
        </w:tc>
        <w:tc>
          <w:tcPr>
            <w:tcW w:w="1421" w:type="dxa"/>
          </w:tcPr>
          <w:p>
            <w:pPr>
              <w:pStyle w:val="58"/>
            </w:pPr>
          </w:p>
        </w:tc>
      </w:tr>
    </w:tbl>
    <w:p>
      <w:pPr>
        <w:pStyle w:val="58"/>
      </w:pPr>
    </w:p>
    <w:p>
      <w:pPr>
        <w:pStyle w:val="58"/>
      </w:pPr>
      <w:r>
        <w:rPr>
          <w:rFonts w:hint="eastAsia"/>
        </w:rPr>
        <w:t>投标人名称：                      （加盖公章）</w:t>
      </w:r>
    </w:p>
    <w:p>
      <w:pPr>
        <w:pStyle w:val="58"/>
      </w:pPr>
      <w:r>
        <w:rPr>
          <w:rFonts w:hint="eastAsia"/>
        </w:rPr>
        <w:t>投标人代表签字：</w:t>
      </w:r>
    </w:p>
    <w:p>
      <w:pPr>
        <w:pStyle w:val="58"/>
      </w:pPr>
      <w:r>
        <w:rPr>
          <w:rFonts w:hint="eastAsia"/>
        </w:rPr>
        <w:t>年  月  日</w:t>
      </w:r>
    </w:p>
    <w:p>
      <w:pPr>
        <w:pStyle w:val="58"/>
      </w:pPr>
    </w:p>
    <w:p>
      <w:pPr>
        <w:pStyle w:val="58"/>
      </w:pPr>
    </w:p>
    <w:bookmarkEnd w:id="94"/>
    <w:p>
      <w:pPr>
        <w:pStyle w:val="4"/>
        <w:spacing w:line="415" w:lineRule="auto"/>
        <w:rPr>
          <w:rFonts w:asciiTheme="minorHAnsi" w:hAnsiTheme="minorHAnsi" w:eastAsiaTheme="minorEastAsia" w:cstheme="minorBidi"/>
        </w:rPr>
        <w:sectPr>
          <w:type w:val="continuous"/>
          <w:pgSz w:w="11906" w:h="16838"/>
          <w:pgMar w:top="1134" w:right="1134" w:bottom="1021" w:left="1418" w:header="851" w:footer="851" w:gutter="0"/>
          <w:cols w:space="720" w:num="1"/>
          <w:docGrid w:type="linesAndChars" w:linePitch="312" w:charSpace="0"/>
        </w:sectPr>
      </w:pPr>
    </w:p>
    <w:p>
      <w:pPr>
        <w:pStyle w:val="4"/>
        <w:numPr>
          <w:ilvl w:val="0"/>
          <w:numId w:val="39"/>
        </w:numPr>
        <w:spacing w:line="415" w:lineRule="auto"/>
        <w:rPr>
          <w:rFonts w:asciiTheme="minorHAnsi" w:hAnsiTheme="minorHAnsi" w:eastAsiaTheme="minorEastAsia" w:cstheme="minorBidi"/>
        </w:rPr>
      </w:pPr>
      <w:bookmarkStart w:id="99" w:name="_Toc86202651"/>
      <w:bookmarkStart w:id="100" w:name="_Toc524103462"/>
      <w:bookmarkStart w:id="101" w:name="_Ref477176421"/>
      <w:r>
        <mc:AlternateContent>
          <mc:Choice Requires="wps">
            <w:drawing>
              <wp:anchor distT="0" distB="0" distL="114300" distR="114300" simplePos="0" relativeHeight="251660288" behindDoc="1" locked="0" layoutInCell="1" allowOverlap="1">
                <wp:simplePos x="0" y="0"/>
                <wp:positionH relativeFrom="column">
                  <wp:posOffset>6350</wp:posOffset>
                </wp:positionH>
                <wp:positionV relativeFrom="paragraph">
                  <wp:posOffset>461010</wp:posOffset>
                </wp:positionV>
                <wp:extent cx="5943600" cy="4716780"/>
                <wp:effectExtent l="0" t="0" r="19050" b="2667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943600" cy="471678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5pt;margin-top:36.3pt;height:371.4pt;width:468pt;z-index:-251656192;mso-width-relative:page;mso-height-relative:page;" fillcolor="#FFFFFF" filled="t" stroked="t" coordsize="21600,21600" o:gfxdata="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wGPOnWAAAACAEAAA8AAAAAAAAAAQAgAAAAIgAAAGRycy9kb3ducmV2LnhtbFBLAQIUABQAAAAI&#10;AIdO4kAgbvlpKAIAAEkEAAAOAAAAAAAAAAEAIAAAACUBAABkcnMvZTJvRG9jLnhtbFBLBQYAAAAA&#10;BgAGAFkBAAC/BQAAAAA=&#10;">
                <v:fill on="t" focussize="0,0"/>
                <v:stroke weight="1pt" color="#000000" miterlimit="8" joinstyle="miter" dashstyle="dash"/>
                <v:imagedata o:title=""/>
                <o:lock v:ext="edit" aspectratio="f"/>
              </v:rect>
            </w:pict>
          </mc:Fallback>
        </mc:AlternateContent>
      </w:r>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w:t>
      </w:r>
      <w:r>
        <w:rPr>
          <w:rFonts w:hint="eastAsia" w:asciiTheme="minorHAnsi" w:hAnsiTheme="minorHAnsi" w:eastAsiaTheme="minorEastAsia" w:cstheme="minorBidi"/>
        </w:rPr>
        <w:t>开标一览</w:t>
      </w:r>
      <w:bookmarkEnd w:id="99"/>
      <w:r>
        <w:rPr>
          <w:rFonts w:hint="eastAsia" w:asciiTheme="minorHAnsi" w:hAnsiTheme="minorHAnsi" w:eastAsiaTheme="minorEastAsia" w:cstheme="minorBidi"/>
        </w:rPr>
        <w:t>表</w:t>
      </w:r>
      <w:bookmarkEnd w:id="100"/>
      <w:bookmarkEnd w:id="101"/>
    </w:p>
    <w:p>
      <w:pPr>
        <w:pStyle w:val="58"/>
      </w:pPr>
      <w:r>
        <w:rPr>
          <w:rFonts w:hint="eastAsia"/>
        </w:rPr>
        <w:t>项目名称：</w:t>
      </w:r>
      <w:r>
        <w:t xml:space="preserve"> </w:t>
      </w:r>
    </w:p>
    <w:p>
      <w:pPr>
        <w:pStyle w:val="58"/>
      </w:pPr>
      <w:r>
        <w:rPr>
          <w:rFonts w:hint="eastAsia"/>
        </w:rPr>
        <w:t xml:space="preserve">项目编号：   </w:t>
      </w:r>
    </w:p>
    <w:p>
      <w:pPr>
        <w:pStyle w:val="58"/>
      </w:pPr>
      <w:r>
        <w:rPr>
          <w:rFonts w:hint="eastAsia"/>
        </w:rPr>
        <w:t xml:space="preserve">投标人名称：                              </w:t>
      </w:r>
    </w:p>
    <w:p>
      <w:pPr>
        <w:pStyle w:val="58"/>
      </w:pPr>
      <w:r>
        <w:rPr>
          <w:rFonts w:hint="eastAsia"/>
        </w:rPr>
        <w:t xml:space="preserve">包号：（以包为单位分别填报，如无此项可不填写）         </w:t>
      </w:r>
    </w:p>
    <w:p>
      <w:pPr>
        <w:pStyle w:val="58"/>
      </w:pPr>
      <w:r>
        <w:rPr>
          <w:rFonts w:hint="eastAsia"/>
        </w:rPr>
        <w:t>价格单位：人民币元</w:t>
      </w:r>
    </w:p>
    <w:tbl>
      <w:tblPr>
        <w:tblStyle w:val="21"/>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58"/>
              <w:ind w:firstLine="0" w:firstLineChars="0"/>
            </w:pPr>
            <w:r>
              <w:rPr>
                <w:rFonts w:hint="eastAsia"/>
              </w:rP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交货期</w:t>
            </w:r>
          </w:p>
        </w:tc>
        <w:tc>
          <w:tcPr>
            <w:tcW w:w="1133"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交货地点</w:t>
            </w:r>
          </w:p>
        </w:tc>
        <w:tc>
          <w:tcPr>
            <w:tcW w:w="1562" w:type="dxa"/>
            <w:tcBorders>
              <w:top w:val="single" w:color="auto" w:sz="12" w:space="0"/>
              <w:left w:val="single" w:color="auto" w:sz="4" w:space="0"/>
              <w:bottom w:val="single" w:color="auto" w:sz="4" w:space="0"/>
              <w:right w:val="single" w:color="auto" w:sz="4" w:space="0"/>
            </w:tcBorders>
            <w:vAlign w:val="center"/>
          </w:tcPr>
          <w:p>
            <w:pPr>
              <w:pStyle w:val="58"/>
              <w:ind w:firstLine="0" w:firstLineChars="0"/>
            </w:pPr>
            <w:r>
              <w:rPr>
                <w:rFonts w:hint="eastAsia"/>
              </w:rP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58"/>
              <w:ind w:firstLine="0" w:firstLineChars="0"/>
            </w:pPr>
          </w:p>
        </w:tc>
        <w:tc>
          <w:tcPr>
            <w:tcW w:w="1112"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c>
          <w:tcPr>
            <w:tcW w:w="708"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c>
          <w:tcPr>
            <w:tcW w:w="1562" w:type="dxa"/>
            <w:tcBorders>
              <w:top w:val="single" w:color="auto" w:sz="4" w:space="0"/>
              <w:left w:val="single" w:color="auto" w:sz="4" w:space="0"/>
              <w:bottom w:val="single" w:color="auto" w:sz="4" w:space="0"/>
              <w:right w:val="single" w:color="auto" w:sz="4" w:space="0"/>
            </w:tcBorders>
            <w:vAlign w:val="center"/>
          </w:tcPr>
          <w:p>
            <w:pPr>
              <w:pStyle w:val="58"/>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58"/>
              <w:ind w:firstLine="0" w:firstLineChars="0"/>
            </w:pPr>
            <w:r>
              <w:rPr>
                <w:rFonts w:hint="eastAsia"/>
              </w:rP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58"/>
              <w:ind w:firstLine="0" w:firstLineChars="0"/>
            </w:pPr>
            <w:r>
              <w:t>小写</w:t>
            </w:r>
            <w:r>
              <w:rPr>
                <w:rFonts w:hint="eastAsia"/>
              </w:rPr>
              <w:t>：        元</w:t>
            </w:r>
          </w:p>
        </w:tc>
        <w:tc>
          <w:tcPr>
            <w:tcW w:w="5708" w:type="dxa"/>
            <w:gridSpan w:val="6"/>
            <w:tcBorders>
              <w:top w:val="single" w:color="auto" w:sz="4" w:space="0"/>
              <w:left w:val="single" w:color="auto" w:sz="4" w:space="0"/>
              <w:bottom w:val="single" w:color="auto" w:sz="4" w:space="0"/>
              <w:right w:val="single" w:color="auto" w:sz="4" w:space="0"/>
            </w:tcBorders>
            <w:vAlign w:val="center"/>
          </w:tcPr>
          <w:p>
            <w:pPr>
              <w:pStyle w:val="58"/>
              <w:ind w:firstLine="0" w:firstLineChars="0"/>
            </w:pPr>
            <w:r>
              <w:t>大写</w:t>
            </w:r>
            <w:r>
              <w:rPr>
                <w:rFonts w:hint="eastAsia"/>
              </w:rPr>
              <w:t xml:space="preserve">：                  </w:t>
            </w:r>
            <w:r>
              <w:t xml:space="preserve">                        元</w:t>
            </w:r>
          </w:p>
        </w:tc>
      </w:tr>
    </w:tbl>
    <w:p>
      <w:pPr>
        <w:pStyle w:val="58"/>
      </w:pPr>
    </w:p>
    <w:p>
      <w:pPr>
        <w:pStyle w:val="58"/>
      </w:pPr>
      <w:r>
        <w:rPr>
          <w:rFonts w:hint="eastAsia"/>
        </w:rPr>
        <w:t>投标</w:t>
      </w:r>
      <w:r>
        <w:t xml:space="preserve">人名称（盖章）：                       </w:t>
      </w:r>
    </w:p>
    <w:p>
      <w:pPr>
        <w:pStyle w:val="58"/>
      </w:pPr>
      <w:r>
        <w:t>投标人授权代表（签字）</w:t>
      </w:r>
      <w:r>
        <w:rPr>
          <w:rFonts w:hint="eastAsia"/>
        </w:rPr>
        <w:t>：</w:t>
      </w:r>
    </w:p>
    <w:p>
      <w:pPr>
        <w:pStyle w:val="58"/>
      </w:pPr>
      <w:r>
        <w:t>注</w:t>
      </w:r>
      <w:r>
        <w:rPr>
          <w:rFonts w:hint="eastAsia"/>
        </w:rPr>
        <w:t>：</w:t>
      </w:r>
      <w:r>
        <w:t>1、此表除装订在资格文件中外</w:t>
      </w:r>
      <w:r>
        <w:rPr>
          <w:rFonts w:hint="eastAsia"/>
        </w:rPr>
        <w:t>，</w:t>
      </w:r>
      <w:r>
        <w:t>还应按投标人须知的规定密封标记并单独递交。</w:t>
      </w:r>
    </w:p>
    <w:p>
      <w:pPr>
        <w:pStyle w:val="58"/>
      </w:pPr>
      <w:r>
        <w:rPr>
          <w:rFonts w:hint="eastAsia"/>
        </w:rPr>
        <w:t>2、各项货物详细技术性能应另页描述。</w:t>
      </w:r>
    </w:p>
    <w:p>
      <w:pPr>
        <w:pStyle w:val="58"/>
      </w:pPr>
      <w:r>
        <w:rPr>
          <w:rFonts w:hint="eastAsia"/>
        </w:rPr>
        <w:t>3、除可填报项目外，对本表的任何实质性修改将被视为非实质性响应投标，从而导致该投标被拒绝。</w:t>
      </w:r>
    </w:p>
    <w:p/>
    <w:p/>
    <w:p/>
    <w:p/>
    <w:p/>
    <w:p/>
    <w:p/>
    <w:p/>
    <w:p/>
    <w:p/>
    <w:p/>
    <w:p/>
    <w:p>
      <w:pPr>
        <w:tabs>
          <w:tab w:val="left" w:pos="6930"/>
        </w:tabs>
      </w:pPr>
      <w:r>
        <w:tab/>
      </w:r>
    </w:p>
    <w:p/>
    <w:p/>
    <w:p>
      <w:pPr>
        <w:sectPr>
          <w:pgSz w:w="11906" w:h="16838"/>
          <w:pgMar w:top="1134" w:right="1134" w:bottom="1021" w:left="1418" w:header="851" w:footer="851" w:gutter="0"/>
          <w:cols w:space="720" w:num="1"/>
          <w:docGrid w:type="linesAndChars" w:linePitch="312" w:charSpace="0"/>
        </w:sectPr>
      </w:pPr>
    </w:p>
    <w:p>
      <w:pPr>
        <w:pStyle w:val="4"/>
        <w:numPr>
          <w:ilvl w:val="0"/>
          <w:numId w:val="39"/>
        </w:numPr>
        <w:spacing w:line="415" w:lineRule="auto"/>
        <w:rPr>
          <w:rFonts w:asciiTheme="minorHAnsi" w:hAnsiTheme="minorHAnsi" w:eastAsiaTheme="minorEastAsia" w:cstheme="minorBidi"/>
        </w:rPr>
      </w:pPr>
      <w:bookmarkStart w:id="102" w:name="_Ref477176437"/>
      <w:bookmarkStart w:id="103" w:name="_Toc524103463"/>
      <w:r>
        <w:rPr>
          <w:rFonts w:asciiTheme="minorHAnsi" w:hAnsiTheme="minorHAnsi" w:eastAsiaTheme="minorEastAsia" w:cstheme="minorBidi"/>
        </w:rPr>
        <mc:AlternateContent>
          <mc:Choice Requires="wps">
            <w:drawing>
              <wp:anchor distT="0" distB="0" distL="114300" distR="114300" simplePos="0" relativeHeight="251666432" behindDoc="1" locked="0" layoutInCell="1" allowOverlap="1">
                <wp:simplePos x="0" y="0"/>
                <wp:positionH relativeFrom="column">
                  <wp:posOffset>-3175</wp:posOffset>
                </wp:positionH>
                <wp:positionV relativeFrom="paragraph">
                  <wp:posOffset>676910</wp:posOffset>
                </wp:positionV>
                <wp:extent cx="5943600" cy="5106670"/>
                <wp:effectExtent l="0" t="0" r="19050" b="1778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5943600" cy="5106838"/>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25pt;margin-top:53.3pt;height:402.1pt;width:468pt;z-index:-251650048;mso-width-relative:page;mso-height-relative:page;" fillcolor="#FFFFFF" filled="t" stroked="t" coordsize="21600,21600" o:gfxdata="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G&#10;nO2a1gAAAAkBAAAPAAAAAAAAAAEAIAAAACIAAABkcnMvZG93bnJldi54bWxQSwECFAAUAAAACACH&#10;TuJAeCumyiYCAABJBAAADgAAAAAAAAABACAAAAAlAQAAZHJzL2Uyb0RvYy54bWxQSwUGAAAAAAYA&#10;BgBZAQAAvQUAAAAA&#10;">
                <v:fill on="t" focussize="0,0"/>
                <v:stroke weight="1pt" color="#000000" miterlimit="8" joinstyle="miter" dashstyle="dash"/>
                <v:imagedata o:title=""/>
                <o:lock v:ext="edit" aspectratio="f"/>
              </v:rect>
            </w:pict>
          </mc:Fallback>
        </mc:AlternateContent>
      </w:r>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货物</w:t>
      </w:r>
      <w:r>
        <w:rPr>
          <w:rFonts w:hint="eastAsia" w:asciiTheme="minorHAnsi" w:hAnsiTheme="minorHAnsi" w:eastAsiaTheme="minorEastAsia" w:cstheme="minorBidi"/>
        </w:rPr>
        <w:t>、服务分项报价表</w:t>
      </w:r>
      <w:bookmarkEnd w:id="102"/>
      <w:bookmarkEnd w:id="103"/>
    </w:p>
    <w:p>
      <w:pPr>
        <w:pStyle w:val="58"/>
      </w:pPr>
    </w:p>
    <w:p>
      <w:pPr>
        <w:pStyle w:val="58"/>
      </w:pPr>
      <w:r>
        <w:rPr>
          <w:rFonts w:hint="eastAsia"/>
        </w:rPr>
        <w:t>项目名称：</w:t>
      </w:r>
    </w:p>
    <w:p>
      <w:pPr>
        <w:pStyle w:val="58"/>
      </w:pPr>
      <w:r>
        <w:rPr>
          <w:rFonts w:hint="eastAsia"/>
        </w:rPr>
        <w:t xml:space="preserve">项目编号：                  </w:t>
      </w:r>
    </w:p>
    <w:p>
      <w:pPr>
        <w:pStyle w:val="58"/>
      </w:pPr>
      <w:r>
        <w:rPr>
          <w:rFonts w:hint="eastAsia"/>
        </w:rPr>
        <w:t xml:space="preserve">投标人名称：                              </w:t>
      </w:r>
    </w:p>
    <w:p>
      <w:pPr>
        <w:pStyle w:val="58"/>
      </w:pPr>
      <w:r>
        <w:rPr>
          <w:rFonts w:hint="eastAsia"/>
        </w:rPr>
        <w:t xml:space="preserve">包号：（以包为单位分别填报，如无此项可不填写）         </w:t>
      </w:r>
    </w:p>
    <w:p>
      <w:pPr>
        <w:pStyle w:val="58"/>
      </w:pPr>
      <w:r>
        <w:t>（</w:t>
      </w:r>
      <w:r>
        <w:rPr>
          <w:rFonts w:hint="eastAsia"/>
        </w:rPr>
        <w:t>价格单位</w:t>
      </w:r>
      <w:r>
        <w:t>:</w:t>
      </w:r>
      <w:r>
        <w:rPr>
          <w:rFonts w:hint="eastAsia"/>
        </w:rPr>
        <w:t>人民币元</w:t>
      </w:r>
      <w:r>
        <w:t>）</w:t>
      </w:r>
    </w:p>
    <w:p>
      <w:pPr>
        <w:pStyle w:val="58"/>
      </w:pPr>
    </w:p>
    <w:tbl>
      <w:tblPr>
        <w:tblStyle w:val="21"/>
        <w:tblW w:w="8364" w:type="dxa"/>
        <w:jc w:val="center"/>
        <w:tblInd w:w="0" w:type="dxa"/>
        <w:tblLayout w:type="fixed"/>
        <w:tblCellMar>
          <w:top w:w="0" w:type="dxa"/>
          <w:left w:w="108" w:type="dxa"/>
          <w:bottom w:w="0" w:type="dxa"/>
          <w:right w:w="108" w:type="dxa"/>
        </w:tblCellMar>
      </w:tblPr>
      <w:tblGrid>
        <w:gridCol w:w="884"/>
        <w:gridCol w:w="2640"/>
        <w:gridCol w:w="1875"/>
        <w:gridCol w:w="2965"/>
      </w:tblGrid>
      <w:tr>
        <w:tblPrEx>
          <w:tblLayout w:type="fixed"/>
          <w:tblCellMar>
            <w:top w:w="0" w:type="dxa"/>
            <w:left w:w="108" w:type="dxa"/>
            <w:bottom w:w="0" w:type="dxa"/>
            <w:right w:w="108" w:type="dxa"/>
          </w:tblCellMar>
        </w:tblPrEx>
        <w:trPr>
          <w:trHeight w:val="211"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序号</w:t>
            </w:r>
          </w:p>
        </w:tc>
        <w:tc>
          <w:tcPr>
            <w:tcW w:w="2640"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分项名称</w:t>
            </w:r>
          </w:p>
        </w:tc>
        <w:tc>
          <w:tcPr>
            <w:tcW w:w="1875"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金  额</w:t>
            </w:r>
          </w:p>
        </w:tc>
        <w:tc>
          <w:tcPr>
            <w:tcW w:w="2965"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备  注</w:t>
            </w:r>
          </w:p>
        </w:tc>
      </w:tr>
      <w:tr>
        <w:tblPrEx>
          <w:tblLayout w:type="fixed"/>
          <w:tblCellMar>
            <w:top w:w="0" w:type="dxa"/>
            <w:left w:w="108" w:type="dxa"/>
            <w:bottom w:w="0" w:type="dxa"/>
            <w:right w:w="108" w:type="dxa"/>
          </w:tblCellMar>
        </w:tblPrEx>
        <w:trPr>
          <w:trHeight w:val="20"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58"/>
            </w:pPr>
            <w:r>
              <w:rPr>
                <w:rFonts w:hint="eastAsia"/>
              </w:rPr>
              <w:t>1</w:t>
            </w:r>
          </w:p>
        </w:tc>
        <w:tc>
          <w:tcPr>
            <w:tcW w:w="2640" w:type="dxa"/>
            <w:tcBorders>
              <w:top w:val="single" w:color="auto" w:sz="4" w:space="0"/>
              <w:left w:val="nil"/>
              <w:bottom w:val="single" w:color="auto" w:sz="4" w:space="0"/>
              <w:right w:val="single" w:color="auto" w:sz="4" w:space="0"/>
            </w:tcBorders>
            <w:vAlign w:val="center"/>
          </w:tcPr>
          <w:p>
            <w:pPr>
              <w:pStyle w:val="58"/>
            </w:pPr>
          </w:p>
        </w:tc>
        <w:tc>
          <w:tcPr>
            <w:tcW w:w="1875" w:type="dxa"/>
            <w:tcBorders>
              <w:top w:val="single" w:color="auto" w:sz="4" w:space="0"/>
              <w:left w:val="nil"/>
              <w:bottom w:val="single" w:color="auto" w:sz="4" w:space="0"/>
              <w:right w:val="single" w:color="auto" w:sz="4" w:space="0"/>
            </w:tcBorders>
            <w:vAlign w:val="center"/>
          </w:tcPr>
          <w:p>
            <w:pPr>
              <w:pStyle w:val="58"/>
            </w:pPr>
          </w:p>
        </w:tc>
        <w:tc>
          <w:tcPr>
            <w:tcW w:w="2965" w:type="dxa"/>
            <w:tcBorders>
              <w:top w:val="single" w:color="auto" w:sz="4" w:space="0"/>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2</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37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3</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4</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5</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6</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7</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8</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9</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58"/>
            </w:pPr>
            <w:r>
              <w:rPr>
                <w:rFonts w:hint="eastAsia"/>
              </w:rPr>
              <w:t>10</w:t>
            </w:r>
          </w:p>
        </w:tc>
        <w:tc>
          <w:tcPr>
            <w:tcW w:w="2640" w:type="dxa"/>
            <w:tcBorders>
              <w:top w:val="nil"/>
              <w:left w:val="nil"/>
              <w:bottom w:val="single" w:color="auto" w:sz="4" w:space="0"/>
              <w:right w:val="single" w:color="auto" w:sz="4" w:space="0"/>
            </w:tcBorders>
            <w:vAlign w:val="center"/>
          </w:tcPr>
          <w:p>
            <w:pPr>
              <w:pStyle w:val="58"/>
            </w:pPr>
          </w:p>
        </w:tc>
        <w:tc>
          <w:tcPr>
            <w:tcW w:w="1875" w:type="dxa"/>
            <w:tcBorders>
              <w:top w:val="nil"/>
              <w:left w:val="nil"/>
              <w:bottom w:val="single" w:color="auto" w:sz="4" w:space="0"/>
              <w:right w:val="single" w:color="auto" w:sz="4" w:space="0"/>
            </w:tcBorders>
            <w:vAlign w:val="center"/>
          </w:tcPr>
          <w:p>
            <w:pPr>
              <w:pStyle w:val="58"/>
            </w:pPr>
          </w:p>
        </w:tc>
        <w:tc>
          <w:tcPr>
            <w:tcW w:w="2965" w:type="dxa"/>
            <w:tcBorders>
              <w:top w:val="nil"/>
              <w:left w:val="nil"/>
              <w:bottom w:val="single" w:color="auto" w:sz="4" w:space="0"/>
              <w:right w:val="single" w:color="auto" w:sz="4" w:space="0"/>
            </w:tcBorders>
            <w:vAlign w:val="center"/>
          </w:tcPr>
          <w:p>
            <w:pPr>
              <w:pStyle w:val="58"/>
            </w:pPr>
          </w:p>
        </w:tc>
      </w:tr>
    </w:tbl>
    <w:p>
      <w:pPr>
        <w:pStyle w:val="58"/>
      </w:pPr>
    </w:p>
    <w:p>
      <w:pPr>
        <w:widowControl/>
        <w:jc w:val="left"/>
        <w:rPr>
          <w:rFonts w:asciiTheme="minorHAnsi" w:hAnsiTheme="minorHAnsi" w:eastAsiaTheme="minorEastAsia" w:cstheme="minorBidi"/>
          <w:szCs w:val="22"/>
        </w:rPr>
      </w:pPr>
      <w:r>
        <w:br w:type="page"/>
      </w:r>
    </w:p>
    <w:p>
      <w:pPr>
        <w:pStyle w:val="4"/>
        <w:numPr>
          <w:ilvl w:val="0"/>
          <w:numId w:val="39"/>
        </w:numPr>
        <w:spacing w:line="415" w:lineRule="auto"/>
        <w:rPr>
          <w:rFonts w:asciiTheme="minorHAnsi" w:hAnsiTheme="minorHAnsi" w:eastAsiaTheme="minorEastAsia" w:cstheme="minorBidi"/>
        </w:rPr>
      </w:pPr>
      <w:bookmarkStart w:id="104" w:name="_Toc524103464"/>
      <w:bookmarkStart w:id="105" w:name="_Ref524102681"/>
      <w:r>
        <w:rPr>
          <w:rFonts w:hint="eastAsia" w:asciiTheme="minorHAnsi" w:hAnsiTheme="minorHAnsi" w:eastAsiaTheme="minorEastAsia" w:cstheme="minorBidi"/>
        </w:rPr>
        <w:t xml:space="preserve"> </w:t>
      </w:r>
      <w:r>
        <w:rPr>
          <w:rFonts w:asciiTheme="minorHAnsi" w:hAnsiTheme="minorHAnsi" w:eastAsiaTheme="minorEastAsia" w:cstheme="minorBidi"/>
        </w:rPr>
        <w:t xml:space="preserve"> 投标保证金提交承诺书</w:t>
      </w:r>
      <w:bookmarkEnd w:id="104"/>
      <w:bookmarkEnd w:id="105"/>
    </w:p>
    <w:p>
      <w:pPr>
        <w:pStyle w:val="58"/>
      </w:pPr>
      <w:r>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-635</wp:posOffset>
                </wp:positionV>
                <wp:extent cx="5943600" cy="7620000"/>
                <wp:effectExtent l="0" t="0" r="19050" b="1905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943600" cy="762000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1pt;margin-top:-0.05pt;height:600pt;width:468pt;z-index:-251648000;mso-width-relative:page;mso-height-relative:page;" fillcolor="#FFFFFF" filled="t" stroked="t" coordsize="21600,21600" o:gfxdata="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Ha&#10;r9rWAAAACAEAAA8AAAAAAAAAAQAgAAAAIgAAAGRycy9kb3ducmV2LnhtbFBLAQIUABQAAAAIAIdO&#10;4kBltgpeJQIAAEkEAAAOAAAAAAAAAAEAIAAAACUBAABkcnMvZTJvRG9jLnhtbFBLBQYAAAAABgAG&#10;AFkBAAC8BQAAAAA=&#10;">
                <v:fill on="t" focussize="0,0"/>
                <v:stroke weight="1pt" color="#000000" miterlimit="8" joinstyle="miter" dashstyle="dash"/>
                <v:imagedata o:title=""/>
                <o:lock v:ext="edit" aspectratio="f"/>
              </v:rect>
            </w:pict>
          </mc:Fallback>
        </mc:AlternateContent>
      </w:r>
      <w:r>
        <w:t>中央财经大学</w:t>
      </w:r>
    </w:p>
    <w:p>
      <w:pPr>
        <w:pStyle w:val="58"/>
      </w:pPr>
      <w:r>
        <w:t>我司承诺已按照文件要求将该项目投标保证金汇款至指定账户</w:t>
      </w:r>
      <w:r>
        <w:rPr>
          <w:rFonts w:hint="eastAsia"/>
        </w:rPr>
        <w:t>，</w:t>
      </w:r>
      <w:r>
        <w:t>银行汇款凭据如图所示</w:t>
      </w:r>
      <w:r>
        <w:rPr>
          <w:rFonts w:hint="eastAsia"/>
        </w:rPr>
        <w:t>。</w:t>
      </w:r>
      <w:r>
        <w:t>我司承诺知晓采购文件所述关于投标保证金退款相关事宜的规定</w:t>
      </w:r>
      <w:r>
        <w:rPr>
          <w:rFonts w:hint="eastAsia"/>
        </w:rPr>
        <w:t>，且</w:t>
      </w:r>
      <w:r>
        <w:t>投标保证金退款事宜可与本承诺书所述联系人进行联系</w:t>
      </w:r>
      <w:r>
        <w:rPr>
          <w:rFonts w:hint="eastAsia"/>
        </w:rPr>
        <w:t>。</w:t>
      </w:r>
    </w:p>
    <w:p>
      <w:pPr>
        <w:pStyle w:val="58"/>
      </w:pPr>
      <w:r>
        <mc:AlternateContent>
          <mc:Choice Requires="wps">
            <w:drawing>
              <wp:anchor distT="0" distB="0" distL="114300" distR="114300" simplePos="0" relativeHeight="251669504" behindDoc="0" locked="0" layoutInCell="1" allowOverlap="1">
                <wp:simplePos x="0" y="0"/>
                <wp:positionH relativeFrom="column">
                  <wp:posOffset>295910</wp:posOffset>
                </wp:positionH>
                <wp:positionV relativeFrom="paragraph">
                  <wp:posOffset>85090</wp:posOffset>
                </wp:positionV>
                <wp:extent cx="5135880" cy="3093720"/>
                <wp:effectExtent l="0" t="0" r="26670" b="11430"/>
                <wp:wrapNone/>
                <wp:docPr id="2" name="矩形 2"/>
                <wp:cNvGraphicFramePr/>
                <a:graphic xmlns:a="http://schemas.openxmlformats.org/drawingml/2006/main">
                  <a:graphicData uri="http://schemas.microsoft.com/office/word/2010/wordprocessingShape">
                    <wps:wsp>
                      <wps:cNvSpPr/>
                      <wps:spPr>
                        <a:xfrm>
                          <a:off x="0" y="0"/>
                          <a:ext cx="5135880" cy="309372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52"/>
                              </w:rPr>
                            </w:pPr>
                            <w:r>
                              <w:rPr>
                                <w:rFonts w:hint="eastAsia"/>
                                <w:sz w:val="52"/>
                              </w:rPr>
                              <w:t>保证金银行</w:t>
                            </w:r>
                            <w:r>
                              <w:rPr>
                                <w:sz w:val="52"/>
                              </w:rPr>
                              <w:t>汇款</w:t>
                            </w:r>
                            <w:r>
                              <w:rPr>
                                <w:rFonts w:hint="eastAsia"/>
                                <w:sz w:val="52"/>
                              </w:rPr>
                              <w:t>凭证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3pt;margin-top:6.7pt;height:243.6pt;width:404.4pt;z-index:251669504;v-text-anchor:middle;mso-width-relative:page;mso-height-relative:page;" fillcolor="#FFFFFF [3201]" filled="t" stroked="t" coordsize="21600,21600" o:gfxdata="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g1Y+91wAAAAkBAAAPAAAA&#10;AAAAAAEAIAAAACIAAABkcnMvZG93bnJldi54bWxQSwECFAAUAAAACACHTuJAX+7tSk8CAACbBAAA&#10;DgAAAAAAAAABACAAAAAmAQAAZHJzL2Uyb0RvYy54bWxQSwUGAAAAAAYABgBZAQAA5wUAAAAA&#10;">
                <v:fill on="t" focussize="0,0"/>
                <v:stroke weight="2pt" color="#000000 [3200]" joinstyle="round"/>
                <v:imagedata o:title=""/>
                <o:lock v:ext="edit" aspectratio="f"/>
                <v:textbox>
                  <w:txbxContent>
                    <w:p>
                      <w:pPr>
                        <w:jc w:val="center"/>
                        <w:rPr>
                          <w:sz w:val="52"/>
                        </w:rPr>
                      </w:pPr>
                      <w:r>
                        <w:rPr>
                          <w:rFonts w:hint="eastAsia"/>
                          <w:sz w:val="52"/>
                        </w:rPr>
                        <w:t>保证金银行</w:t>
                      </w:r>
                      <w:r>
                        <w:rPr>
                          <w:sz w:val="52"/>
                        </w:rPr>
                        <w:t>汇款</w:t>
                      </w:r>
                      <w:r>
                        <w:rPr>
                          <w:rFonts w:hint="eastAsia"/>
                          <w:sz w:val="52"/>
                        </w:rPr>
                        <w:t>凭证</w:t>
                      </w:r>
                    </w:p>
                  </w:txbxContent>
                </v:textbox>
              </v:rect>
            </w:pict>
          </mc:Fallback>
        </mc:AlternateContent>
      </w: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p>
      <w:pPr>
        <w:pStyle w:val="58"/>
      </w:pPr>
    </w:p>
    <w:tbl>
      <w:tblPr>
        <w:tblStyle w:val="22"/>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839"/>
        <w:gridCol w:w="1276"/>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pStyle w:val="58"/>
              <w:ind w:firstLine="0" w:firstLineChars="0"/>
            </w:pPr>
            <w:r>
              <w:t>公司名称</w:t>
            </w:r>
          </w:p>
        </w:tc>
        <w:tc>
          <w:tcPr>
            <w:tcW w:w="6775" w:type="dxa"/>
            <w:gridSpan w:val="3"/>
            <w:vAlign w:val="center"/>
          </w:tcPr>
          <w:p>
            <w:pPr>
              <w:pStyle w:val="58"/>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pStyle w:val="58"/>
              <w:ind w:firstLine="0" w:firstLineChars="0"/>
            </w:pPr>
            <w:r>
              <w:t>项目名称</w:t>
            </w:r>
          </w:p>
        </w:tc>
        <w:tc>
          <w:tcPr>
            <w:tcW w:w="2839" w:type="dxa"/>
            <w:vAlign w:val="center"/>
          </w:tcPr>
          <w:p>
            <w:pPr>
              <w:pStyle w:val="58"/>
              <w:ind w:firstLine="0" w:firstLineChars="0"/>
            </w:pPr>
          </w:p>
        </w:tc>
        <w:tc>
          <w:tcPr>
            <w:tcW w:w="1276" w:type="dxa"/>
            <w:vAlign w:val="center"/>
          </w:tcPr>
          <w:p>
            <w:pPr>
              <w:pStyle w:val="58"/>
              <w:ind w:firstLine="0" w:firstLineChars="0"/>
            </w:pPr>
            <w:r>
              <w:t>项目编号</w:t>
            </w:r>
          </w:p>
        </w:tc>
        <w:tc>
          <w:tcPr>
            <w:tcW w:w="2660" w:type="dxa"/>
            <w:vAlign w:val="center"/>
          </w:tcPr>
          <w:p>
            <w:pPr>
              <w:pStyle w:val="58"/>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pStyle w:val="58"/>
              <w:ind w:firstLine="0" w:firstLineChars="0"/>
            </w:pPr>
            <w:r>
              <w:t>联系人</w:t>
            </w:r>
          </w:p>
        </w:tc>
        <w:tc>
          <w:tcPr>
            <w:tcW w:w="2839" w:type="dxa"/>
            <w:vAlign w:val="center"/>
          </w:tcPr>
          <w:p>
            <w:pPr>
              <w:pStyle w:val="58"/>
              <w:ind w:firstLine="0" w:firstLineChars="0"/>
            </w:pPr>
          </w:p>
        </w:tc>
        <w:tc>
          <w:tcPr>
            <w:tcW w:w="1276" w:type="dxa"/>
            <w:vAlign w:val="center"/>
          </w:tcPr>
          <w:p>
            <w:pPr>
              <w:pStyle w:val="58"/>
              <w:ind w:firstLine="0" w:firstLineChars="0"/>
            </w:pPr>
            <w:r>
              <w:t>联系电话</w:t>
            </w:r>
          </w:p>
        </w:tc>
        <w:tc>
          <w:tcPr>
            <w:tcW w:w="2660" w:type="dxa"/>
            <w:vAlign w:val="center"/>
          </w:tcPr>
          <w:p>
            <w:pPr>
              <w:pStyle w:val="58"/>
              <w:ind w:firstLine="0" w:firstLineChars="0"/>
            </w:pPr>
            <w:r>
              <w:rPr>
                <w:rFonts w:hint="eastAsia"/>
              </w:rPr>
              <w:t xml:space="preserve">               （手机）</w:t>
            </w:r>
          </w:p>
          <w:p>
            <w:pPr>
              <w:pStyle w:val="58"/>
              <w:ind w:firstLine="0" w:firstLineChars="0"/>
            </w:pPr>
            <w:r>
              <w:rPr>
                <w:rFonts w:hint="eastAsia"/>
              </w:rPr>
              <w:t xml:space="preserve">          </w:t>
            </w:r>
            <w:r>
              <w:t xml:space="preserve">  </w:t>
            </w:r>
            <w:r>
              <w:rPr>
                <w:rFonts w:hint="eastAsia"/>
              </w:rPr>
              <w:t xml:space="preserve">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pStyle w:val="58"/>
              <w:ind w:firstLine="0" w:firstLineChars="0"/>
            </w:pPr>
            <w:r>
              <w:rPr>
                <w:rFonts w:hint="eastAsia"/>
              </w:rPr>
              <w:t>保证金打款银行名称（具体到支行）</w:t>
            </w:r>
          </w:p>
        </w:tc>
        <w:tc>
          <w:tcPr>
            <w:tcW w:w="6775" w:type="dxa"/>
            <w:gridSpan w:val="3"/>
            <w:vAlign w:val="center"/>
          </w:tcPr>
          <w:p>
            <w:pPr>
              <w:pStyle w:val="58"/>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pStyle w:val="58"/>
              <w:ind w:firstLine="0" w:firstLineChars="0"/>
            </w:pPr>
            <w:r>
              <w:rPr>
                <w:rFonts w:hint="eastAsia"/>
              </w:rPr>
              <w:t>保证金打款银行账号信息</w:t>
            </w:r>
          </w:p>
        </w:tc>
        <w:tc>
          <w:tcPr>
            <w:tcW w:w="6775" w:type="dxa"/>
            <w:gridSpan w:val="3"/>
            <w:vAlign w:val="center"/>
          </w:tcPr>
          <w:p>
            <w:pPr>
              <w:pStyle w:val="58"/>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pStyle w:val="58"/>
              <w:ind w:firstLine="0" w:firstLineChars="0"/>
            </w:pPr>
            <w:r>
              <w:rPr>
                <w:rFonts w:hint="eastAsia"/>
              </w:rPr>
              <w:t>保证金打款银行联行号</w:t>
            </w:r>
          </w:p>
        </w:tc>
        <w:tc>
          <w:tcPr>
            <w:tcW w:w="6775" w:type="dxa"/>
            <w:gridSpan w:val="3"/>
            <w:vAlign w:val="center"/>
          </w:tcPr>
          <w:p>
            <w:pPr>
              <w:pStyle w:val="58"/>
              <w:ind w:firstLine="0" w:firstLineChars="0"/>
            </w:pPr>
          </w:p>
        </w:tc>
      </w:tr>
    </w:tbl>
    <w:p>
      <w:pPr>
        <w:pStyle w:val="58"/>
      </w:pPr>
    </w:p>
    <w:p>
      <w:pPr>
        <w:pStyle w:val="58"/>
      </w:pPr>
      <w:r>
        <w:t>注</w:t>
      </w:r>
      <w:r>
        <w:rPr>
          <w:rFonts w:hint="eastAsia"/>
        </w:rPr>
        <w:t>：1、此承诺书需</w:t>
      </w:r>
      <w:r>
        <w:t>按投标人须知的规定单独密封标记并单独递交</w:t>
      </w:r>
      <w:r>
        <w:rPr>
          <w:rFonts w:hint="eastAsia"/>
        </w:rPr>
        <w:t>，</w:t>
      </w:r>
      <w:r>
        <w:t>无需装订在响应文件中</w:t>
      </w:r>
      <w:r>
        <w:rPr>
          <w:rFonts w:hint="eastAsia"/>
        </w:rPr>
        <w:t>。保证金金额为0元的无需提交该文件。</w:t>
      </w:r>
    </w:p>
    <w:p>
      <w:pPr>
        <w:pStyle w:val="58"/>
      </w:pPr>
      <w:r>
        <w:rPr>
          <w:rFonts w:hint="eastAsia"/>
        </w:rPr>
        <w:t>2、</w:t>
      </w:r>
      <w:r>
        <w:t>保证金打款银行即为公司汇款保证金的银行</w:t>
      </w:r>
      <w:r>
        <w:rPr>
          <w:rFonts w:hint="eastAsia"/>
        </w:rPr>
        <w:t>，</w:t>
      </w:r>
      <w:r>
        <w:t>我校财务将原路退回</w:t>
      </w:r>
      <w:r>
        <w:rPr>
          <w:rFonts w:hint="eastAsia"/>
        </w:rPr>
        <w:t>，请勿提供其他银行信息。</w:t>
      </w:r>
    </w:p>
    <w:sectPr>
      <w:pgSz w:w="11906" w:h="16838"/>
      <w:pgMar w:top="1134" w:right="1134" w:bottom="1021"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tabs>
        <w:tab w:val="center" w:pos="467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separate"/>
    </w:r>
    <w:r>
      <w:rPr>
        <w:rStyle w:val="24"/>
      </w:rPr>
      <w:t>2</w: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340986"/>
    </w:sdtPr>
    <w:sdtContent>
      <w:sdt>
        <w:sdtPr>
          <w:id w:val="-1319578410"/>
        </w:sdtPr>
        <w:sdtContent>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46</w:t>
            </w:r>
            <w:r>
              <w:rPr>
                <w:b/>
                <w:bCs/>
                <w:sz w:val="24"/>
                <w:szCs w:val="24"/>
              </w:rPr>
              <w:fldChar w:fldCharType="end"/>
            </w:r>
          </w:p>
        </w:sdtContent>
      </w:sdt>
    </w:sdtContent>
  </w:sdt>
  <w:p>
    <w:pPr>
      <w:pStyle w:val="15"/>
      <w:tabs>
        <w:tab w:val="center" w:pos="4677"/>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999BB"/>
    <w:multiLevelType w:val="singleLevel"/>
    <w:tmpl w:val="B54999BB"/>
    <w:lvl w:ilvl="0" w:tentative="0">
      <w:start w:val="1"/>
      <w:numFmt w:val="decimal"/>
      <w:suff w:val="nothing"/>
      <w:lvlText w:val="（%1）"/>
      <w:lvlJc w:val="left"/>
    </w:lvl>
  </w:abstractNum>
  <w:abstractNum w:abstractNumId="1">
    <w:nsid w:val="00000006"/>
    <w:multiLevelType w:val="multilevel"/>
    <w:tmpl w:val="0000000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1972980"/>
    <w:multiLevelType w:val="multilevel"/>
    <w:tmpl w:val="019729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E477E2"/>
    <w:multiLevelType w:val="multilevel"/>
    <w:tmpl w:val="0AE477E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C0665D5"/>
    <w:multiLevelType w:val="multilevel"/>
    <w:tmpl w:val="0C0665D5"/>
    <w:lvl w:ilvl="0" w:tentative="0">
      <w:start w:val="1"/>
      <w:numFmt w:val="decimal"/>
      <w:lvlText w:val="%1、"/>
      <w:lvlJc w:val="left"/>
      <w:pPr>
        <w:ind w:left="780" w:hanging="420"/>
      </w:pPr>
      <w:rPr>
        <w:rFonts w:hint="eastAsia" w:eastAsia="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120507F9"/>
    <w:multiLevelType w:val="multilevel"/>
    <w:tmpl w:val="120507F9"/>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123E0034"/>
    <w:multiLevelType w:val="multilevel"/>
    <w:tmpl w:val="123E0034"/>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1E026269"/>
    <w:multiLevelType w:val="multilevel"/>
    <w:tmpl w:val="1E026269"/>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20713473"/>
    <w:multiLevelType w:val="multilevel"/>
    <w:tmpl w:val="20713473"/>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24B0223B"/>
    <w:multiLevelType w:val="multilevel"/>
    <w:tmpl w:val="24B0223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2663DED"/>
    <w:multiLevelType w:val="multilevel"/>
    <w:tmpl w:val="32663DE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67E367D"/>
    <w:multiLevelType w:val="multilevel"/>
    <w:tmpl w:val="367E36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8827F53"/>
    <w:multiLevelType w:val="multilevel"/>
    <w:tmpl w:val="38827F5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C138FB"/>
    <w:multiLevelType w:val="multilevel"/>
    <w:tmpl w:val="3AC138FB"/>
    <w:lvl w:ilvl="0" w:tentative="0">
      <w:start w:val="1"/>
      <w:numFmt w:val="decimal"/>
      <w:suff w:val="nothing"/>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E061E76"/>
    <w:multiLevelType w:val="multilevel"/>
    <w:tmpl w:val="3E061E76"/>
    <w:lvl w:ilvl="0" w:tentative="0">
      <w:start w:val="1"/>
      <w:numFmt w:val="decimal"/>
      <w:lvlText w:val="%1、"/>
      <w:lvlJc w:val="left"/>
      <w:pPr>
        <w:ind w:left="780" w:hanging="420"/>
      </w:pPr>
      <w:rPr>
        <w:rFonts w:hint="eastAsia" w:eastAsia="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3EA910F5"/>
    <w:multiLevelType w:val="multilevel"/>
    <w:tmpl w:val="3EA910F5"/>
    <w:lvl w:ilvl="0" w:tentative="0">
      <w:start w:val="1"/>
      <w:numFmt w:val="decimal"/>
      <w:suff w:val="nothing"/>
      <w:lvlText w:val="%1、"/>
      <w:lvlJc w:val="left"/>
      <w:pPr>
        <w:ind w:left="126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406779E2"/>
    <w:multiLevelType w:val="multilevel"/>
    <w:tmpl w:val="406779E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18B41D1"/>
    <w:multiLevelType w:val="multilevel"/>
    <w:tmpl w:val="418B41D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1923192"/>
    <w:multiLevelType w:val="multilevel"/>
    <w:tmpl w:val="419231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5394B8C"/>
    <w:multiLevelType w:val="multilevel"/>
    <w:tmpl w:val="45394B8C"/>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8D97A78"/>
    <w:multiLevelType w:val="multilevel"/>
    <w:tmpl w:val="48D97A7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493373F5"/>
    <w:multiLevelType w:val="multilevel"/>
    <w:tmpl w:val="493373F5"/>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2">
    <w:nsid w:val="49A16852"/>
    <w:multiLevelType w:val="multilevel"/>
    <w:tmpl w:val="49A168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A933519"/>
    <w:multiLevelType w:val="multilevel"/>
    <w:tmpl w:val="4A93351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4BDD1EE2"/>
    <w:multiLevelType w:val="multilevel"/>
    <w:tmpl w:val="4BDD1E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DFA2E01"/>
    <w:multiLevelType w:val="multilevel"/>
    <w:tmpl w:val="4DFA2E0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53145D5C"/>
    <w:multiLevelType w:val="multilevel"/>
    <w:tmpl w:val="53145D5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4BF68A4"/>
    <w:multiLevelType w:val="multilevel"/>
    <w:tmpl w:val="54BF68A4"/>
    <w:lvl w:ilvl="0" w:tentative="0">
      <w:start w:val="1"/>
      <w:numFmt w:val="decimal"/>
      <w:lvlText w:val="%1、"/>
      <w:lvlJc w:val="left"/>
      <w:pPr>
        <w:ind w:left="420"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8">
    <w:nsid w:val="57034D86"/>
    <w:multiLevelType w:val="multilevel"/>
    <w:tmpl w:val="57034D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8352F99"/>
    <w:multiLevelType w:val="multilevel"/>
    <w:tmpl w:val="58352F99"/>
    <w:lvl w:ilvl="0" w:tentative="0">
      <w:start w:val="1"/>
      <w:numFmt w:val="decimal"/>
      <w:lvlText w:val="%1、"/>
      <w:lvlJc w:val="left"/>
      <w:pPr>
        <w:ind w:left="780" w:hanging="420"/>
      </w:pPr>
      <w:rPr>
        <w:rFonts w:hint="eastAsia" w:eastAsia="黑体"/>
      </w:rPr>
    </w:lvl>
    <w:lvl w:ilvl="1" w:tentative="0">
      <w:start w:val="6"/>
      <w:numFmt w:val="bullet"/>
      <w:lvlText w:val=""/>
      <w:lvlJc w:val="left"/>
      <w:pPr>
        <w:ind w:left="1140" w:hanging="360"/>
      </w:pPr>
      <w:rPr>
        <w:rFonts w:hint="default" w:ascii="Wingdings" w:hAnsi="Wingdings" w:cs="Times New Roman" w:eastAsiaTheme="minorEastAsia"/>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0">
    <w:nsid w:val="5FBB589C"/>
    <w:multiLevelType w:val="multilevel"/>
    <w:tmpl w:val="5FBB58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27A21B6"/>
    <w:multiLevelType w:val="multilevel"/>
    <w:tmpl w:val="627A21B6"/>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32">
    <w:nsid w:val="651A6D58"/>
    <w:multiLevelType w:val="multilevel"/>
    <w:tmpl w:val="651A6D5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65484E1B"/>
    <w:multiLevelType w:val="multilevel"/>
    <w:tmpl w:val="65484E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8777484"/>
    <w:multiLevelType w:val="multilevel"/>
    <w:tmpl w:val="687774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A7C6CE4"/>
    <w:multiLevelType w:val="multilevel"/>
    <w:tmpl w:val="6A7C6CE4"/>
    <w:lvl w:ilvl="0" w:tentative="0">
      <w:start w:val="1"/>
      <w:numFmt w:val="decimal"/>
      <w:lvlText w:val="%1、"/>
      <w:lvlJc w:val="left"/>
      <w:pPr>
        <w:ind w:left="840" w:hanging="420"/>
      </w:pPr>
      <w:rPr>
        <w:rFonts w:hint="eastAsia" w:eastAsia="黑体"/>
      </w:rPr>
    </w:lvl>
    <w:lvl w:ilvl="1" w:tentative="0">
      <w:start w:val="1"/>
      <w:numFmt w:val="decimal"/>
      <w:lvlText w:val="%2、"/>
      <w:lvlJc w:val="left"/>
      <w:pPr>
        <w:ind w:left="1260" w:hanging="420"/>
      </w:pPr>
      <w:rPr>
        <w:rFonts w:hint="eastAsia" w:eastAsia="黑体"/>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6F892310"/>
    <w:multiLevelType w:val="multilevel"/>
    <w:tmpl w:val="6F892310"/>
    <w:lvl w:ilvl="0" w:tentative="0">
      <w:start w:val="1"/>
      <w:numFmt w:val="japaneseCounting"/>
      <w:lvlText w:val="%1、"/>
      <w:lvlJc w:val="left"/>
      <w:pPr>
        <w:ind w:left="450" w:hanging="450"/>
      </w:pPr>
    </w:lvl>
    <w:lvl w:ilvl="1" w:tentative="0">
      <w:start w:val="4"/>
      <w:numFmt w:val="decimal"/>
      <w:lvlText w:val="%2、"/>
      <w:lvlJc w:val="left"/>
      <w:pPr>
        <w:ind w:left="780" w:hanging="360"/>
      </w:pPr>
      <w:rPr>
        <w:rFonts w:hint="eastAsia"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6C5426E"/>
    <w:multiLevelType w:val="multilevel"/>
    <w:tmpl w:val="76C5426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FF76C5C"/>
    <w:multiLevelType w:val="multilevel"/>
    <w:tmpl w:val="7FF76C5C"/>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3"/>
  </w:num>
  <w:num w:numId="2">
    <w:abstractNumId w:val="29"/>
  </w:num>
  <w:num w:numId="3">
    <w:abstractNumId w:val="4"/>
  </w:num>
  <w:num w:numId="4">
    <w:abstractNumId w:val="14"/>
  </w:num>
  <w:num w:numId="5">
    <w:abstractNumId w:val="12"/>
  </w:num>
  <w:num w:numId="6">
    <w:abstractNumId w:val="5"/>
  </w:num>
  <w:num w:numId="7">
    <w:abstractNumId w:val="21"/>
  </w:num>
  <w:num w:numId="8">
    <w:abstractNumId w:val="7"/>
  </w:num>
  <w:num w:numId="9">
    <w:abstractNumId w:val="6"/>
  </w:num>
  <w:num w:numId="10">
    <w:abstractNumId w:val="19"/>
  </w:num>
  <w:num w:numId="11">
    <w:abstractNumId w:val="38"/>
  </w:num>
  <w:num w:numId="12">
    <w:abstractNumId w:val="23"/>
  </w:num>
  <w:num w:numId="13">
    <w:abstractNumId w:val="25"/>
  </w:num>
  <w:num w:numId="14">
    <w:abstractNumId w:val="20"/>
  </w:num>
  <w:num w:numId="15">
    <w:abstractNumId w:val="8"/>
  </w:num>
  <w:num w:numId="16">
    <w:abstractNumId w:val="32"/>
  </w:num>
  <w:num w:numId="17">
    <w:abstractNumId w:val="3"/>
  </w:num>
  <w:num w:numId="18">
    <w:abstractNumId w:val="9"/>
  </w:num>
  <w:num w:numId="19">
    <w:abstractNumId w:val="1"/>
  </w:num>
  <w:num w:numId="20">
    <w:abstractNumId w:val="18"/>
  </w:num>
  <w:num w:numId="21">
    <w:abstractNumId w:val="24"/>
  </w:num>
  <w:num w:numId="22">
    <w:abstractNumId w:val="0"/>
  </w:num>
  <w:num w:numId="23">
    <w:abstractNumId w:val="11"/>
  </w:num>
  <w:num w:numId="24">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5"/>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334EEA"/>
    <w:rsid w:val="00001B1F"/>
    <w:rsid w:val="000068B7"/>
    <w:rsid w:val="00013E34"/>
    <w:rsid w:val="00015EEE"/>
    <w:rsid w:val="00016EF4"/>
    <w:rsid w:val="00017A7C"/>
    <w:rsid w:val="00020D23"/>
    <w:rsid w:val="00021AA9"/>
    <w:rsid w:val="00022612"/>
    <w:rsid w:val="00024BA1"/>
    <w:rsid w:val="000272DD"/>
    <w:rsid w:val="000326A4"/>
    <w:rsid w:val="00034A2E"/>
    <w:rsid w:val="00050DC0"/>
    <w:rsid w:val="00065819"/>
    <w:rsid w:val="00075BB7"/>
    <w:rsid w:val="00075D9A"/>
    <w:rsid w:val="000763D3"/>
    <w:rsid w:val="00085AFC"/>
    <w:rsid w:val="00087BFE"/>
    <w:rsid w:val="00092AC0"/>
    <w:rsid w:val="00093DE5"/>
    <w:rsid w:val="00094807"/>
    <w:rsid w:val="00094913"/>
    <w:rsid w:val="000A09A1"/>
    <w:rsid w:val="000A0B33"/>
    <w:rsid w:val="000A7C7C"/>
    <w:rsid w:val="000B59B1"/>
    <w:rsid w:val="000B6481"/>
    <w:rsid w:val="000B7FED"/>
    <w:rsid w:val="000C0858"/>
    <w:rsid w:val="000C141B"/>
    <w:rsid w:val="000C2627"/>
    <w:rsid w:val="000C3364"/>
    <w:rsid w:val="000C3B72"/>
    <w:rsid w:val="000D7229"/>
    <w:rsid w:val="000D7E2B"/>
    <w:rsid w:val="000E5BB7"/>
    <w:rsid w:val="000E724B"/>
    <w:rsid w:val="000E7B77"/>
    <w:rsid w:val="000F2CA3"/>
    <w:rsid w:val="000F4FC5"/>
    <w:rsid w:val="000F6DD5"/>
    <w:rsid w:val="000F734F"/>
    <w:rsid w:val="00102351"/>
    <w:rsid w:val="001131BD"/>
    <w:rsid w:val="00113A16"/>
    <w:rsid w:val="00121249"/>
    <w:rsid w:val="00125D34"/>
    <w:rsid w:val="00136068"/>
    <w:rsid w:val="00137163"/>
    <w:rsid w:val="00141303"/>
    <w:rsid w:val="00142818"/>
    <w:rsid w:val="00143C6B"/>
    <w:rsid w:val="0015095C"/>
    <w:rsid w:val="001519C7"/>
    <w:rsid w:val="00153024"/>
    <w:rsid w:val="00155BC7"/>
    <w:rsid w:val="00167F29"/>
    <w:rsid w:val="00170635"/>
    <w:rsid w:val="00172A27"/>
    <w:rsid w:val="001764E1"/>
    <w:rsid w:val="00176CFB"/>
    <w:rsid w:val="00181AE4"/>
    <w:rsid w:val="0018434C"/>
    <w:rsid w:val="00191F8C"/>
    <w:rsid w:val="00193C0B"/>
    <w:rsid w:val="0019431D"/>
    <w:rsid w:val="00195D60"/>
    <w:rsid w:val="001A20B9"/>
    <w:rsid w:val="001A3CD1"/>
    <w:rsid w:val="001A77B6"/>
    <w:rsid w:val="001A7EF3"/>
    <w:rsid w:val="001B4CBA"/>
    <w:rsid w:val="001C2005"/>
    <w:rsid w:val="001C73FD"/>
    <w:rsid w:val="001D1133"/>
    <w:rsid w:val="001D5789"/>
    <w:rsid w:val="001E4AE6"/>
    <w:rsid w:val="002005AC"/>
    <w:rsid w:val="00200A0C"/>
    <w:rsid w:val="00212016"/>
    <w:rsid w:val="0021416F"/>
    <w:rsid w:val="002246E9"/>
    <w:rsid w:val="00225522"/>
    <w:rsid w:val="00225A17"/>
    <w:rsid w:val="00232C96"/>
    <w:rsid w:val="00240880"/>
    <w:rsid w:val="00241630"/>
    <w:rsid w:val="00241A35"/>
    <w:rsid w:val="00251800"/>
    <w:rsid w:val="002526FD"/>
    <w:rsid w:val="0025302E"/>
    <w:rsid w:val="002542C0"/>
    <w:rsid w:val="00256ADA"/>
    <w:rsid w:val="00257AAE"/>
    <w:rsid w:val="00267887"/>
    <w:rsid w:val="0027250A"/>
    <w:rsid w:val="0027459C"/>
    <w:rsid w:val="00275383"/>
    <w:rsid w:val="00281E82"/>
    <w:rsid w:val="002833A2"/>
    <w:rsid w:val="00287719"/>
    <w:rsid w:val="002877C4"/>
    <w:rsid w:val="00291C41"/>
    <w:rsid w:val="00297147"/>
    <w:rsid w:val="002A00D3"/>
    <w:rsid w:val="002B75AF"/>
    <w:rsid w:val="002B784D"/>
    <w:rsid w:val="002C0074"/>
    <w:rsid w:val="002C07B0"/>
    <w:rsid w:val="002C16FA"/>
    <w:rsid w:val="002C2F49"/>
    <w:rsid w:val="002C3219"/>
    <w:rsid w:val="002C5349"/>
    <w:rsid w:val="002C6310"/>
    <w:rsid w:val="002D3BB0"/>
    <w:rsid w:val="002D4A71"/>
    <w:rsid w:val="002E6DCE"/>
    <w:rsid w:val="002F2E53"/>
    <w:rsid w:val="002F7470"/>
    <w:rsid w:val="00307F0B"/>
    <w:rsid w:val="00313329"/>
    <w:rsid w:val="00322865"/>
    <w:rsid w:val="003246E5"/>
    <w:rsid w:val="00327920"/>
    <w:rsid w:val="00330295"/>
    <w:rsid w:val="00331936"/>
    <w:rsid w:val="00333BD2"/>
    <w:rsid w:val="00334953"/>
    <w:rsid w:val="0033510C"/>
    <w:rsid w:val="0034239E"/>
    <w:rsid w:val="00350772"/>
    <w:rsid w:val="00354150"/>
    <w:rsid w:val="00367BAE"/>
    <w:rsid w:val="00381603"/>
    <w:rsid w:val="00390395"/>
    <w:rsid w:val="00391B35"/>
    <w:rsid w:val="00391CE5"/>
    <w:rsid w:val="00395630"/>
    <w:rsid w:val="003A279F"/>
    <w:rsid w:val="003A2E5A"/>
    <w:rsid w:val="003B069F"/>
    <w:rsid w:val="003B1A3B"/>
    <w:rsid w:val="003B4C5B"/>
    <w:rsid w:val="003B610B"/>
    <w:rsid w:val="003B6970"/>
    <w:rsid w:val="003C7C0C"/>
    <w:rsid w:val="003E16CC"/>
    <w:rsid w:val="003E1C54"/>
    <w:rsid w:val="003E6B48"/>
    <w:rsid w:val="003F343C"/>
    <w:rsid w:val="003F4F67"/>
    <w:rsid w:val="003F73B3"/>
    <w:rsid w:val="00403576"/>
    <w:rsid w:val="004056BC"/>
    <w:rsid w:val="00406FC3"/>
    <w:rsid w:val="004072AF"/>
    <w:rsid w:val="00411911"/>
    <w:rsid w:val="004178D4"/>
    <w:rsid w:val="00427AA4"/>
    <w:rsid w:val="00432003"/>
    <w:rsid w:val="00441D32"/>
    <w:rsid w:val="00441EF1"/>
    <w:rsid w:val="0044335C"/>
    <w:rsid w:val="00450AFF"/>
    <w:rsid w:val="00453F50"/>
    <w:rsid w:val="00454F57"/>
    <w:rsid w:val="004568B2"/>
    <w:rsid w:val="00463F05"/>
    <w:rsid w:val="00464FD5"/>
    <w:rsid w:val="00473106"/>
    <w:rsid w:val="00474AB5"/>
    <w:rsid w:val="00477805"/>
    <w:rsid w:val="00490D78"/>
    <w:rsid w:val="00495757"/>
    <w:rsid w:val="00496ECA"/>
    <w:rsid w:val="004A3E14"/>
    <w:rsid w:val="004B1F93"/>
    <w:rsid w:val="004C07FD"/>
    <w:rsid w:val="004C1C7A"/>
    <w:rsid w:val="004C4A23"/>
    <w:rsid w:val="004C679B"/>
    <w:rsid w:val="004D2A22"/>
    <w:rsid w:val="004D416B"/>
    <w:rsid w:val="004D668E"/>
    <w:rsid w:val="004D7C52"/>
    <w:rsid w:val="004E0986"/>
    <w:rsid w:val="004E2F88"/>
    <w:rsid w:val="004E4519"/>
    <w:rsid w:val="004F1001"/>
    <w:rsid w:val="004F6EDE"/>
    <w:rsid w:val="004F7188"/>
    <w:rsid w:val="00502687"/>
    <w:rsid w:val="00504F13"/>
    <w:rsid w:val="00506C5C"/>
    <w:rsid w:val="00523958"/>
    <w:rsid w:val="00524448"/>
    <w:rsid w:val="0052769A"/>
    <w:rsid w:val="00530094"/>
    <w:rsid w:val="005301B5"/>
    <w:rsid w:val="00540E9B"/>
    <w:rsid w:val="0054385F"/>
    <w:rsid w:val="005577CC"/>
    <w:rsid w:val="00557FB9"/>
    <w:rsid w:val="00560136"/>
    <w:rsid w:val="00564D48"/>
    <w:rsid w:val="0056762C"/>
    <w:rsid w:val="00574853"/>
    <w:rsid w:val="00580959"/>
    <w:rsid w:val="0058662F"/>
    <w:rsid w:val="005872F5"/>
    <w:rsid w:val="005875B9"/>
    <w:rsid w:val="00590253"/>
    <w:rsid w:val="005A1CFE"/>
    <w:rsid w:val="005B0876"/>
    <w:rsid w:val="005B2EC2"/>
    <w:rsid w:val="005B5FD4"/>
    <w:rsid w:val="005B7842"/>
    <w:rsid w:val="005C0D5B"/>
    <w:rsid w:val="005C420E"/>
    <w:rsid w:val="005C57F3"/>
    <w:rsid w:val="005D2C84"/>
    <w:rsid w:val="005D30A4"/>
    <w:rsid w:val="005D3AD1"/>
    <w:rsid w:val="005D3C72"/>
    <w:rsid w:val="005D5944"/>
    <w:rsid w:val="005E0467"/>
    <w:rsid w:val="005E2F7F"/>
    <w:rsid w:val="005E486E"/>
    <w:rsid w:val="005E647B"/>
    <w:rsid w:val="005E73CA"/>
    <w:rsid w:val="005F354D"/>
    <w:rsid w:val="00600D86"/>
    <w:rsid w:val="00601D96"/>
    <w:rsid w:val="00616999"/>
    <w:rsid w:val="00617342"/>
    <w:rsid w:val="006257E7"/>
    <w:rsid w:val="00627F4E"/>
    <w:rsid w:val="00632617"/>
    <w:rsid w:val="00633BB4"/>
    <w:rsid w:val="006372C4"/>
    <w:rsid w:val="00650BE9"/>
    <w:rsid w:val="00660F71"/>
    <w:rsid w:val="006636AA"/>
    <w:rsid w:val="00664982"/>
    <w:rsid w:val="0066690C"/>
    <w:rsid w:val="006729F0"/>
    <w:rsid w:val="00683240"/>
    <w:rsid w:val="00691DC1"/>
    <w:rsid w:val="006A71A9"/>
    <w:rsid w:val="006B3D91"/>
    <w:rsid w:val="006C41F0"/>
    <w:rsid w:val="006C456E"/>
    <w:rsid w:val="006C7EEF"/>
    <w:rsid w:val="006D187D"/>
    <w:rsid w:val="006D2E38"/>
    <w:rsid w:val="006D3527"/>
    <w:rsid w:val="006E0C57"/>
    <w:rsid w:val="006E2738"/>
    <w:rsid w:val="006E6EC9"/>
    <w:rsid w:val="006E7D65"/>
    <w:rsid w:val="006F1E49"/>
    <w:rsid w:val="006F6BD5"/>
    <w:rsid w:val="007329D6"/>
    <w:rsid w:val="00733FE3"/>
    <w:rsid w:val="0074077E"/>
    <w:rsid w:val="007526A3"/>
    <w:rsid w:val="00761211"/>
    <w:rsid w:val="007640A3"/>
    <w:rsid w:val="00765031"/>
    <w:rsid w:val="00772A90"/>
    <w:rsid w:val="007763F3"/>
    <w:rsid w:val="00776C05"/>
    <w:rsid w:val="0077751C"/>
    <w:rsid w:val="007845EB"/>
    <w:rsid w:val="0078557A"/>
    <w:rsid w:val="0078692A"/>
    <w:rsid w:val="0078778F"/>
    <w:rsid w:val="007909CF"/>
    <w:rsid w:val="00791141"/>
    <w:rsid w:val="00796827"/>
    <w:rsid w:val="007B49E3"/>
    <w:rsid w:val="007C2480"/>
    <w:rsid w:val="007C7D63"/>
    <w:rsid w:val="007D0E6D"/>
    <w:rsid w:val="007D5C94"/>
    <w:rsid w:val="007E3DB5"/>
    <w:rsid w:val="007E5445"/>
    <w:rsid w:val="007F084F"/>
    <w:rsid w:val="007F25E9"/>
    <w:rsid w:val="00804DE0"/>
    <w:rsid w:val="008075EE"/>
    <w:rsid w:val="008118FC"/>
    <w:rsid w:val="0081230C"/>
    <w:rsid w:val="008163E7"/>
    <w:rsid w:val="0081686A"/>
    <w:rsid w:val="0083123B"/>
    <w:rsid w:val="00831559"/>
    <w:rsid w:val="0083575B"/>
    <w:rsid w:val="0083613C"/>
    <w:rsid w:val="00837676"/>
    <w:rsid w:val="008469E5"/>
    <w:rsid w:val="00851A9C"/>
    <w:rsid w:val="008547DD"/>
    <w:rsid w:val="00861600"/>
    <w:rsid w:val="00866F4B"/>
    <w:rsid w:val="0088699A"/>
    <w:rsid w:val="0089229A"/>
    <w:rsid w:val="008A3B94"/>
    <w:rsid w:val="008A43AE"/>
    <w:rsid w:val="008B2414"/>
    <w:rsid w:val="008B7C71"/>
    <w:rsid w:val="008C53D1"/>
    <w:rsid w:val="008D35D4"/>
    <w:rsid w:val="008D4AF5"/>
    <w:rsid w:val="008D4C8F"/>
    <w:rsid w:val="008E1530"/>
    <w:rsid w:val="008E47D2"/>
    <w:rsid w:val="008E639A"/>
    <w:rsid w:val="008F30DB"/>
    <w:rsid w:val="008F3334"/>
    <w:rsid w:val="008F6AB8"/>
    <w:rsid w:val="008F790F"/>
    <w:rsid w:val="009054F1"/>
    <w:rsid w:val="0091043F"/>
    <w:rsid w:val="0091115A"/>
    <w:rsid w:val="00912472"/>
    <w:rsid w:val="00915114"/>
    <w:rsid w:val="0092035E"/>
    <w:rsid w:val="00920CC3"/>
    <w:rsid w:val="00920FE9"/>
    <w:rsid w:val="00921E4F"/>
    <w:rsid w:val="00940FE6"/>
    <w:rsid w:val="009439B6"/>
    <w:rsid w:val="00953AE3"/>
    <w:rsid w:val="009554EE"/>
    <w:rsid w:val="009574C4"/>
    <w:rsid w:val="00960FBF"/>
    <w:rsid w:val="00962535"/>
    <w:rsid w:val="00967D04"/>
    <w:rsid w:val="00972CBF"/>
    <w:rsid w:val="0098297B"/>
    <w:rsid w:val="00983477"/>
    <w:rsid w:val="00986591"/>
    <w:rsid w:val="00997486"/>
    <w:rsid w:val="009A2019"/>
    <w:rsid w:val="009A5B7F"/>
    <w:rsid w:val="009A62AB"/>
    <w:rsid w:val="009A7401"/>
    <w:rsid w:val="009A757B"/>
    <w:rsid w:val="009B1283"/>
    <w:rsid w:val="009B235B"/>
    <w:rsid w:val="009B3230"/>
    <w:rsid w:val="009B47C9"/>
    <w:rsid w:val="009C2D22"/>
    <w:rsid w:val="009E1E30"/>
    <w:rsid w:val="009F2F1C"/>
    <w:rsid w:val="009F4D31"/>
    <w:rsid w:val="009F7342"/>
    <w:rsid w:val="00A0028B"/>
    <w:rsid w:val="00A00896"/>
    <w:rsid w:val="00A00A9B"/>
    <w:rsid w:val="00A0117C"/>
    <w:rsid w:val="00A03204"/>
    <w:rsid w:val="00A1219E"/>
    <w:rsid w:val="00A12F04"/>
    <w:rsid w:val="00A13EB4"/>
    <w:rsid w:val="00A15342"/>
    <w:rsid w:val="00A257ED"/>
    <w:rsid w:val="00A26B15"/>
    <w:rsid w:val="00A43A1A"/>
    <w:rsid w:val="00A43B5B"/>
    <w:rsid w:val="00A44935"/>
    <w:rsid w:val="00A47BA4"/>
    <w:rsid w:val="00A5350C"/>
    <w:rsid w:val="00A573B7"/>
    <w:rsid w:val="00A66CAD"/>
    <w:rsid w:val="00A6754E"/>
    <w:rsid w:val="00A710DD"/>
    <w:rsid w:val="00A823CB"/>
    <w:rsid w:val="00A90271"/>
    <w:rsid w:val="00A94792"/>
    <w:rsid w:val="00A96FBC"/>
    <w:rsid w:val="00AB0819"/>
    <w:rsid w:val="00AB39D6"/>
    <w:rsid w:val="00AB5D9B"/>
    <w:rsid w:val="00AC1878"/>
    <w:rsid w:val="00AC2FA9"/>
    <w:rsid w:val="00AC4EF2"/>
    <w:rsid w:val="00AC5689"/>
    <w:rsid w:val="00AE0192"/>
    <w:rsid w:val="00AE6A1F"/>
    <w:rsid w:val="00AE6C74"/>
    <w:rsid w:val="00B058BB"/>
    <w:rsid w:val="00B139D9"/>
    <w:rsid w:val="00B212C9"/>
    <w:rsid w:val="00B2337F"/>
    <w:rsid w:val="00B23509"/>
    <w:rsid w:val="00B330B0"/>
    <w:rsid w:val="00B3443F"/>
    <w:rsid w:val="00B401A1"/>
    <w:rsid w:val="00B41E2C"/>
    <w:rsid w:val="00B46C82"/>
    <w:rsid w:val="00B47D2B"/>
    <w:rsid w:val="00B51F77"/>
    <w:rsid w:val="00B5263B"/>
    <w:rsid w:val="00B53978"/>
    <w:rsid w:val="00B572E6"/>
    <w:rsid w:val="00B57CD3"/>
    <w:rsid w:val="00B611A9"/>
    <w:rsid w:val="00B61F49"/>
    <w:rsid w:val="00B62470"/>
    <w:rsid w:val="00B66061"/>
    <w:rsid w:val="00B66144"/>
    <w:rsid w:val="00B70EE1"/>
    <w:rsid w:val="00B73984"/>
    <w:rsid w:val="00B76983"/>
    <w:rsid w:val="00B80F17"/>
    <w:rsid w:val="00B91795"/>
    <w:rsid w:val="00B93EBF"/>
    <w:rsid w:val="00BA1E6C"/>
    <w:rsid w:val="00BA28DB"/>
    <w:rsid w:val="00BA326B"/>
    <w:rsid w:val="00BA7726"/>
    <w:rsid w:val="00BB2EF7"/>
    <w:rsid w:val="00BB67E2"/>
    <w:rsid w:val="00BC1630"/>
    <w:rsid w:val="00BC2185"/>
    <w:rsid w:val="00BC42A3"/>
    <w:rsid w:val="00BD02C0"/>
    <w:rsid w:val="00BE1B6F"/>
    <w:rsid w:val="00BF1587"/>
    <w:rsid w:val="00BF2C87"/>
    <w:rsid w:val="00BF452A"/>
    <w:rsid w:val="00BF5017"/>
    <w:rsid w:val="00C041AE"/>
    <w:rsid w:val="00C102C4"/>
    <w:rsid w:val="00C1731B"/>
    <w:rsid w:val="00C30DA6"/>
    <w:rsid w:val="00C3111C"/>
    <w:rsid w:val="00C3771D"/>
    <w:rsid w:val="00C53BD4"/>
    <w:rsid w:val="00C6235B"/>
    <w:rsid w:val="00C62512"/>
    <w:rsid w:val="00C635E5"/>
    <w:rsid w:val="00C64845"/>
    <w:rsid w:val="00C66397"/>
    <w:rsid w:val="00C670AF"/>
    <w:rsid w:val="00C71E48"/>
    <w:rsid w:val="00C734E3"/>
    <w:rsid w:val="00C73589"/>
    <w:rsid w:val="00C7485F"/>
    <w:rsid w:val="00C76F6B"/>
    <w:rsid w:val="00C8440E"/>
    <w:rsid w:val="00C908B8"/>
    <w:rsid w:val="00C9251E"/>
    <w:rsid w:val="00C96009"/>
    <w:rsid w:val="00CA167E"/>
    <w:rsid w:val="00CB2957"/>
    <w:rsid w:val="00CE133B"/>
    <w:rsid w:val="00CE382F"/>
    <w:rsid w:val="00CF570B"/>
    <w:rsid w:val="00CF600C"/>
    <w:rsid w:val="00CF6CAD"/>
    <w:rsid w:val="00CF7296"/>
    <w:rsid w:val="00CF7886"/>
    <w:rsid w:val="00D02065"/>
    <w:rsid w:val="00D0230A"/>
    <w:rsid w:val="00D02719"/>
    <w:rsid w:val="00D0304D"/>
    <w:rsid w:val="00D1276B"/>
    <w:rsid w:val="00D12F6E"/>
    <w:rsid w:val="00D20C3C"/>
    <w:rsid w:val="00D31665"/>
    <w:rsid w:val="00D31957"/>
    <w:rsid w:val="00D3402E"/>
    <w:rsid w:val="00D3630F"/>
    <w:rsid w:val="00D41748"/>
    <w:rsid w:val="00D4561E"/>
    <w:rsid w:val="00D543DF"/>
    <w:rsid w:val="00D55527"/>
    <w:rsid w:val="00D56955"/>
    <w:rsid w:val="00D66215"/>
    <w:rsid w:val="00D73E42"/>
    <w:rsid w:val="00D749B1"/>
    <w:rsid w:val="00D76A2C"/>
    <w:rsid w:val="00D81299"/>
    <w:rsid w:val="00D86C26"/>
    <w:rsid w:val="00D91F02"/>
    <w:rsid w:val="00D928C0"/>
    <w:rsid w:val="00D948F5"/>
    <w:rsid w:val="00D967FC"/>
    <w:rsid w:val="00D97377"/>
    <w:rsid w:val="00DA0A7B"/>
    <w:rsid w:val="00DA5C6E"/>
    <w:rsid w:val="00DA6927"/>
    <w:rsid w:val="00DB165E"/>
    <w:rsid w:val="00DB282F"/>
    <w:rsid w:val="00DB37D9"/>
    <w:rsid w:val="00DB433A"/>
    <w:rsid w:val="00DD3F7E"/>
    <w:rsid w:val="00DE5D46"/>
    <w:rsid w:val="00DF2AD7"/>
    <w:rsid w:val="00DF4908"/>
    <w:rsid w:val="00DF634D"/>
    <w:rsid w:val="00DF7B86"/>
    <w:rsid w:val="00E02656"/>
    <w:rsid w:val="00E04362"/>
    <w:rsid w:val="00E11E85"/>
    <w:rsid w:val="00E139E6"/>
    <w:rsid w:val="00E14251"/>
    <w:rsid w:val="00E1573D"/>
    <w:rsid w:val="00E17057"/>
    <w:rsid w:val="00E228A9"/>
    <w:rsid w:val="00E232F8"/>
    <w:rsid w:val="00E2383C"/>
    <w:rsid w:val="00E24803"/>
    <w:rsid w:val="00E32093"/>
    <w:rsid w:val="00E34782"/>
    <w:rsid w:val="00E35475"/>
    <w:rsid w:val="00E4209B"/>
    <w:rsid w:val="00E45AA6"/>
    <w:rsid w:val="00E46800"/>
    <w:rsid w:val="00E543C5"/>
    <w:rsid w:val="00E60933"/>
    <w:rsid w:val="00E745FB"/>
    <w:rsid w:val="00E75C6F"/>
    <w:rsid w:val="00E91663"/>
    <w:rsid w:val="00E92D6E"/>
    <w:rsid w:val="00EA0D97"/>
    <w:rsid w:val="00EC0535"/>
    <w:rsid w:val="00EC6EB8"/>
    <w:rsid w:val="00EE077D"/>
    <w:rsid w:val="00EE1761"/>
    <w:rsid w:val="00EE7E2D"/>
    <w:rsid w:val="00EF0AB5"/>
    <w:rsid w:val="00EF2DD8"/>
    <w:rsid w:val="00EF3333"/>
    <w:rsid w:val="00EF41EC"/>
    <w:rsid w:val="00EF4360"/>
    <w:rsid w:val="00F02CF3"/>
    <w:rsid w:val="00F036A2"/>
    <w:rsid w:val="00F22A2D"/>
    <w:rsid w:val="00F31E5B"/>
    <w:rsid w:val="00F357FA"/>
    <w:rsid w:val="00F36CD4"/>
    <w:rsid w:val="00F462A7"/>
    <w:rsid w:val="00F46668"/>
    <w:rsid w:val="00F540F8"/>
    <w:rsid w:val="00F748E8"/>
    <w:rsid w:val="00F90456"/>
    <w:rsid w:val="00F9176C"/>
    <w:rsid w:val="00F93094"/>
    <w:rsid w:val="00F9721C"/>
    <w:rsid w:val="00FA4945"/>
    <w:rsid w:val="00FB12BC"/>
    <w:rsid w:val="00FB1A1C"/>
    <w:rsid w:val="00FB2848"/>
    <w:rsid w:val="00FC1245"/>
    <w:rsid w:val="00FC2605"/>
    <w:rsid w:val="00FC2753"/>
    <w:rsid w:val="00FC63BC"/>
    <w:rsid w:val="00FC6CB2"/>
    <w:rsid w:val="00FE269E"/>
    <w:rsid w:val="00FF2790"/>
    <w:rsid w:val="00FF2DDB"/>
    <w:rsid w:val="00FF3C2F"/>
    <w:rsid w:val="00FF43F5"/>
    <w:rsid w:val="00FF71EC"/>
    <w:rsid w:val="0A1A5E13"/>
    <w:rsid w:val="0EDD3E62"/>
    <w:rsid w:val="10650466"/>
    <w:rsid w:val="138336CC"/>
    <w:rsid w:val="2016473E"/>
    <w:rsid w:val="2295527F"/>
    <w:rsid w:val="239347F4"/>
    <w:rsid w:val="2651684C"/>
    <w:rsid w:val="282E0A8A"/>
    <w:rsid w:val="28A91541"/>
    <w:rsid w:val="2C334EEA"/>
    <w:rsid w:val="30AB3C9F"/>
    <w:rsid w:val="30B30866"/>
    <w:rsid w:val="37450BBB"/>
    <w:rsid w:val="38A5312C"/>
    <w:rsid w:val="409627BC"/>
    <w:rsid w:val="4DC3281F"/>
    <w:rsid w:val="52B630B4"/>
    <w:rsid w:val="610162D6"/>
    <w:rsid w:val="66D6265D"/>
    <w:rsid w:val="6E8B65DF"/>
    <w:rsid w:val="7A784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nhideWhenUsed="0" w:uiPriority="0" w:semiHidden="0" w:name="heading 6"/>
    <w:lsdException w:qFormat="1" w:uiPriority="9" w:name="heading 7"/>
    <w:lsdException w:qFormat="1" w:unhideWhenUsed="0" w:uiPriority="0" w:semiHidden="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1"/>
    <w:qFormat/>
    <w:uiPriority w:val="9"/>
    <w:pPr>
      <w:keepNext/>
      <w:keepLines/>
      <w:spacing w:before="340" w:after="330" w:line="578" w:lineRule="atLeast"/>
      <w:ind w:left="-420" w:firstLine="288"/>
      <w:outlineLvl w:val="0"/>
    </w:pPr>
    <w:rPr>
      <w:b/>
      <w:bCs/>
      <w:kern w:val="44"/>
      <w:sz w:val="44"/>
      <w:szCs w:val="44"/>
    </w:rPr>
  </w:style>
  <w:style w:type="paragraph" w:styleId="3">
    <w:name w:val="heading 2"/>
    <w:basedOn w:val="1"/>
    <w:next w:val="1"/>
    <w:link w:val="60"/>
    <w:qFormat/>
    <w:uiPriority w:val="9"/>
    <w:pPr>
      <w:keepNext/>
      <w:keepLines/>
      <w:spacing w:before="260" w:after="260" w:line="416" w:lineRule="atLeast"/>
      <w:ind w:left="709"/>
      <w:outlineLvl w:val="1"/>
    </w:pPr>
    <w:rPr>
      <w:rFonts w:ascii="Arial" w:hAnsi="Arial" w:eastAsia="黑体"/>
      <w:b/>
      <w:bCs/>
      <w:sz w:val="32"/>
      <w:szCs w:val="32"/>
    </w:rPr>
  </w:style>
  <w:style w:type="paragraph" w:styleId="4">
    <w:name w:val="heading 3"/>
    <w:basedOn w:val="1"/>
    <w:next w:val="1"/>
    <w:link w:val="27"/>
    <w:qFormat/>
    <w:uiPriority w:val="9"/>
    <w:pPr>
      <w:keepNext/>
      <w:keepLines/>
      <w:spacing w:before="260" w:after="260" w:line="416" w:lineRule="atLeast"/>
      <w:outlineLvl w:val="2"/>
    </w:pPr>
    <w:rPr>
      <w:b/>
      <w:bCs/>
      <w:sz w:val="32"/>
      <w:szCs w:val="32"/>
    </w:rPr>
  </w:style>
  <w:style w:type="paragraph" w:styleId="5">
    <w:name w:val="heading 4"/>
    <w:basedOn w:val="1"/>
    <w:next w:val="1"/>
    <w:link w:val="62"/>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6"/>
    <w:basedOn w:val="1"/>
    <w:next w:val="1"/>
    <w:link w:val="32"/>
    <w:qFormat/>
    <w:uiPriority w:val="0"/>
    <w:pPr>
      <w:keepNext/>
      <w:keepLines/>
      <w:spacing w:before="240" w:after="64" w:line="320" w:lineRule="auto"/>
      <w:outlineLvl w:val="5"/>
    </w:pPr>
    <w:rPr>
      <w:rFonts w:ascii="Arial" w:hAnsi="Arial" w:eastAsia="黑体"/>
      <w:b/>
      <w:bCs/>
      <w:sz w:val="24"/>
      <w:szCs w:val="24"/>
    </w:rPr>
  </w:style>
  <w:style w:type="paragraph" w:styleId="7">
    <w:name w:val="heading 8"/>
    <w:basedOn w:val="1"/>
    <w:next w:val="1"/>
    <w:link w:val="28"/>
    <w:qFormat/>
    <w:uiPriority w:val="0"/>
    <w:pPr>
      <w:keepNext/>
      <w:keepLines/>
      <w:spacing w:before="240" w:after="64" w:line="320" w:lineRule="auto"/>
      <w:outlineLvl w:val="7"/>
    </w:pPr>
    <w:rPr>
      <w:rFonts w:ascii="Arial" w:hAnsi="Arial" w:eastAsia="黑体"/>
      <w:sz w:val="24"/>
      <w:szCs w:val="24"/>
    </w:rPr>
  </w:style>
  <w:style w:type="character" w:default="1" w:styleId="23">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8">
    <w:name w:val="Normal Indent"/>
    <w:basedOn w:val="1"/>
    <w:link w:val="35"/>
    <w:uiPriority w:val="0"/>
    <w:pPr>
      <w:spacing w:line="360" w:lineRule="auto"/>
      <w:ind w:firstLine="420" w:firstLineChars="200"/>
    </w:pPr>
    <w:rPr>
      <w:sz w:val="24"/>
      <w:szCs w:val="24"/>
    </w:rPr>
  </w:style>
  <w:style w:type="paragraph" w:styleId="9">
    <w:name w:val="Document Map"/>
    <w:basedOn w:val="1"/>
    <w:link w:val="31"/>
    <w:unhideWhenUsed/>
    <w:uiPriority w:val="99"/>
    <w:rPr>
      <w:rFonts w:ascii="宋体"/>
      <w:sz w:val="18"/>
      <w:szCs w:val="18"/>
    </w:rPr>
  </w:style>
  <w:style w:type="paragraph" w:styleId="10">
    <w:name w:val="annotation text"/>
    <w:basedOn w:val="1"/>
    <w:link w:val="37"/>
    <w:qFormat/>
    <w:uiPriority w:val="0"/>
    <w:pPr>
      <w:jc w:val="left"/>
    </w:pPr>
  </w:style>
  <w:style w:type="paragraph" w:styleId="11">
    <w:name w:val="Body Text"/>
    <w:basedOn w:val="1"/>
    <w:unhideWhenUsed/>
    <w:uiPriority w:val="0"/>
    <w:pPr>
      <w:spacing w:before="60" w:after="60" w:line="360" w:lineRule="auto"/>
      <w:ind w:firstLine="200" w:firstLineChars="200"/>
    </w:pPr>
    <w:rPr>
      <w:sz w:val="24"/>
    </w:rPr>
  </w:style>
  <w:style w:type="paragraph" w:styleId="12">
    <w:name w:val="toc 3"/>
    <w:basedOn w:val="1"/>
    <w:next w:val="1"/>
    <w:unhideWhenUsed/>
    <w:uiPriority w:val="39"/>
    <w:pPr>
      <w:ind w:left="840" w:leftChars="400"/>
    </w:pPr>
  </w:style>
  <w:style w:type="paragraph" w:styleId="13">
    <w:name w:val="Plain Text"/>
    <w:basedOn w:val="1"/>
    <w:link w:val="38"/>
    <w:qFormat/>
    <w:uiPriority w:val="0"/>
    <w:rPr>
      <w:rFonts w:ascii="宋体" w:hAnsi="Courier New"/>
      <w:szCs w:val="21"/>
    </w:rPr>
  </w:style>
  <w:style w:type="paragraph" w:styleId="14">
    <w:name w:val="Balloon Text"/>
    <w:basedOn w:val="1"/>
    <w:link w:val="29"/>
    <w:qFormat/>
    <w:uiPriority w:val="0"/>
    <w:rPr>
      <w:sz w:val="18"/>
      <w:szCs w:val="18"/>
    </w:rPr>
  </w:style>
  <w:style w:type="paragraph" w:styleId="15">
    <w:name w:val="footer"/>
    <w:basedOn w:val="1"/>
    <w:link w:val="36"/>
    <w:qFormat/>
    <w:uiPriority w:val="99"/>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Normal (Web)"/>
    <w:basedOn w:val="1"/>
    <w:uiPriority w:val="0"/>
    <w:pPr>
      <w:widowControl/>
      <w:spacing w:before="100" w:beforeAutospacing="1" w:after="100" w:afterAutospacing="1"/>
    </w:pPr>
    <w:rPr>
      <w:rFonts w:ascii="宋体" w:hAnsi="宋体" w:cs="宋体"/>
      <w:szCs w:val="24"/>
    </w:rPr>
  </w:style>
  <w:style w:type="paragraph" w:styleId="20">
    <w:name w:val="annotation subject"/>
    <w:basedOn w:val="10"/>
    <w:next w:val="10"/>
    <w:link w:val="34"/>
    <w:uiPriority w:val="0"/>
  </w:style>
  <w:style w:type="table" w:styleId="22">
    <w:name w:val="Table Grid"/>
    <w:basedOn w:val="2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page number"/>
    <w:basedOn w:val="23"/>
    <w:uiPriority w:val="0"/>
  </w:style>
  <w:style w:type="character" w:styleId="25">
    <w:name w:val="Hyperlink"/>
    <w:basedOn w:val="23"/>
    <w:unhideWhenUsed/>
    <w:qFormat/>
    <w:uiPriority w:val="99"/>
    <w:rPr>
      <w:color w:val="0000FF" w:themeColor="hyperlink"/>
      <w:u w:val="single"/>
      <w14:textFill>
        <w14:solidFill>
          <w14:schemeClr w14:val="hlink"/>
        </w14:solidFill>
      </w14:textFill>
    </w:rPr>
  </w:style>
  <w:style w:type="character" w:styleId="26">
    <w:name w:val="annotation reference"/>
    <w:qFormat/>
    <w:uiPriority w:val="0"/>
    <w:rPr>
      <w:sz w:val="21"/>
      <w:szCs w:val="21"/>
    </w:rPr>
  </w:style>
  <w:style w:type="character" w:customStyle="1" w:styleId="27">
    <w:name w:val="标题 3 Char"/>
    <w:link w:val="4"/>
    <w:qFormat/>
    <w:uiPriority w:val="9"/>
    <w:rPr>
      <w:b/>
      <w:bCs/>
      <w:kern w:val="2"/>
      <w:sz w:val="32"/>
      <w:szCs w:val="32"/>
    </w:rPr>
  </w:style>
  <w:style w:type="character" w:customStyle="1" w:styleId="28">
    <w:name w:val="标题 8 Char"/>
    <w:link w:val="7"/>
    <w:qFormat/>
    <w:uiPriority w:val="0"/>
    <w:rPr>
      <w:rFonts w:ascii="Arial" w:hAnsi="Arial" w:eastAsia="黑体"/>
      <w:kern w:val="2"/>
      <w:sz w:val="24"/>
      <w:szCs w:val="24"/>
      <w:lang w:val="en-US" w:eastAsia="zh-CN" w:bidi="ar-SA"/>
    </w:rPr>
  </w:style>
  <w:style w:type="character" w:customStyle="1" w:styleId="29">
    <w:name w:val="批注框文本 Char"/>
    <w:link w:val="14"/>
    <w:uiPriority w:val="0"/>
    <w:rPr>
      <w:kern w:val="2"/>
      <w:sz w:val="18"/>
      <w:szCs w:val="18"/>
    </w:rPr>
  </w:style>
  <w:style w:type="character" w:customStyle="1" w:styleId="30">
    <w:name w:val="px_10"/>
    <w:basedOn w:val="23"/>
    <w:qFormat/>
    <w:uiPriority w:val="0"/>
  </w:style>
  <w:style w:type="character" w:customStyle="1" w:styleId="31">
    <w:name w:val="文档结构图 Char"/>
    <w:link w:val="9"/>
    <w:semiHidden/>
    <w:qFormat/>
    <w:uiPriority w:val="99"/>
    <w:rPr>
      <w:rFonts w:ascii="宋体"/>
      <w:kern w:val="2"/>
      <w:sz w:val="18"/>
      <w:szCs w:val="18"/>
    </w:rPr>
  </w:style>
  <w:style w:type="character" w:customStyle="1" w:styleId="32">
    <w:name w:val="标题 6 Char"/>
    <w:link w:val="6"/>
    <w:qFormat/>
    <w:uiPriority w:val="0"/>
    <w:rPr>
      <w:rFonts w:ascii="Arial" w:hAnsi="Arial" w:eastAsia="黑体"/>
      <w:b/>
      <w:bCs/>
      <w:kern w:val="2"/>
      <w:sz w:val="24"/>
      <w:szCs w:val="24"/>
    </w:rPr>
  </w:style>
  <w:style w:type="character" w:customStyle="1" w:styleId="33">
    <w:name w:val="纯文本 Char Char"/>
    <w:uiPriority w:val="0"/>
    <w:rPr>
      <w:rFonts w:ascii="宋体" w:hAnsi="Courier New" w:eastAsia="宋体"/>
      <w:kern w:val="2"/>
      <w:sz w:val="21"/>
      <w:szCs w:val="21"/>
      <w:lang w:val="en-US" w:eastAsia="zh-CN" w:bidi="ar-SA"/>
    </w:rPr>
  </w:style>
  <w:style w:type="character" w:customStyle="1" w:styleId="34">
    <w:name w:val="批注主题 Char"/>
    <w:link w:val="20"/>
    <w:uiPriority w:val="0"/>
    <w:rPr>
      <w:kern w:val="2"/>
      <w:sz w:val="21"/>
    </w:rPr>
  </w:style>
  <w:style w:type="character" w:customStyle="1" w:styleId="35">
    <w:name w:val="正文缩进 Char"/>
    <w:link w:val="8"/>
    <w:qFormat/>
    <w:uiPriority w:val="0"/>
    <w:rPr>
      <w:kern w:val="2"/>
      <w:sz w:val="24"/>
      <w:szCs w:val="24"/>
    </w:rPr>
  </w:style>
  <w:style w:type="character" w:customStyle="1" w:styleId="36">
    <w:name w:val="页脚 Char"/>
    <w:link w:val="15"/>
    <w:qFormat/>
    <w:uiPriority w:val="99"/>
    <w:rPr>
      <w:kern w:val="2"/>
      <w:sz w:val="18"/>
    </w:rPr>
  </w:style>
  <w:style w:type="character" w:customStyle="1" w:styleId="37">
    <w:name w:val="批注文字 Char"/>
    <w:link w:val="10"/>
    <w:qFormat/>
    <w:uiPriority w:val="0"/>
    <w:rPr>
      <w:kern w:val="2"/>
      <w:sz w:val="21"/>
    </w:rPr>
  </w:style>
  <w:style w:type="character" w:customStyle="1" w:styleId="38">
    <w:name w:val="纯文本 Char"/>
    <w:link w:val="13"/>
    <w:qFormat/>
    <w:uiPriority w:val="0"/>
    <w:rPr>
      <w:rFonts w:ascii="宋体" w:hAnsi="Courier New"/>
      <w:kern w:val="2"/>
      <w:sz w:val="21"/>
      <w:szCs w:val="21"/>
    </w:rPr>
  </w:style>
  <w:style w:type="paragraph" w:customStyle="1" w:styleId="39">
    <w:name w:val="修订1"/>
    <w:semiHidden/>
    <w:uiPriority w:val="99"/>
    <w:rPr>
      <w:rFonts w:ascii="Times New Roman" w:hAnsi="Times New Roman" w:eastAsia="宋体" w:cs="Times New Roman"/>
      <w:kern w:val="2"/>
      <w:sz w:val="21"/>
      <w:lang w:val="en-US" w:eastAsia="zh-CN" w:bidi="ar-SA"/>
    </w:rPr>
  </w:style>
  <w:style w:type="paragraph" w:customStyle="1" w:styleId="4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1">
    <w:name w:val="列出段落1"/>
    <w:basedOn w:val="1"/>
    <w:qFormat/>
    <w:uiPriority w:val="34"/>
    <w:pPr>
      <w:ind w:firstLine="420" w:firstLineChars="200"/>
    </w:pPr>
  </w:style>
  <w:style w:type="paragraph" w:customStyle="1" w:styleId="42">
    <w:name w:val="样式 样式 标题 2 + 宋体 五号 非加粗 黑色 + 段前: 6 磅 段后: 0 磅 行距: 单倍行距"/>
    <w:basedOn w:val="43"/>
    <w:qFormat/>
    <w:uiPriority w:val="0"/>
    <w:pPr>
      <w:spacing w:before="120" w:after="0" w:line="240" w:lineRule="auto"/>
    </w:pPr>
    <w:rPr>
      <w:rFonts w:cs="宋体"/>
      <w:szCs w:val="20"/>
    </w:rPr>
  </w:style>
  <w:style w:type="paragraph" w:customStyle="1" w:styleId="43">
    <w:name w:val="样式 标题 2 + 宋体 五号 非加粗 黑色"/>
    <w:basedOn w:val="3"/>
    <w:uiPriority w:val="0"/>
    <w:rPr>
      <w:rFonts w:ascii="宋体" w:hAnsi="宋体" w:eastAsia="宋体"/>
      <w:b w:val="0"/>
      <w:bCs w:val="0"/>
      <w:color w:val="000000"/>
      <w:sz w:val="21"/>
    </w:rPr>
  </w:style>
  <w:style w:type="paragraph" w:customStyle="1" w:styleId="44">
    <w:name w:val="样式 宋体 五号 行距: 单倍行距"/>
    <w:basedOn w:val="1"/>
    <w:uiPriority w:val="0"/>
    <w:rPr>
      <w:rFonts w:ascii="宋体" w:hAnsi="宋体" w:cs="宋体"/>
    </w:rPr>
  </w:style>
  <w:style w:type="paragraph" w:customStyle="1" w:styleId="45">
    <w:name w:val="修订2"/>
    <w:semiHidden/>
    <w:uiPriority w:val="99"/>
    <w:rPr>
      <w:rFonts w:ascii="Times New Roman" w:hAnsi="Times New Roman" w:eastAsia="宋体" w:cs="Times New Roman"/>
      <w:kern w:val="2"/>
      <w:sz w:val="21"/>
      <w:lang w:val="en-US" w:eastAsia="zh-CN" w:bidi="ar-SA"/>
    </w:rPr>
  </w:style>
  <w:style w:type="paragraph" w:customStyle="1" w:styleId="46">
    <w:name w:val="图标题"/>
    <w:basedOn w:val="1"/>
    <w:qFormat/>
    <w:uiPriority w:val="0"/>
    <w:pPr>
      <w:tabs>
        <w:tab w:val="left" w:pos="4260"/>
      </w:tabs>
      <w:adjustRightInd w:val="0"/>
      <w:spacing w:line="360" w:lineRule="atLeast"/>
      <w:ind w:left="4260" w:hanging="420"/>
      <w:jc w:val="left"/>
      <w:textAlignment w:val="baseline"/>
    </w:pPr>
    <w:rPr>
      <w:kern w:val="0"/>
      <w:sz w:val="24"/>
    </w:rPr>
  </w:style>
  <w:style w:type="paragraph" w:customStyle="1" w:styleId="47">
    <w:name w:val="Char"/>
    <w:basedOn w:val="1"/>
    <w:qFormat/>
    <w:uiPriority w:val="0"/>
  </w:style>
  <w:style w:type="paragraph" w:customStyle="1" w:styleId="48">
    <w:name w:val="样式 样式 样式 标题 2 + 宋体 五号 非加粗 黑色 + 段前: 6 磅 段后: 0 磅 行距: 单倍行距 + 段前: 12..."/>
    <w:basedOn w:val="42"/>
    <w:qFormat/>
    <w:uiPriority w:val="0"/>
    <w:pPr>
      <w:spacing w:before="240"/>
    </w:pPr>
  </w:style>
  <w:style w:type="paragraph" w:customStyle="1" w:styleId="49">
    <w:name w:val="xl87"/>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color w:val="FF0000"/>
      <w:kern w:val="0"/>
      <w:sz w:val="20"/>
    </w:rPr>
  </w:style>
  <w:style w:type="paragraph" w:customStyle="1" w:styleId="50">
    <w:name w:val="样式 标题 4 + 段前: 5 磅 段后: 5 磅 行距: 单倍行距"/>
    <w:basedOn w:val="5"/>
    <w:qFormat/>
    <w:uiPriority w:val="0"/>
    <w:pPr>
      <w:spacing w:before="100" w:after="100" w:line="240" w:lineRule="auto"/>
    </w:pPr>
    <w:rPr>
      <w:rFonts w:cs="宋体"/>
      <w:szCs w:val="20"/>
    </w:rPr>
  </w:style>
  <w:style w:type="paragraph" w:customStyle="1" w:styleId="51">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52">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53">
    <w:name w:val="样式 样式 样式 样式 标题 2 + 宋体 五号 非加粗 黑色 + 段前: 6 磅 段后: 0 磅 行距: 单倍行距 + 段前:..."/>
    <w:basedOn w:val="48"/>
    <w:qFormat/>
    <w:uiPriority w:val="0"/>
    <w:rPr>
      <w:b/>
      <w:bCs/>
    </w:rPr>
  </w:style>
  <w:style w:type="paragraph" w:customStyle="1" w:styleId="54">
    <w:name w:val="样式1"/>
    <w:basedOn w:val="1"/>
    <w:qFormat/>
    <w:uiPriority w:val="0"/>
    <w:pPr>
      <w:tabs>
        <w:tab w:val="left" w:pos="709"/>
      </w:tabs>
      <w:ind w:left="709" w:hanging="709"/>
    </w:pPr>
    <w:rPr>
      <w:rFonts w:ascii="宋体" w:hAnsi="宋体"/>
      <w:szCs w:val="21"/>
    </w:rPr>
  </w:style>
  <w:style w:type="paragraph" w:customStyle="1" w:styleId="55">
    <w:name w:val="Char Char Char Char Char Char"/>
    <w:basedOn w:val="1"/>
    <w:qFormat/>
    <w:uiPriority w:val="0"/>
    <w:rPr>
      <w:rFonts w:ascii="Tahoma" w:hAnsi="Tahoma"/>
      <w:sz w:val="24"/>
    </w:rPr>
  </w:style>
  <w:style w:type="paragraph" w:customStyle="1" w:styleId="56">
    <w:name w:val="部分"/>
    <w:basedOn w:val="1"/>
    <w:link w:val="57"/>
    <w:qFormat/>
    <w:uiPriority w:val="0"/>
    <w:pPr>
      <w:shd w:val="clear" w:color="auto" w:fill="DDD9C4" w:themeFill="background2" w:themeFillShade="E6"/>
      <w:spacing w:before="260" w:after="260" w:line="415" w:lineRule="auto"/>
      <w:ind w:left="425" w:hanging="425"/>
      <w:jc w:val="center"/>
    </w:pPr>
    <w:rPr>
      <w:rFonts w:asciiTheme="minorHAnsi" w:hAnsiTheme="minorHAnsi" w:eastAsiaTheme="minorEastAsia" w:cstheme="minorBidi"/>
      <w:b/>
      <w:sz w:val="36"/>
      <w:szCs w:val="32"/>
    </w:rPr>
  </w:style>
  <w:style w:type="character" w:customStyle="1" w:styleId="57">
    <w:name w:val="部分 Char"/>
    <w:basedOn w:val="23"/>
    <w:link w:val="56"/>
    <w:qFormat/>
    <w:uiPriority w:val="0"/>
    <w:rPr>
      <w:rFonts w:asciiTheme="minorHAnsi" w:hAnsiTheme="minorHAnsi" w:eastAsiaTheme="minorEastAsia" w:cstheme="minorBidi"/>
      <w:b/>
      <w:kern w:val="2"/>
      <w:sz w:val="36"/>
      <w:szCs w:val="32"/>
      <w:shd w:val="clear" w:color="auto" w:fill="DDD9C4" w:themeFill="background2" w:themeFillShade="E6"/>
    </w:rPr>
  </w:style>
  <w:style w:type="paragraph" w:customStyle="1" w:styleId="58">
    <w:name w:val="正文内容"/>
    <w:basedOn w:val="1"/>
    <w:link w:val="59"/>
    <w:qFormat/>
    <w:uiPriority w:val="0"/>
    <w:pPr>
      <w:spacing w:line="400" w:lineRule="exact"/>
      <w:ind w:firstLine="420" w:firstLineChars="200"/>
    </w:pPr>
    <w:rPr>
      <w:rFonts w:asciiTheme="minorHAnsi" w:hAnsiTheme="minorHAnsi" w:eastAsiaTheme="minorEastAsia" w:cstheme="minorBidi"/>
      <w:szCs w:val="22"/>
    </w:rPr>
  </w:style>
  <w:style w:type="character" w:customStyle="1" w:styleId="59">
    <w:name w:val="正文内容 Char"/>
    <w:basedOn w:val="23"/>
    <w:link w:val="58"/>
    <w:qFormat/>
    <w:uiPriority w:val="0"/>
    <w:rPr>
      <w:rFonts w:asciiTheme="minorHAnsi" w:hAnsiTheme="minorHAnsi" w:eastAsiaTheme="minorEastAsia" w:cstheme="minorBidi"/>
      <w:kern w:val="2"/>
      <w:sz w:val="21"/>
      <w:szCs w:val="22"/>
    </w:rPr>
  </w:style>
  <w:style w:type="character" w:customStyle="1" w:styleId="60">
    <w:name w:val="标题 2 Char"/>
    <w:basedOn w:val="23"/>
    <w:link w:val="3"/>
    <w:qFormat/>
    <w:uiPriority w:val="9"/>
    <w:rPr>
      <w:rFonts w:ascii="Arial" w:hAnsi="Arial" w:eastAsia="黑体"/>
      <w:b/>
      <w:bCs/>
      <w:kern w:val="2"/>
      <w:sz w:val="32"/>
      <w:szCs w:val="32"/>
    </w:rPr>
  </w:style>
  <w:style w:type="character" w:customStyle="1" w:styleId="61">
    <w:name w:val="标题 1 Char"/>
    <w:basedOn w:val="23"/>
    <w:link w:val="2"/>
    <w:qFormat/>
    <w:uiPriority w:val="9"/>
    <w:rPr>
      <w:b/>
      <w:bCs/>
      <w:kern w:val="44"/>
      <w:sz w:val="44"/>
      <w:szCs w:val="44"/>
    </w:rPr>
  </w:style>
  <w:style w:type="character" w:customStyle="1" w:styleId="62">
    <w:name w:val="标题 4 Char"/>
    <w:basedOn w:val="23"/>
    <w:link w:val="5"/>
    <w:qFormat/>
    <w:uiPriority w:val="9"/>
    <w:rPr>
      <w:rFonts w:ascii="Arial" w:hAnsi="Arial" w:eastAsia="黑体"/>
      <w:b/>
      <w:bCs/>
      <w:kern w:val="2"/>
      <w:sz w:val="28"/>
      <w:szCs w:val="28"/>
    </w:rPr>
  </w:style>
  <w:style w:type="paragraph" w:customStyle="1" w:styleId="63">
    <w:name w:val="TOC 标题1"/>
    <w:basedOn w:val="2"/>
    <w:next w:val="1"/>
    <w:unhideWhenUsed/>
    <w:qFormat/>
    <w:uiPriority w:val="39"/>
    <w:pPr>
      <w:widowControl/>
      <w:spacing w:before="240" w:after="0" w:line="259" w:lineRule="auto"/>
      <w:ind w:left="0" w:firstLine="0"/>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styleId="64">
    <w:name w:val="List Paragraph"/>
    <w:basedOn w:val="1"/>
    <w:qFormat/>
    <w:uiPriority w:val="34"/>
    <w:pPr>
      <w:adjustRightInd w:val="0"/>
      <w:spacing w:line="360" w:lineRule="atLeast"/>
      <w:ind w:firstLine="200" w:firstLineChars="200"/>
      <w:jc w:val="left"/>
      <w:textAlignment w:val="baseline"/>
    </w:pPr>
    <w:rPr>
      <w:szCs w:val="21"/>
    </w:rPr>
  </w:style>
  <w:style w:type="paragraph" w:customStyle="1" w:styleId="65">
    <w:name w:val="正文字缩2字"/>
    <w:basedOn w:val="1"/>
    <w:qFormat/>
    <w:uiPriority w:val="0"/>
    <w:pPr>
      <w:spacing w:before="60" w:after="60" w:line="360" w:lineRule="auto"/>
      <w:ind w:left="200" w:leftChars="200" w:firstLine="200" w:firstLineChars="200"/>
    </w:pPr>
    <w:rPr>
      <w:sz w:val="24"/>
      <w:szCs w:val="24"/>
    </w:rPr>
  </w:style>
  <w:style w:type="paragraph" w:customStyle="1" w:styleId="6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67">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360zip$Temp\360$4\&#20844;&#24320;&#25307;&#26631;&#27169;&#26495;201810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B768E2-03C6-49B2-902F-C7BA5684560D}">
  <ds:schemaRefs/>
</ds:datastoreItem>
</file>

<file path=docProps/app.xml><?xml version="1.0" encoding="utf-8"?>
<Properties xmlns="http://schemas.openxmlformats.org/officeDocument/2006/extended-properties" xmlns:vt="http://schemas.openxmlformats.org/officeDocument/2006/docPropsVTypes">
  <Template>公开招标模板20181014</Template>
  <Pages>46</Pages>
  <Words>5229</Words>
  <Characters>29809</Characters>
  <Lines>248</Lines>
  <Paragraphs>69</Paragraphs>
  <TotalTime>23</TotalTime>
  <ScaleCrop>false</ScaleCrop>
  <LinksUpToDate>false</LinksUpToDate>
  <CharactersWithSpaces>34969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2019-04-17T07:38:00Z</dcterms:created>
  <dc:creator>修缮采购科</dc:creator>
  <cp:lastModifiedBy>修缮采购科</cp:lastModifiedBy>
  <dcterms:modified xsi:type="dcterms:W3CDTF">2019-04-18T02:11:31Z</dcterms:modified>
  <dc:title>招标文件范本—货物类采购项目（20120330版）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