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48"/>
          <w:szCs w:val="48"/>
          <w:highlight w:val="none"/>
        </w:rPr>
      </w:pPr>
      <w:bookmarkStart w:id="1210" w:name="_GoBack"/>
    </w:p>
    <w:p>
      <w:pPr>
        <w:pStyle w:val="17"/>
        <w:spacing w:line="480" w:lineRule="auto"/>
        <w:ind w:firstLine="0"/>
        <w:jc w:val="center"/>
        <w:rPr>
          <w:rFonts w:ascii="宋体"/>
          <w:b/>
          <w:sz w:val="44"/>
          <w:szCs w:val="44"/>
          <w:highlight w:val="none"/>
        </w:rPr>
      </w:pPr>
      <w:r>
        <w:rPr>
          <w:rFonts w:hint="eastAsia" w:ascii="宋体" w:hAnsi="宋体"/>
          <w:b/>
          <w:sz w:val="44"/>
          <w:szCs w:val="44"/>
          <w:highlight w:val="none"/>
        </w:rPr>
        <w:t>中央财经大学学院南路校区水塔拆除工程</w:t>
      </w:r>
    </w:p>
    <w:p>
      <w:pPr>
        <w:pStyle w:val="17"/>
        <w:spacing w:line="480" w:lineRule="auto"/>
        <w:ind w:firstLine="0"/>
        <w:jc w:val="center"/>
        <w:rPr>
          <w:rFonts w:ascii="宋体"/>
          <w:b/>
          <w:sz w:val="44"/>
          <w:szCs w:val="44"/>
          <w:highlight w:val="none"/>
        </w:rPr>
      </w:pPr>
      <w:r>
        <w:rPr>
          <w:rFonts w:hint="eastAsia" w:ascii="宋体" w:hAnsi="宋体"/>
          <w:b/>
          <w:sz w:val="44"/>
          <w:szCs w:val="44"/>
          <w:highlight w:val="none"/>
        </w:rPr>
        <w:t>采购项目</w:t>
      </w:r>
    </w:p>
    <w:p>
      <w:pPr>
        <w:pStyle w:val="17"/>
        <w:spacing w:line="360" w:lineRule="auto"/>
        <w:ind w:firstLine="0"/>
        <w:jc w:val="center"/>
        <w:rPr>
          <w:rFonts w:ascii="宋体"/>
          <w:b/>
          <w:sz w:val="52"/>
          <w:szCs w:val="52"/>
          <w:highlight w:val="none"/>
        </w:rPr>
      </w:pPr>
    </w:p>
    <w:p>
      <w:pPr>
        <w:pStyle w:val="17"/>
        <w:spacing w:line="360" w:lineRule="auto"/>
        <w:ind w:firstLine="0"/>
        <w:rPr>
          <w:rFonts w:ascii="宋体"/>
          <w:b/>
          <w:sz w:val="52"/>
          <w:szCs w:val="52"/>
          <w:highlight w:val="none"/>
        </w:rPr>
      </w:pPr>
    </w:p>
    <w:p>
      <w:pPr>
        <w:pStyle w:val="17"/>
        <w:spacing w:line="360" w:lineRule="auto"/>
        <w:ind w:firstLine="0"/>
        <w:jc w:val="center"/>
        <w:rPr>
          <w:rFonts w:ascii="宋体"/>
          <w:b/>
          <w:sz w:val="52"/>
          <w:szCs w:val="52"/>
          <w:highlight w:val="none"/>
        </w:rPr>
      </w:pPr>
    </w:p>
    <w:p>
      <w:pPr>
        <w:pStyle w:val="17"/>
        <w:spacing w:line="360" w:lineRule="auto"/>
        <w:ind w:firstLine="0"/>
        <w:jc w:val="center"/>
        <w:rPr>
          <w:rFonts w:ascii="宋体"/>
          <w:b/>
          <w:sz w:val="52"/>
          <w:szCs w:val="52"/>
          <w:highlight w:val="none"/>
        </w:rPr>
      </w:pPr>
    </w:p>
    <w:p>
      <w:pPr>
        <w:spacing w:line="360" w:lineRule="auto"/>
        <w:jc w:val="center"/>
        <w:rPr>
          <w:rFonts w:cs="Arial"/>
          <w:b/>
          <w:sz w:val="84"/>
          <w:szCs w:val="84"/>
          <w:highlight w:val="none"/>
        </w:rPr>
      </w:pPr>
      <w:r>
        <w:rPr>
          <w:rFonts w:hint="eastAsia" w:cs="Arial"/>
          <w:b/>
          <w:sz w:val="84"/>
          <w:szCs w:val="84"/>
          <w:highlight w:val="none"/>
        </w:rPr>
        <w:t>竞争性磋商文件</w:t>
      </w:r>
    </w:p>
    <w:p>
      <w:pPr>
        <w:spacing w:line="360" w:lineRule="auto"/>
        <w:rPr>
          <w:rFonts w:cs="Arial"/>
          <w:sz w:val="24"/>
          <w:highlight w:val="none"/>
        </w:rPr>
      </w:pPr>
    </w:p>
    <w:p>
      <w:pPr>
        <w:spacing w:line="360" w:lineRule="auto"/>
        <w:ind w:firstLine="2891" w:firstLineChars="900"/>
        <w:rPr>
          <w:rFonts w:hint="eastAsia" w:eastAsia="宋体"/>
          <w:b/>
          <w:sz w:val="30"/>
          <w:szCs w:val="30"/>
          <w:highlight w:val="none"/>
          <w:lang w:val="en-US" w:eastAsia="zh-CN"/>
        </w:rPr>
      </w:pPr>
      <w:r>
        <w:rPr>
          <w:rFonts w:hint="eastAsia"/>
          <w:b/>
          <w:sz w:val="32"/>
          <w:szCs w:val="18"/>
          <w:highlight w:val="none"/>
        </w:rPr>
        <w:t>项目编号：</w:t>
      </w:r>
      <w:r>
        <w:rPr>
          <w:b/>
          <w:sz w:val="32"/>
          <w:szCs w:val="18"/>
          <w:highlight w:val="none"/>
        </w:rPr>
        <w:t>XS</w:t>
      </w:r>
      <w:r>
        <w:rPr>
          <w:rFonts w:hint="eastAsia"/>
          <w:b/>
          <w:sz w:val="32"/>
          <w:szCs w:val="18"/>
          <w:highlight w:val="none"/>
          <w:lang w:val="en-US" w:eastAsia="zh-CN"/>
        </w:rPr>
        <w:t>-2018024</w:t>
      </w:r>
    </w:p>
    <w:p>
      <w:pPr>
        <w:spacing w:line="360" w:lineRule="auto"/>
        <w:jc w:val="center"/>
        <w:rPr>
          <w:rFonts w:cs="Arial"/>
          <w:sz w:val="24"/>
          <w:highlight w:val="none"/>
        </w:rPr>
      </w:pPr>
    </w:p>
    <w:p>
      <w:pPr>
        <w:spacing w:line="360" w:lineRule="auto"/>
        <w:jc w:val="center"/>
        <w:rPr>
          <w:rFonts w:cs="Arial"/>
          <w:sz w:val="24"/>
          <w:highlight w:val="none"/>
        </w:rPr>
      </w:pPr>
    </w:p>
    <w:p>
      <w:pPr>
        <w:spacing w:line="360" w:lineRule="auto"/>
        <w:jc w:val="center"/>
        <w:rPr>
          <w:rFonts w:cs="Arial"/>
          <w:sz w:val="24"/>
          <w:highlight w:val="none"/>
        </w:rPr>
      </w:pPr>
    </w:p>
    <w:p>
      <w:pPr>
        <w:spacing w:line="360" w:lineRule="auto"/>
        <w:ind w:firstLine="3698" w:firstLineChars="1151"/>
        <w:rPr>
          <w:b/>
          <w:sz w:val="32"/>
          <w:szCs w:val="18"/>
          <w:highlight w:val="none"/>
        </w:rPr>
      </w:pPr>
    </w:p>
    <w:p>
      <w:pPr>
        <w:spacing w:line="360" w:lineRule="auto"/>
        <w:ind w:firstLine="3698" w:firstLineChars="1151"/>
        <w:rPr>
          <w:b/>
          <w:sz w:val="32"/>
          <w:szCs w:val="18"/>
          <w:highlight w:val="none"/>
        </w:rPr>
      </w:pPr>
    </w:p>
    <w:p>
      <w:pPr>
        <w:spacing w:line="360" w:lineRule="auto"/>
        <w:ind w:firstLine="3698" w:firstLineChars="1151"/>
        <w:rPr>
          <w:b/>
          <w:sz w:val="32"/>
          <w:szCs w:val="18"/>
          <w:highlight w:val="none"/>
        </w:rPr>
      </w:pPr>
    </w:p>
    <w:p>
      <w:pPr>
        <w:spacing w:line="360" w:lineRule="auto"/>
        <w:rPr>
          <w:b/>
          <w:sz w:val="32"/>
          <w:szCs w:val="18"/>
          <w:highlight w:val="none"/>
        </w:rPr>
      </w:pPr>
    </w:p>
    <w:p>
      <w:pPr>
        <w:spacing w:line="360" w:lineRule="auto"/>
        <w:jc w:val="center"/>
        <w:rPr>
          <w:rFonts w:cs="Arial"/>
          <w:b/>
          <w:sz w:val="36"/>
          <w:szCs w:val="36"/>
          <w:highlight w:val="none"/>
        </w:rPr>
      </w:pPr>
    </w:p>
    <w:p>
      <w:pPr>
        <w:spacing w:line="360" w:lineRule="auto"/>
        <w:jc w:val="center"/>
        <w:rPr>
          <w:rFonts w:cs="Arial"/>
          <w:b/>
          <w:sz w:val="36"/>
          <w:szCs w:val="36"/>
          <w:highlight w:val="none"/>
        </w:rPr>
      </w:pPr>
      <w:r>
        <w:rPr>
          <w:rFonts w:hint="eastAsia"/>
          <w:b/>
          <w:sz w:val="32"/>
          <w:szCs w:val="32"/>
          <w:highlight w:val="none"/>
        </w:rPr>
        <w:t>中经</w:t>
      </w:r>
      <w:r>
        <w:rPr>
          <w:rFonts w:hint="eastAsia" w:cs="Arial"/>
          <w:b/>
          <w:sz w:val="36"/>
          <w:szCs w:val="36"/>
          <w:highlight w:val="none"/>
        </w:rPr>
        <w:t>国际招标集团有限公司</w:t>
      </w:r>
    </w:p>
    <w:p>
      <w:pPr>
        <w:spacing w:line="360" w:lineRule="auto"/>
        <w:jc w:val="center"/>
        <w:rPr>
          <w:szCs w:val="18"/>
          <w:highlight w:val="none"/>
        </w:rPr>
      </w:pPr>
      <w:r>
        <w:rPr>
          <w:rFonts w:cs="Arial"/>
          <w:b/>
          <w:sz w:val="36"/>
          <w:szCs w:val="36"/>
          <w:highlight w:val="none"/>
        </w:rPr>
        <w:t>2018</w:t>
      </w:r>
      <w:r>
        <w:rPr>
          <w:rFonts w:hint="eastAsia" w:cs="Arial"/>
          <w:b/>
          <w:sz w:val="36"/>
          <w:szCs w:val="36"/>
          <w:highlight w:val="none"/>
        </w:rPr>
        <w:t>年</w:t>
      </w:r>
      <w:r>
        <w:rPr>
          <w:rFonts w:cs="Arial"/>
          <w:b/>
          <w:sz w:val="36"/>
          <w:szCs w:val="36"/>
          <w:highlight w:val="none"/>
        </w:rPr>
        <w:t>07</w:t>
      </w:r>
      <w:r>
        <w:rPr>
          <w:rFonts w:hint="eastAsia" w:cs="Arial"/>
          <w:b/>
          <w:sz w:val="36"/>
          <w:szCs w:val="36"/>
          <w:highlight w:val="none"/>
        </w:rPr>
        <w:t>月</w:t>
      </w:r>
      <w:r>
        <w:rPr>
          <w:szCs w:val="32"/>
          <w:highlight w:val="none"/>
        </w:rPr>
        <w:br w:type="page"/>
      </w:r>
    </w:p>
    <w:p>
      <w:pPr>
        <w:widowControl/>
        <w:spacing w:line="720" w:lineRule="auto"/>
        <w:jc w:val="center"/>
        <w:rPr>
          <w:b/>
          <w:sz w:val="32"/>
          <w:szCs w:val="32"/>
          <w:highlight w:val="none"/>
        </w:rPr>
      </w:pPr>
      <w:r>
        <w:rPr>
          <w:rFonts w:hint="eastAsia"/>
          <w:b/>
          <w:sz w:val="32"/>
          <w:szCs w:val="32"/>
          <w:highlight w:val="none"/>
        </w:rPr>
        <w:t>目</w:t>
      </w:r>
      <w:r>
        <w:rPr>
          <w:b/>
          <w:sz w:val="32"/>
          <w:szCs w:val="32"/>
          <w:highlight w:val="none"/>
        </w:rPr>
        <w:t xml:space="preserve">   </w:t>
      </w:r>
      <w:r>
        <w:rPr>
          <w:rFonts w:hint="eastAsia"/>
          <w:b/>
          <w:sz w:val="32"/>
          <w:szCs w:val="32"/>
          <w:highlight w:val="none"/>
        </w:rPr>
        <w:t>录</w:t>
      </w:r>
    </w:p>
    <w:p>
      <w:pPr>
        <w:pStyle w:val="37"/>
        <w:spacing w:line="720" w:lineRule="auto"/>
        <w:jc w:val="center"/>
        <w:rPr>
          <w:rFonts w:hAnsi="宋体" w:eastAsia="宋体" w:cs="Times New Roman"/>
          <w:b w:val="0"/>
          <w:kern w:val="2"/>
          <w:sz w:val="21"/>
          <w:szCs w:val="22"/>
          <w:highlight w:val="none"/>
        </w:rPr>
      </w:pPr>
      <w:r>
        <w:rPr>
          <w:b w:val="0"/>
          <w:sz w:val="32"/>
          <w:szCs w:val="32"/>
          <w:highlight w:val="none"/>
        </w:rPr>
        <w:fldChar w:fldCharType="begin"/>
      </w:r>
      <w:r>
        <w:rPr>
          <w:b w:val="0"/>
          <w:sz w:val="32"/>
          <w:szCs w:val="32"/>
          <w:highlight w:val="none"/>
        </w:rPr>
        <w:instrText xml:space="preserve"> TOC \o "1-2" \h \z \u </w:instrText>
      </w:r>
      <w:r>
        <w:rPr>
          <w:b w:val="0"/>
          <w:sz w:val="32"/>
          <w:szCs w:val="32"/>
          <w:highlight w:val="none"/>
        </w:rPr>
        <w:fldChar w:fldCharType="separate"/>
      </w:r>
      <w:r>
        <w:rPr>
          <w:highlight w:val="none"/>
        </w:rPr>
        <w:fldChar w:fldCharType="begin"/>
      </w:r>
      <w:r>
        <w:rPr>
          <w:highlight w:val="none"/>
        </w:rPr>
        <w:instrText xml:space="preserve"> HYPERLINK \l "_Toc508871661" </w:instrText>
      </w:r>
      <w:r>
        <w:rPr>
          <w:highlight w:val="none"/>
        </w:rPr>
        <w:fldChar w:fldCharType="separate"/>
      </w:r>
      <w:r>
        <w:rPr>
          <w:rStyle w:val="58"/>
          <w:rFonts w:hint="eastAsia" w:hAnsi="宋体" w:eastAsia="宋体"/>
          <w:b w:val="0"/>
          <w:color w:val="auto"/>
          <w:highlight w:val="none"/>
        </w:rPr>
        <w:t>第一章磋商公告</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_Toc508871661 \h </w:instrText>
      </w:r>
      <w:r>
        <w:rPr>
          <w:rFonts w:hAnsi="宋体" w:eastAsia="宋体"/>
          <w:b w:val="0"/>
          <w:highlight w:val="none"/>
        </w:rPr>
        <w:fldChar w:fldCharType="separate"/>
      </w:r>
      <w:r>
        <w:rPr>
          <w:rFonts w:hAnsi="宋体" w:eastAsia="宋体"/>
          <w:b w:val="0"/>
          <w:highlight w:val="none"/>
        </w:rPr>
        <w:t>3</w:t>
      </w:r>
      <w:r>
        <w:rPr>
          <w:rFonts w:hAnsi="宋体" w:eastAsia="宋体"/>
          <w:b w:val="0"/>
          <w:highlight w:val="none"/>
        </w:rPr>
        <w:fldChar w:fldCharType="end"/>
      </w:r>
      <w:r>
        <w:rPr>
          <w:rFonts w:hAnsi="宋体" w:eastAsia="宋体"/>
          <w:b w:val="0"/>
          <w:highlight w:val="none"/>
        </w:rPr>
        <w:fldChar w:fldCharType="end"/>
      </w:r>
    </w:p>
    <w:p>
      <w:pPr>
        <w:pStyle w:val="37"/>
        <w:spacing w:line="720" w:lineRule="auto"/>
        <w:jc w:val="center"/>
        <w:rPr>
          <w:rFonts w:hAnsi="宋体" w:eastAsia="宋体" w:cs="Times New Roman"/>
          <w:b w:val="0"/>
          <w:kern w:val="2"/>
          <w:sz w:val="21"/>
          <w:szCs w:val="22"/>
          <w:highlight w:val="none"/>
        </w:rPr>
      </w:pPr>
      <w:r>
        <w:rPr>
          <w:highlight w:val="none"/>
        </w:rPr>
        <w:fldChar w:fldCharType="begin"/>
      </w:r>
      <w:r>
        <w:rPr>
          <w:highlight w:val="none"/>
        </w:rPr>
        <w:instrText xml:space="preserve"> HYPERLINK \l "_Toc508871662" </w:instrText>
      </w:r>
      <w:r>
        <w:rPr>
          <w:highlight w:val="none"/>
        </w:rPr>
        <w:fldChar w:fldCharType="separate"/>
      </w:r>
      <w:r>
        <w:rPr>
          <w:rStyle w:val="58"/>
          <w:rFonts w:hint="eastAsia" w:hAnsi="宋体" w:eastAsia="宋体"/>
          <w:b w:val="0"/>
          <w:color w:val="auto"/>
          <w:highlight w:val="none"/>
        </w:rPr>
        <w:t>第二章报价人须知前附表</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_Toc508871662 \h </w:instrText>
      </w:r>
      <w:r>
        <w:rPr>
          <w:rFonts w:hAnsi="宋体" w:eastAsia="宋体"/>
          <w:b w:val="0"/>
          <w:highlight w:val="none"/>
        </w:rPr>
        <w:fldChar w:fldCharType="separate"/>
      </w:r>
      <w:r>
        <w:rPr>
          <w:rFonts w:hAnsi="宋体" w:eastAsia="宋体"/>
          <w:b w:val="0"/>
          <w:highlight w:val="none"/>
        </w:rPr>
        <w:t>7</w:t>
      </w:r>
      <w:r>
        <w:rPr>
          <w:rFonts w:hAnsi="宋体" w:eastAsia="宋体"/>
          <w:b w:val="0"/>
          <w:highlight w:val="none"/>
        </w:rPr>
        <w:fldChar w:fldCharType="end"/>
      </w:r>
      <w:r>
        <w:rPr>
          <w:rFonts w:hAnsi="宋体" w:eastAsia="宋体"/>
          <w:b w:val="0"/>
          <w:highlight w:val="none"/>
        </w:rPr>
        <w:fldChar w:fldCharType="end"/>
      </w:r>
    </w:p>
    <w:p>
      <w:pPr>
        <w:pStyle w:val="37"/>
        <w:spacing w:line="720" w:lineRule="auto"/>
        <w:jc w:val="center"/>
        <w:rPr>
          <w:rFonts w:hAnsi="宋体" w:eastAsia="宋体" w:cs="Times New Roman"/>
          <w:b w:val="0"/>
          <w:kern w:val="2"/>
          <w:sz w:val="21"/>
          <w:szCs w:val="22"/>
          <w:highlight w:val="none"/>
        </w:rPr>
      </w:pPr>
      <w:r>
        <w:rPr>
          <w:highlight w:val="none"/>
        </w:rPr>
        <w:fldChar w:fldCharType="begin"/>
      </w:r>
      <w:r>
        <w:rPr>
          <w:highlight w:val="none"/>
        </w:rPr>
        <w:instrText xml:space="preserve"> HYPERLINK \l "_Toc508871663" </w:instrText>
      </w:r>
      <w:r>
        <w:rPr>
          <w:highlight w:val="none"/>
        </w:rPr>
        <w:fldChar w:fldCharType="separate"/>
      </w:r>
      <w:r>
        <w:rPr>
          <w:rStyle w:val="58"/>
          <w:rFonts w:hint="eastAsia" w:hAnsi="宋体" w:eastAsia="宋体"/>
          <w:b w:val="0"/>
          <w:color w:val="auto"/>
          <w:highlight w:val="none"/>
        </w:rPr>
        <w:t>第三章报价人须知</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_Toc508871663 \h </w:instrText>
      </w:r>
      <w:r>
        <w:rPr>
          <w:rFonts w:hAnsi="宋体" w:eastAsia="宋体"/>
          <w:b w:val="0"/>
          <w:highlight w:val="none"/>
        </w:rPr>
        <w:fldChar w:fldCharType="separate"/>
      </w:r>
      <w:r>
        <w:rPr>
          <w:rFonts w:hAnsi="宋体" w:eastAsia="宋体"/>
          <w:b w:val="0"/>
          <w:highlight w:val="none"/>
        </w:rPr>
        <w:t>10</w:t>
      </w:r>
      <w:r>
        <w:rPr>
          <w:rFonts w:hAnsi="宋体" w:eastAsia="宋体"/>
          <w:b w:val="0"/>
          <w:highlight w:val="none"/>
        </w:rPr>
        <w:fldChar w:fldCharType="end"/>
      </w:r>
      <w:r>
        <w:rPr>
          <w:rFonts w:hAnsi="宋体" w:eastAsia="宋体"/>
          <w:b w:val="0"/>
          <w:highlight w:val="none"/>
        </w:rPr>
        <w:fldChar w:fldCharType="end"/>
      </w:r>
    </w:p>
    <w:p>
      <w:pPr>
        <w:pStyle w:val="37"/>
        <w:spacing w:line="720" w:lineRule="auto"/>
        <w:jc w:val="center"/>
        <w:rPr>
          <w:rFonts w:hAnsi="宋体" w:eastAsia="宋体" w:cs="Times New Roman"/>
          <w:b w:val="0"/>
          <w:kern w:val="2"/>
          <w:sz w:val="21"/>
          <w:szCs w:val="22"/>
          <w:highlight w:val="none"/>
        </w:rPr>
      </w:pPr>
      <w:r>
        <w:rPr>
          <w:highlight w:val="none"/>
        </w:rPr>
        <w:fldChar w:fldCharType="begin"/>
      </w:r>
      <w:r>
        <w:rPr>
          <w:highlight w:val="none"/>
        </w:rPr>
        <w:instrText xml:space="preserve"> HYPERLINK \l "_Toc508871664" </w:instrText>
      </w:r>
      <w:r>
        <w:rPr>
          <w:highlight w:val="none"/>
        </w:rPr>
        <w:fldChar w:fldCharType="separate"/>
      </w:r>
      <w:r>
        <w:rPr>
          <w:rStyle w:val="58"/>
          <w:rFonts w:hint="eastAsia" w:hAnsi="宋体" w:eastAsia="宋体"/>
          <w:b w:val="0"/>
          <w:color w:val="auto"/>
          <w:highlight w:val="none"/>
        </w:rPr>
        <w:t>第四章服务内容说明</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_Toc508871664 \h </w:instrText>
      </w:r>
      <w:r>
        <w:rPr>
          <w:rFonts w:hAnsi="宋体" w:eastAsia="宋体"/>
          <w:b w:val="0"/>
          <w:highlight w:val="none"/>
        </w:rPr>
        <w:fldChar w:fldCharType="separate"/>
      </w:r>
      <w:r>
        <w:rPr>
          <w:rFonts w:hAnsi="宋体" w:eastAsia="宋体"/>
          <w:b w:val="0"/>
          <w:highlight w:val="none"/>
        </w:rPr>
        <w:t>18</w:t>
      </w:r>
      <w:r>
        <w:rPr>
          <w:rFonts w:hAnsi="宋体" w:eastAsia="宋体"/>
          <w:b w:val="0"/>
          <w:highlight w:val="none"/>
        </w:rPr>
        <w:fldChar w:fldCharType="end"/>
      </w:r>
      <w:r>
        <w:rPr>
          <w:rFonts w:hAnsi="宋体" w:eastAsia="宋体"/>
          <w:b w:val="0"/>
          <w:highlight w:val="none"/>
        </w:rPr>
        <w:fldChar w:fldCharType="end"/>
      </w:r>
    </w:p>
    <w:p>
      <w:pPr>
        <w:pStyle w:val="37"/>
        <w:spacing w:line="720" w:lineRule="auto"/>
        <w:jc w:val="center"/>
        <w:rPr>
          <w:rFonts w:hAnsi="宋体" w:eastAsia="宋体" w:cs="Times New Roman"/>
          <w:b w:val="0"/>
          <w:kern w:val="2"/>
          <w:sz w:val="21"/>
          <w:szCs w:val="22"/>
          <w:highlight w:val="none"/>
        </w:rPr>
      </w:pPr>
      <w:r>
        <w:rPr>
          <w:highlight w:val="none"/>
        </w:rPr>
        <w:fldChar w:fldCharType="begin"/>
      </w:r>
      <w:r>
        <w:rPr>
          <w:highlight w:val="none"/>
        </w:rPr>
        <w:instrText xml:space="preserve"> HYPERLINK \l "_Toc508871665" </w:instrText>
      </w:r>
      <w:r>
        <w:rPr>
          <w:highlight w:val="none"/>
        </w:rPr>
        <w:fldChar w:fldCharType="separate"/>
      </w:r>
      <w:r>
        <w:rPr>
          <w:rStyle w:val="58"/>
          <w:rFonts w:hint="eastAsia" w:hAnsi="宋体" w:eastAsia="宋体"/>
          <w:b w:val="0"/>
          <w:color w:val="auto"/>
          <w:highlight w:val="none"/>
        </w:rPr>
        <w:t>第五章评审标准及细则</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_Toc508871665 \h </w:instrText>
      </w:r>
      <w:r>
        <w:rPr>
          <w:rFonts w:hAnsi="宋体" w:eastAsia="宋体"/>
          <w:b w:val="0"/>
          <w:highlight w:val="none"/>
        </w:rPr>
        <w:fldChar w:fldCharType="separate"/>
      </w:r>
      <w:r>
        <w:rPr>
          <w:rFonts w:hAnsi="宋体" w:eastAsia="宋体"/>
          <w:b w:val="0"/>
          <w:highlight w:val="none"/>
        </w:rPr>
        <w:t>24</w:t>
      </w:r>
      <w:r>
        <w:rPr>
          <w:rFonts w:hAnsi="宋体" w:eastAsia="宋体"/>
          <w:b w:val="0"/>
          <w:highlight w:val="none"/>
        </w:rPr>
        <w:fldChar w:fldCharType="end"/>
      </w:r>
      <w:r>
        <w:rPr>
          <w:rFonts w:hAnsi="宋体" w:eastAsia="宋体"/>
          <w:b w:val="0"/>
          <w:highlight w:val="none"/>
        </w:rPr>
        <w:fldChar w:fldCharType="end"/>
      </w:r>
    </w:p>
    <w:p>
      <w:pPr>
        <w:pStyle w:val="37"/>
        <w:spacing w:line="720" w:lineRule="auto"/>
        <w:jc w:val="center"/>
        <w:rPr>
          <w:rFonts w:hAnsi="宋体" w:eastAsia="宋体" w:cs="Times New Roman"/>
          <w:b w:val="0"/>
          <w:kern w:val="2"/>
          <w:sz w:val="21"/>
          <w:szCs w:val="22"/>
          <w:highlight w:val="none"/>
        </w:rPr>
      </w:pPr>
      <w:r>
        <w:rPr>
          <w:highlight w:val="none"/>
        </w:rPr>
        <w:fldChar w:fldCharType="begin"/>
      </w:r>
      <w:r>
        <w:rPr>
          <w:highlight w:val="none"/>
        </w:rPr>
        <w:instrText xml:space="preserve"> HYPERLINK \l "_Toc508871666" </w:instrText>
      </w:r>
      <w:r>
        <w:rPr>
          <w:highlight w:val="none"/>
        </w:rPr>
        <w:fldChar w:fldCharType="separate"/>
      </w:r>
      <w:r>
        <w:rPr>
          <w:rStyle w:val="58"/>
          <w:rFonts w:hint="eastAsia" w:hAnsi="宋体" w:eastAsia="宋体"/>
          <w:b w:val="0"/>
          <w:color w:val="auto"/>
          <w:highlight w:val="none"/>
        </w:rPr>
        <w:t>第六章合同条款</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_Toc508871666 \h </w:instrText>
      </w:r>
      <w:r>
        <w:rPr>
          <w:rFonts w:hAnsi="宋体" w:eastAsia="宋体"/>
          <w:b w:val="0"/>
          <w:highlight w:val="none"/>
        </w:rPr>
        <w:fldChar w:fldCharType="separate"/>
      </w:r>
      <w:r>
        <w:rPr>
          <w:rFonts w:hAnsi="宋体" w:eastAsia="宋体"/>
          <w:b w:val="0"/>
          <w:highlight w:val="none"/>
        </w:rPr>
        <w:t>34</w:t>
      </w:r>
      <w:r>
        <w:rPr>
          <w:rFonts w:hAnsi="宋体" w:eastAsia="宋体"/>
          <w:b w:val="0"/>
          <w:highlight w:val="none"/>
        </w:rPr>
        <w:fldChar w:fldCharType="end"/>
      </w:r>
      <w:r>
        <w:rPr>
          <w:rFonts w:hAnsi="宋体" w:eastAsia="宋体"/>
          <w:b w:val="0"/>
          <w:highlight w:val="none"/>
        </w:rPr>
        <w:fldChar w:fldCharType="end"/>
      </w:r>
    </w:p>
    <w:p>
      <w:pPr>
        <w:pStyle w:val="37"/>
        <w:spacing w:line="720" w:lineRule="auto"/>
        <w:jc w:val="center"/>
        <w:rPr>
          <w:rFonts w:hAnsi="宋体" w:eastAsia="宋体" w:cs="Times New Roman"/>
          <w:b w:val="0"/>
          <w:kern w:val="2"/>
          <w:sz w:val="21"/>
          <w:szCs w:val="22"/>
          <w:highlight w:val="none"/>
        </w:rPr>
      </w:pPr>
      <w:r>
        <w:rPr>
          <w:highlight w:val="none"/>
        </w:rPr>
        <w:fldChar w:fldCharType="begin"/>
      </w:r>
      <w:r>
        <w:rPr>
          <w:highlight w:val="none"/>
        </w:rPr>
        <w:instrText xml:space="preserve"> HYPERLINK \l "_Toc508871669" </w:instrText>
      </w:r>
      <w:r>
        <w:rPr>
          <w:highlight w:val="none"/>
        </w:rPr>
        <w:fldChar w:fldCharType="separate"/>
      </w:r>
      <w:r>
        <w:rPr>
          <w:rStyle w:val="58"/>
          <w:rFonts w:hint="eastAsia" w:hAnsi="宋体" w:eastAsia="宋体"/>
          <w:b w:val="0"/>
          <w:color w:val="auto"/>
          <w:highlight w:val="none"/>
        </w:rPr>
        <w:t>第七章响应文件格式</w:t>
      </w:r>
      <w:r>
        <w:rPr>
          <w:rFonts w:hAnsi="宋体" w:eastAsia="宋体"/>
          <w:b w:val="0"/>
          <w:highlight w:val="none"/>
        </w:rPr>
        <w:tab/>
      </w:r>
      <w:r>
        <w:rPr>
          <w:rFonts w:hAnsi="宋体" w:eastAsia="宋体"/>
          <w:b w:val="0"/>
          <w:highlight w:val="none"/>
        </w:rPr>
        <w:fldChar w:fldCharType="begin"/>
      </w:r>
      <w:r>
        <w:rPr>
          <w:rFonts w:hAnsi="宋体" w:eastAsia="宋体"/>
          <w:b w:val="0"/>
          <w:highlight w:val="none"/>
        </w:rPr>
        <w:instrText xml:space="preserve"> PAGEREF _Toc508871669 \h </w:instrText>
      </w:r>
      <w:r>
        <w:rPr>
          <w:rFonts w:hAnsi="宋体" w:eastAsia="宋体"/>
          <w:b w:val="0"/>
          <w:highlight w:val="none"/>
        </w:rPr>
        <w:fldChar w:fldCharType="separate"/>
      </w:r>
      <w:r>
        <w:rPr>
          <w:rFonts w:hAnsi="宋体" w:eastAsia="宋体"/>
          <w:b w:val="0"/>
          <w:highlight w:val="none"/>
        </w:rPr>
        <w:t>57</w:t>
      </w:r>
      <w:r>
        <w:rPr>
          <w:rFonts w:hAnsi="宋体" w:eastAsia="宋体"/>
          <w:b w:val="0"/>
          <w:highlight w:val="none"/>
        </w:rPr>
        <w:fldChar w:fldCharType="end"/>
      </w:r>
      <w:r>
        <w:rPr>
          <w:rFonts w:hAnsi="宋体" w:eastAsia="宋体"/>
          <w:b w:val="0"/>
          <w:highlight w:val="none"/>
        </w:rPr>
        <w:fldChar w:fldCharType="end"/>
      </w:r>
    </w:p>
    <w:p>
      <w:pPr>
        <w:widowControl/>
        <w:jc w:val="left"/>
        <w:rPr>
          <w:sz w:val="32"/>
          <w:szCs w:val="32"/>
          <w:highlight w:val="none"/>
        </w:rPr>
      </w:pPr>
    </w:p>
    <w:p>
      <w:pPr>
        <w:widowControl/>
        <w:jc w:val="left"/>
        <w:rPr>
          <w:b/>
          <w:sz w:val="32"/>
          <w:szCs w:val="18"/>
          <w:highlight w:val="none"/>
        </w:rPr>
      </w:pPr>
      <w:r>
        <w:rPr>
          <w:b/>
          <w:sz w:val="32"/>
          <w:szCs w:val="32"/>
          <w:highlight w:val="none"/>
        </w:rPr>
        <w:fldChar w:fldCharType="end"/>
      </w:r>
    </w:p>
    <w:p>
      <w:pPr>
        <w:pStyle w:val="36"/>
        <w:pBdr>
          <w:bottom w:val="none" w:color="auto" w:sz="0" w:space="0"/>
        </w:pBdr>
        <w:spacing w:line="600" w:lineRule="auto"/>
        <w:rPr>
          <w:b/>
          <w:sz w:val="32"/>
          <w:highlight w:val="none"/>
        </w:rPr>
      </w:pPr>
    </w:p>
    <w:p>
      <w:pPr>
        <w:tabs>
          <w:tab w:val="center" w:pos="4153"/>
          <w:tab w:val="right" w:pos="8306"/>
        </w:tabs>
        <w:spacing w:line="600" w:lineRule="auto"/>
        <w:rPr>
          <w:b/>
          <w:sz w:val="32"/>
          <w:highlight w:val="none"/>
        </w:rPr>
      </w:pPr>
    </w:p>
    <w:p>
      <w:pPr>
        <w:tabs>
          <w:tab w:val="center" w:pos="4153"/>
          <w:tab w:val="right" w:pos="8306"/>
        </w:tabs>
        <w:spacing w:line="600" w:lineRule="auto"/>
        <w:jc w:val="center"/>
        <w:rPr>
          <w:highlight w:val="none"/>
        </w:rPr>
      </w:pP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bookmarkStart w:id="0" w:name="_Toc508871661"/>
      <w:r>
        <w:rPr>
          <w:rFonts w:hint="eastAsia"/>
          <w:highlight w:val="none"/>
        </w:rPr>
        <w:t>第一章</w:t>
      </w:r>
      <w:r>
        <w:rPr>
          <w:highlight w:val="none"/>
        </w:rPr>
        <w:t xml:space="preserve">  </w:t>
      </w:r>
      <w:r>
        <w:rPr>
          <w:rFonts w:hint="eastAsia"/>
          <w:highlight w:val="none"/>
        </w:rPr>
        <w:t>磋商公告</w:t>
      </w:r>
      <w:bookmarkEnd w:id="0"/>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1530"/>
        </w:tabs>
        <w:rPr>
          <w:highlight w:val="none"/>
        </w:rPr>
      </w:pPr>
      <w:r>
        <w:rPr>
          <w:highlight w:val="none"/>
        </w:rPr>
        <w:tab/>
      </w:r>
    </w:p>
    <w:p>
      <w:pPr>
        <w:widowControl/>
        <w:jc w:val="left"/>
        <w:rPr>
          <w:highlight w:val="none"/>
        </w:rPr>
      </w:pPr>
      <w:r>
        <w:rPr>
          <w:highlight w:val="none"/>
        </w:rPr>
        <w:br w:type="page"/>
      </w:r>
    </w:p>
    <w:p>
      <w:pPr>
        <w:tabs>
          <w:tab w:val="left" w:pos="1530"/>
        </w:tabs>
        <w:spacing w:line="480" w:lineRule="auto"/>
        <w:jc w:val="center"/>
        <w:rPr>
          <w:b/>
          <w:sz w:val="32"/>
          <w:szCs w:val="32"/>
          <w:highlight w:val="none"/>
        </w:rPr>
      </w:pPr>
      <w:r>
        <w:rPr>
          <w:rFonts w:hint="eastAsia"/>
          <w:b/>
          <w:sz w:val="32"/>
          <w:szCs w:val="32"/>
          <w:highlight w:val="none"/>
        </w:rPr>
        <w:t>竞争性磋商公告</w:t>
      </w:r>
    </w:p>
    <w:p>
      <w:pPr>
        <w:tabs>
          <w:tab w:val="left" w:pos="1530"/>
        </w:tabs>
        <w:spacing w:line="360" w:lineRule="auto"/>
        <w:ind w:firstLine="480" w:firstLineChars="200"/>
        <w:jc w:val="left"/>
        <w:rPr>
          <w:rFonts w:ascii="宋体"/>
          <w:sz w:val="24"/>
          <w:szCs w:val="24"/>
          <w:highlight w:val="none"/>
        </w:rPr>
      </w:pPr>
      <w:r>
        <w:rPr>
          <w:rFonts w:hint="eastAsia" w:ascii="宋体" w:hAnsi="宋体"/>
          <w:sz w:val="24"/>
          <w:szCs w:val="24"/>
          <w:highlight w:val="none"/>
        </w:rPr>
        <w:t>中经国际招标集团有限公司受中央财经大学委托，对中央财经大学学院南路校区水塔拆除工程采购项目进行竞争性磋商，欢迎合格的报价人参加磋商。</w:t>
      </w:r>
    </w:p>
    <w:p>
      <w:pPr>
        <w:tabs>
          <w:tab w:val="left" w:pos="1530"/>
        </w:tabs>
        <w:spacing w:line="360" w:lineRule="auto"/>
        <w:ind w:firstLine="480"/>
        <w:jc w:val="left"/>
        <w:rPr>
          <w:rFonts w:ascii="宋体"/>
          <w:b/>
          <w:sz w:val="28"/>
          <w:szCs w:val="28"/>
          <w:highlight w:val="none"/>
        </w:rPr>
      </w:pPr>
      <w:r>
        <w:rPr>
          <w:rFonts w:hint="eastAsia" w:ascii="宋体" w:hAnsi="宋体"/>
          <w:b/>
          <w:sz w:val="28"/>
          <w:szCs w:val="28"/>
          <w:highlight w:val="none"/>
        </w:rPr>
        <w:t>一、项目概况</w:t>
      </w:r>
    </w:p>
    <w:p>
      <w:pPr>
        <w:spacing w:line="360" w:lineRule="auto"/>
        <w:ind w:firstLine="480"/>
        <w:rPr>
          <w:rFonts w:ascii="宋体"/>
          <w:sz w:val="24"/>
          <w:szCs w:val="24"/>
          <w:highlight w:val="none"/>
        </w:rPr>
      </w:pPr>
      <w:r>
        <w:rPr>
          <w:rFonts w:ascii="宋体" w:hAnsi="宋体"/>
          <w:sz w:val="24"/>
          <w:szCs w:val="24"/>
          <w:highlight w:val="none"/>
        </w:rPr>
        <w:t>1</w:t>
      </w:r>
      <w:r>
        <w:rPr>
          <w:rFonts w:hint="eastAsia" w:ascii="宋体" w:hAnsi="宋体"/>
          <w:sz w:val="24"/>
          <w:szCs w:val="24"/>
          <w:highlight w:val="none"/>
        </w:rPr>
        <w:t>、项目名称：中央财经大学学院南路校区水塔拆除工程采购项目</w:t>
      </w:r>
    </w:p>
    <w:p>
      <w:pPr>
        <w:spacing w:line="360" w:lineRule="auto"/>
        <w:ind w:firstLine="480"/>
        <w:rPr>
          <w:rFonts w:ascii="宋体"/>
          <w:sz w:val="24"/>
          <w:szCs w:val="24"/>
          <w:highlight w:val="none"/>
        </w:rPr>
      </w:pPr>
      <w:r>
        <w:rPr>
          <w:rFonts w:ascii="宋体" w:hAnsi="宋体"/>
          <w:sz w:val="24"/>
          <w:szCs w:val="24"/>
          <w:highlight w:val="none"/>
        </w:rPr>
        <w:t>2</w:t>
      </w:r>
      <w:r>
        <w:rPr>
          <w:rFonts w:hint="eastAsia" w:ascii="宋体" w:hAnsi="宋体"/>
          <w:sz w:val="24"/>
          <w:szCs w:val="24"/>
          <w:highlight w:val="none"/>
        </w:rPr>
        <w:t>、项目编号</w:t>
      </w:r>
      <w:r>
        <w:rPr>
          <w:rFonts w:hint="eastAsia" w:ascii="宋体" w:hAnsi="宋体"/>
          <w:sz w:val="24"/>
          <w:szCs w:val="24"/>
          <w:highlight w:val="none"/>
        </w:rPr>
        <w:t>：</w:t>
      </w:r>
      <w:r>
        <w:rPr>
          <w:rFonts w:hint="eastAsia" w:ascii="宋体" w:hAnsi="宋体"/>
          <w:color w:val="auto"/>
          <w:sz w:val="24"/>
          <w:szCs w:val="24"/>
          <w:highlight w:val="none"/>
        </w:rPr>
        <w:t>XS</w:t>
      </w:r>
      <w:r>
        <w:rPr>
          <w:rFonts w:hint="eastAsia" w:ascii="宋体" w:hAnsi="宋体"/>
          <w:color w:val="auto"/>
          <w:sz w:val="24"/>
          <w:szCs w:val="24"/>
          <w:highlight w:val="none"/>
          <w:lang w:val="en-US" w:eastAsia="zh-CN"/>
        </w:rPr>
        <w:t>-2018024</w:t>
      </w:r>
    </w:p>
    <w:p>
      <w:pPr>
        <w:spacing w:line="360" w:lineRule="auto"/>
        <w:ind w:firstLine="480"/>
        <w:rPr>
          <w:rFonts w:ascii="宋体"/>
          <w:sz w:val="24"/>
          <w:szCs w:val="24"/>
          <w:highlight w:val="none"/>
        </w:rPr>
      </w:pPr>
      <w:r>
        <w:rPr>
          <w:rFonts w:ascii="宋体" w:hAnsi="宋体"/>
          <w:sz w:val="24"/>
          <w:szCs w:val="24"/>
          <w:highlight w:val="none"/>
        </w:rPr>
        <w:t>3</w:t>
      </w:r>
      <w:r>
        <w:rPr>
          <w:rFonts w:hint="eastAsia" w:ascii="宋体" w:hAnsi="宋体"/>
          <w:sz w:val="24"/>
          <w:szCs w:val="24"/>
          <w:highlight w:val="none"/>
        </w:rPr>
        <w:t>、项目实施地点：中央财经大学学院南路校区</w:t>
      </w:r>
    </w:p>
    <w:p>
      <w:pPr>
        <w:spacing w:line="360" w:lineRule="auto"/>
        <w:ind w:firstLine="480"/>
        <w:rPr>
          <w:rFonts w:ascii="宋体"/>
          <w:sz w:val="24"/>
          <w:szCs w:val="24"/>
          <w:highlight w:val="none"/>
        </w:rPr>
      </w:pPr>
      <w:r>
        <w:rPr>
          <w:rFonts w:ascii="宋体" w:hAnsi="宋体"/>
          <w:sz w:val="24"/>
          <w:szCs w:val="24"/>
          <w:highlight w:val="none"/>
        </w:rPr>
        <w:t>4</w:t>
      </w:r>
      <w:r>
        <w:rPr>
          <w:rFonts w:hint="eastAsia" w:ascii="宋体" w:hAnsi="宋体"/>
          <w:sz w:val="24"/>
          <w:szCs w:val="24"/>
          <w:highlight w:val="none"/>
        </w:rPr>
        <w:t>、采购内容：中央财经大学学院南路校区水塔拆除至与室外地面</w:t>
      </w:r>
      <w:r>
        <w:rPr>
          <w:rFonts w:ascii="宋体" w:hAnsi="宋体"/>
          <w:sz w:val="24"/>
          <w:szCs w:val="24"/>
          <w:highlight w:val="none"/>
        </w:rPr>
        <w:t>-1m</w:t>
      </w:r>
      <w:r>
        <w:rPr>
          <w:rFonts w:hint="eastAsia" w:ascii="宋体" w:hAnsi="宋体"/>
          <w:sz w:val="24"/>
          <w:szCs w:val="24"/>
          <w:highlight w:val="none"/>
        </w:rPr>
        <w:t>，采用种植土回填到室外齐平。具体修缮内容：</w:t>
      </w:r>
      <w:r>
        <w:rPr>
          <w:rFonts w:hint="eastAsia" w:ascii="宋体" w:hAnsi="宋体"/>
          <w:sz w:val="24"/>
          <w:szCs w:val="24"/>
          <w:highlight w:val="none"/>
          <w:u w:val="single"/>
        </w:rPr>
        <w:t>详见项目概况和内容、工程量清单</w:t>
      </w:r>
      <w:r>
        <w:rPr>
          <w:rFonts w:hint="eastAsia" w:ascii="宋体" w:hAnsi="宋体"/>
          <w:sz w:val="24"/>
          <w:szCs w:val="24"/>
          <w:highlight w:val="none"/>
        </w:rPr>
        <w:t>。</w:t>
      </w:r>
    </w:p>
    <w:p>
      <w:pPr>
        <w:spacing w:line="360" w:lineRule="auto"/>
        <w:ind w:firstLine="480"/>
        <w:rPr>
          <w:rFonts w:ascii="宋体"/>
          <w:sz w:val="24"/>
          <w:szCs w:val="24"/>
          <w:highlight w:val="none"/>
        </w:rPr>
      </w:pPr>
      <w:r>
        <w:rPr>
          <w:rFonts w:ascii="宋体" w:hAnsi="宋体"/>
          <w:sz w:val="24"/>
          <w:szCs w:val="24"/>
          <w:highlight w:val="none"/>
        </w:rPr>
        <w:t>5</w:t>
      </w:r>
      <w:r>
        <w:rPr>
          <w:rFonts w:hint="eastAsia" w:ascii="宋体" w:hAnsi="宋体"/>
          <w:sz w:val="24"/>
          <w:szCs w:val="24"/>
          <w:highlight w:val="none"/>
        </w:rPr>
        <w:t>、项目总概算：</w:t>
      </w:r>
      <w:r>
        <w:rPr>
          <w:rFonts w:ascii="宋体" w:hAnsi="宋体"/>
          <w:sz w:val="24"/>
          <w:szCs w:val="24"/>
          <w:highlight w:val="none"/>
        </w:rPr>
        <w:t>3</w:t>
      </w:r>
      <w:r>
        <w:rPr>
          <w:rFonts w:hint="eastAsia" w:ascii="宋体" w:hAnsi="宋体"/>
          <w:sz w:val="24"/>
          <w:szCs w:val="24"/>
          <w:highlight w:val="none"/>
          <w:lang w:val="en-US" w:eastAsia="zh-CN"/>
        </w:rPr>
        <w:t>5.374552</w:t>
      </w:r>
      <w:r>
        <w:rPr>
          <w:rFonts w:hint="eastAsia" w:ascii="宋体" w:hAnsi="宋体"/>
          <w:color w:val="000000"/>
          <w:sz w:val="24"/>
          <w:szCs w:val="24"/>
          <w:highlight w:val="none"/>
        </w:rPr>
        <w:t>万元</w:t>
      </w:r>
      <w:r>
        <w:rPr>
          <w:rFonts w:hint="eastAsia" w:ascii="宋体" w:hAnsi="宋体"/>
          <w:sz w:val="24"/>
          <w:szCs w:val="24"/>
          <w:highlight w:val="none"/>
        </w:rPr>
        <w:t>。</w:t>
      </w:r>
    </w:p>
    <w:p>
      <w:pPr>
        <w:spacing w:line="360" w:lineRule="auto"/>
        <w:ind w:firstLine="480"/>
        <w:rPr>
          <w:rFonts w:ascii="宋体"/>
          <w:sz w:val="24"/>
          <w:szCs w:val="24"/>
          <w:highlight w:val="none"/>
        </w:rPr>
      </w:pPr>
      <w:r>
        <w:rPr>
          <w:rFonts w:ascii="宋体" w:hAnsi="宋体"/>
          <w:sz w:val="24"/>
          <w:szCs w:val="24"/>
          <w:highlight w:val="none"/>
        </w:rPr>
        <w:t>6</w:t>
      </w:r>
      <w:r>
        <w:rPr>
          <w:rFonts w:hint="eastAsia" w:ascii="宋体" w:hAnsi="宋体"/>
          <w:sz w:val="24"/>
          <w:szCs w:val="24"/>
          <w:highlight w:val="none"/>
        </w:rPr>
        <w:t>、资金来源：财政资金</w:t>
      </w:r>
    </w:p>
    <w:p>
      <w:pPr>
        <w:spacing w:line="360" w:lineRule="auto"/>
        <w:ind w:firstLine="480"/>
        <w:rPr>
          <w:rFonts w:ascii="宋体"/>
          <w:sz w:val="24"/>
          <w:szCs w:val="24"/>
          <w:highlight w:val="none"/>
        </w:rPr>
      </w:pPr>
      <w:r>
        <w:rPr>
          <w:rFonts w:ascii="宋体" w:hAnsi="宋体"/>
          <w:sz w:val="24"/>
          <w:szCs w:val="24"/>
          <w:highlight w:val="none"/>
        </w:rPr>
        <w:t>7</w:t>
      </w:r>
      <w:r>
        <w:rPr>
          <w:rFonts w:hint="eastAsia" w:ascii="宋体" w:hAnsi="宋体"/>
          <w:sz w:val="24"/>
          <w:szCs w:val="24"/>
          <w:highlight w:val="none"/>
        </w:rPr>
        <w:t>、工期：</w:t>
      </w:r>
      <w:r>
        <w:rPr>
          <w:rFonts w:ascii="宋体" w:hAnsi="宋体"/>
          <w:sz w:val="24"/>
          <w:szCs w:val="24"/>
          <w:highlight w:val="none"/>
          <w:u w:val="single"/>
        </w:rPr>
        <w:t xml:space="preserve"> 30</w:t>
      </w:r>
      <w:r>
        <w:rPr>
          <w:rFonts w:hint="eastAsia" w:ascii="宋体" w:hAnsi="宋体"/>
          <w:sz w:val="24"/>
          <w:szCs w:val="24"/>
          <w:highlight w:val="none"/>
        </w:rPr>
        <w:t>日历天。</w:t>
      </w:r>
    </w:p>
    <w:p>
      <w:pPr>
        <w:spacing w:line="360" w:lineRule="auto"/>
        <w:ind w:firstLine="480"/>
        <w:rPr>
          <w:rFonts w:ascii="宋体"/>
          <w:sz w:val="24"/>
          <w:szCs w:val="24"/>
          <w:highlight w:val="none"/>
        </w:rPr>
      </w:pPr>
      <w:r>
        <w:rPr>
          <w:rFonts w:ascii="宋体" w:hAnsi="宋体"/>
          <w:sz w:val="24"/>
          <w:szCs w:val="24"/>
          <w:highlight w:val="none"/>
        </w:rPr>
        <w:t>8</w:t>
      </w:r>
      <w:r>
        <w:rPr>
          <w:rFonts w:hint="eastAsia" w:ascii="宋体" w:hAnsi="宋体"/>
          <w:sz w:val="24"/>
          <w:szCs w:val="24"/>
          <w:highlight w:val="none"/>
        </w:rPr>
        <w:t>、分包情况：本项目分</w:t>
      </w:r>
      <w:r>
        <w:rPr>
          <w:rFonts w:ascii="宋体" w:hAnsi="宋体"/>
          <w:sz w:val="24"/>
          <w:szCs w:val="24"/>
          <w:highlight w:val="none"/>
        </w:rPr>
        <w:t>1</w:t>
      </w:r>
      <w:r>
        <w:rPr>
          <w:rFonts w:hint="eastAsia" w:ascii="宋体" w:hAnsi="宋体"/>
          <w:sz w:val="24"/>
          <w:szCs w:val="24"/>
          <w:highlight w:val="none"/>
        </w:rPr>
        <w:t>包</w:t>
      </w:r>
    </w:p>
    <w:p>
      <w:pPr>
        <w:tabs>
          <w:tab w:val="left" w:pos="1530"/>
        </w:tabs>
        <w:spacing w:line="360" w:lineRule="auto"/>
        <w:ind w:firstLine="480"/>
        <w:jc w:val="left"/>
        <w:rPr>
          <w:rFonts w:ascii="宋体"/>
          <w:b/>
          <w:sz w:val="28"/>
          <w:szCs w:val="28"/>
          <w:highlight w:val="none"/>
        </w:rPr>
      </w:pPr>
      <w:r>
        <w:rPr>
          <w:rFonts w:hint="eastAsia" w:ascii="宋体" w:hAnsi="宋体"/>
          <w:b/>
          <w:sz w:val="28"/>
          <w:szCs w:val="28"/>
          <w:highlight w:val="none"/>
        </w:rPr>
        <w:t>二、报价人资格要求</w:t>
      </w:r>
    </w:p>
    <w:p>
      <w:pPr>
        <w:spacing w:line="360" w:lineRule="auto"/>
        <w:ind w:firstLine="480"/>
        <w:rPr>
          <w:rFonts w:ascii="宋体" w:cs="宋体"/>
          <w:kern w:val="0"/>
          <w:sz w:val="24"/>
          <w:szCs w:val="24"/>
          <w:highlight w:val="none"/>
        </w:rPr>
      </w:pPr>
      <w:r>
        <w:rPr>
          <w:rFonts w:ascii="宋体" w:hAnsi="宋体"/>
          <w:sz w:val="24"/>
          <w:szCs w:val="24"/>
          <w:highlight w:val="none"/>
        </w:rPr>
        <w:t>1</w:t>
      </w:r>
      <w:r>
        <w:rPr>
          <w:rFonts w:hint="eastAsia" w:ascii="宋体" w:hAnsi="宋体"/>
          <w:sz w:val="24"/>
          <w:szCs w:val="24"/>
          <w:highlight w:val="none"/>
        </w:rPr>
        <w:t>、</w:t>
      </w:r>
      <w:r>
        <w:rPr>
          <w:rFonts w:hint="eastAsia" w:ascii="宋体" w:hAnsi="宋体" w:cs="宋体"/>
          <w:kern w:val="0"/>
          <w:sz w:val="24"/>
          <w:szCs w:val="24"/>
          <w:highlight w:val="none"/>
        </w:rPr>
        <w:t>在中华人民共和国境内注册，具有独立承担民事责任能力的法人资格；</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2</w:t>
      </w:r>
      <w:r>
        <w:rPr>
          <w:rFonts w:hint="eastAsia" w:ascii="宋体" w:hAnsi="宋体" w:cs="宋体"/>
          <w:kern w:val="0"/>
          <w:sz w:val="24"/>
          <w:szCs w:val="24"/>
          <w:highlight w:val="none"/>
        </w:rPr>
        <w:t>、符合《中华人民共和国政府采购法》第二十二条规定的条件；</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3</w:t>
      </w:r>
      <w:r>
        <w:rPr>
          <w:rFonts w:hint="eastAsia" w:ascii="宋体" w:hAnsi="宋体" w:cs="宋体"/>
          <w:kern w:val="0"/>
          <w:sz w:val="24"/>
          <w:szCs w:val="24"/>
          <w:highlight w:val="none"/>
        </w:rPr>
        <w:t>、单位负责人为同一人或者存在控股、管理关系的不同报价人，不得参加同一合同项下的政府采购活动；</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4</w:t>
      </w:r>
      <w:r>
        <w:rPr>
          <w:rFonts w:hint="eastAsia" w:ascii="宋体" w:hAnsi="宋体" w:cs="宋体"/>
          <w:kern w:val="0"/>
          <w:sz w:val="24"/>
          <w:szCs w:val="24"/>
          <w:highlight w:val="none"/>
        </w:rPr>
        <w:t>、通过“信用中国”网站查询信用记录，对列入失信被执行人、重大税收违法案件当事人、政府采购严重违法失信行为记录名单的报价人，没有资格参加本项目的采购活动；</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5</w:t>
      </w:r>
      <w:r>
        <w:rPr>
          <w:rFonts w:hint="eastAsia" w:ascii="宋体" w:hAnsi="宋体" w:cs="宋体"/>
          <w:kern w:val="0"/>
          <w:sz w:val="24"/>
          <w:szCs w:val="24"/>
          <w:highlight w:val="none"/>
        </w:rPr>
        <w:t>、</w:t>
      </w:r>
      <w:r>
        <w:rPr>
          <w:rFonts w:hint="eastAsia"/>
          <w:sz w:val="24"/>
          <w:highlight w:val="none"/>
        </w:rPr>
        <w:t>具有近三年具有类似项目业绩，并在人员、设备、资金等方面具有相应的施工能力；</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6</w:t>
      </w:r>
      <w:r>
        <w:rPr>
          <w:rFonts w:hint="eastAsia" w:ascii="宋体" w:hAnsi="宋体" w:cs="宋体"/>
          <w:kern w:val="0"/>
          <w:sz w:val="24"/>
          <w:szCs w:val="24"/>
          <w:highlight w:val="none"/>
        </w:rPr>
        <w:t>、不接受联合体磋商；</w:t>
      </w:r>
    </w:p>
    <w:p>
      <w:pPr>
        <w:spacing w:line="360" w:lineRule="auto"/>
        <w:ind w:firstLine="480"/>
        <w:rPr>
          <w:rFonts w:ascii="宋体" w:cs="宋体"/>
          <w:b/>
          <w:kern w:val="0"/>
          <w:sz w:val="24"/>
          <w:szCs w:val="24"/>
          <w:highlight w:val="none"/>
        </w:rPr>
      </w:pPr>
      <w:r>
        <w:rPr>
          <w:rFonts w:hint="eastAsia" w:ascii="宋体" w:hAnsi="宋体"/>
          <w:b/>
          <w:sz w:val="28"/>
          <w:szCs w:val="28"/>
          <w:highlight w:val="none"/>
        </w:rPr>
        <w:t>其他资质条件要求：</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1</w:t>
      </w:r>
      <w:r>
        <w:rPr>
          <w:rFonts w:hint="eastAsia" w:ascii="宋体" w:hAnsi="宋体" w:cs="宋体"/>
          <w:kern w:val="0"/>
          <w:sz w:val="24"/>
          <w:szCs w:val="24"/>
          <w:highlight w:val="none"/>
        </w:rPr>
        <w:t>、具备</w:t>
      </w:r>
      <w:r>
        <w:rPr>
          <w:rFonts w:hint="eastAsia" w:ascii="宋体" w:hAnsi="宋体" w:cs="宋体"/>
          <w:kern w:val="0"/>
          <w:sz w:val="24"/>
          <w:szCs w:val="24"/>
          <w:highlight w:val="none"/>
          <w:lang w:eastAsia="zh-CN"/>
        </w:rPr>
        <w:t>房屋</w:t>
      </w:r>
      <w:r>
        <w:rPr>
          <w:rFonts w:hint="eastAsia" w:ascii="宋体" w:hAnsi="宋体" w:cs="宋体"/>
          <w:kern w:val="0"/>
          <w:sz w:val="24"/>
          <w:szCs w:val="24"/>
          <w:highlight w:val="none"/>
        </w:rPr>
        <w:t>建筑工程施工总承包三级（含</w:t>
      </w:r>
      <w:r>
        <w:rPr>
          <w:rFonts w:hint="eastAsia" w:ascii="宋体" w:hAnsi="宋体" w:cs="宋体"/>
          <w:kern w:val="0"/>
          <w:sz w:val="24"/>
          <w:szCs w:val="24"/>
          <w:highlight w:val="none"/>
        </w:rPr>
        <w:t>）以上资质</w:t>
      </w:r>
      <w:r>
        <w:rPr>
          <w:rFonts w:hint="eastAsia" w:ascii="宋体" w:hAnsi="宋体" w:cs="宋体"/>
          <w:kern w:val="0"/>
          <w:sz w:val="24"/>
          <w:szCs w:val="24"/>
          <w:highlight w:val="none"/>
          <w:lang w:eastAsia="zh-CN"/>
        </w:rPr>
        <w:t>或爆破与拆除工程专业承包</w:t>
      </w:r>
      <w:r>
        <w:rPr>
          <w:rFonts w:hint="eastAsia" w:ascii="宋体" w:hAnsi="宋体" w:cs="宋体"/>
          <w:kern w:val="0"/>
          <w:sz w:val="24"/>
          <w:szCs w:val="24"/>
          <w:highlight w:val="none"/>
        </w:rPr>
        <w:t>三级（含）以上资质；</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2</w:t>
      </w:r>
      <w:r>
        <w:rPr>
          <w:rFonts w:hint="eastAsia" w:ascii="宋体" w:hAnsi="宋体" w:cs="宋体"/>
          <w:kern w:val="0"/>
          <w:sz w:val="24"/>
          <w:szCs w:val="24"/>
          <w:highlight w:val="none"/>
        </w:rPr>
        <w:t>、具有有效的安全生产许可证；</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3</w:t>
      </w:r>
      <w:r>
        <w:rPr>
          <w:rFonts w:hint="eastAsia" w:ascii="宋体" w:hAnsi="宋体" w:cs="宋体"/>
          <w:kern w:val="0"/>
          <w:sz w:val="24"/>
          <w:szCs w:val="24"/>
          <w:highlight w:val="none"/>
        </w:rPr>
        <w:t>、本项目拟派的项目经理须具有相关专业二级（含）以上注册建造师执业资格并具有有效的安全生产考核合格证书（</w:t>
      </w:r>
      <w:r>
        <w:rPr>
          <w:rFonts w:ascii="宋体" w:hAnsi="宋体" w:cs="宋体"/>
          <w:kern w:val="0"/>
          <w:sz w:val="24"/>
          <w:szCs w:val="24"/>
          <w:highlight w:val="none"/>
        </w:rPr>
        <w:t>B</w:t>
      </w:r>
      <w:r>
        <w:rPr>
          <w:rFonts w:hint="eastAsia" w:ascii="宋体" w:hAnsi="宋体" w:cs="宋体"/>
          <w:kern w:val="0"/>
          <w:sz w:val="24"/>
          <w:szCs w:val="24"/>
          <w:highlight w:val="none"/>
        </w:rPr>
        <w:t>证），</w:t>
      </w:r>
      <w:r>
        <w:rPr>
          <w:rFonts w:hint="eastAsia" w:ascii="宋体" w:hAnsi="宋体" w:cs="宋体"/>
          <w:kern w:val="0"/>
          <w:sz w:val="24"/>
          <w:szCs w:val="24"/>
          <w:highlight w:val="none"/>
          <w:lang w:eastAsia="zh-CN"/>
        </w:rPr>
        <w:t>投标人须</w:t>
      </w:r>
      <w:r>
        <w:rPr>
          <w:rFonts w:hint="eastAsia" w:ascii="宋体" w:hAnsi="宋体" w:cs="宋体"/>
          <w:kern w:val="0"/>
          <w:sz w:val="24"/>
          <w:szCs w:val="24"/>
          <w:highlight w:val="none"/>
        </w:rPr>
        <w:t>在“中央国家机关政府采购中心”进行备案。</w:t>
      </w:r>
      <w:r>
        <w:rPr>
          <w:rFonts w:hint="eastAsia" w:ascii="宋体" w:hAnsi="宋体" w:cs="宋体"/>
          <w:bCs/>
          <w:kern w:val="0"/>
          <w:sz w:val="24"/>
          <w:szCs w:val="24"/>
          <w:highlight w:val="none"/>
          <w:u w:val="single"/>
        </w:rPr>
        <w:t>（本项目将在中央国家机关政府采购中心备案，响应人应充分考虑并配置已解锁项目经理，配合采购人备案工作）。</w:t>
      </w:r>
    </w:p>
    <w:p>
      <w:pPr>
        <w:spacing w:line="360" w:lineRule="auto"/>
        <w:ind w:firstLine="480"/>
        <w:rPr>
          <w:rFonts w:ascii="宋体"/>
          <w:b/>
          <w:sz w:val="24"/>
          <w:szCs w:val="24"/>
          <w:highlight w:val="none"/>
        </w:rPr>
      </w:pPr>
      <w:r>
        <w:rPr>
          <w:rFonts w:hint="eastAsia" w:ascii="宋体" w:hAnsi="宋体" w:cs="宋体"/>
          <w:b/>
          <w:kern w:val="0"/>
          <w:sz w:val="24"/>
          <w:szCs w:val="24"/>
          <w:highlight w:val="none"/>
        </w:rPr>
        <w:t>备注：报价人必须向采购代理机构购买竞争性磋商文件并登记备案。未经向采购代理机构购买竞争性磋商文件并登记备案的潜在报价人均无资格参加本次磋商。</w:t>
      </w:r>
    </w:p>
    <w:p>
      <w:pPr>
        <w:tabs>
          <w:tab w:val="left" w:pos="1530"/>
        </w:tabs>
        <w:spacing w:line="360" w:lineRule="auto"/>
        <w:ind w:firstLine="480"/>
        <w:jc w:val="left"/>
        <w:rPr>
          <w:rFonts w:ascii="宋体"/>
          <w:b/>
          <w:sz w:val="28"/>
          <w:szCs w:val="28"/>
          <w:highlight w:val="none"/>
        </w:rPr>
      </w:pPr>
      <w:r>
        <w:rPr>
          <w:rFonts w:hint="eastAsia" w:ascii="宋体" w:hAnsi="宋体"/>
          <w:b/>
          <w:sz w:val="28"/>
          <w:szCs w:val="28"/>
          <w:highlight w:val="none"/>
        </w:rPr>
        <w:t>三、报名须知</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1</w:t>
      </w:r>
      <w:r>
        <w:rPr>
          <w:rFonts w:hint="eastAsia" w:ascii="宋体" w:hAnsi="宋体" w:cs="宋体"/>
          <w:kern w:val="0"/>
          <w:sz w:val="24"/>
          <w:szCs w:val="24"/>
          <w:highlight w:val="none"/>
        </w:rPr>
        <w:t>、凡前来报名的报价申请人，须由法人代表授权本项目的被授权委托人本人携带以下资料文件并胶装成册（每页须加盖报价人公章），到采购代理机构查验。经审查合格后，方可购买竞争性磋商文件：</w:t>
      </w:r>
    </w:p>
    <w:p>
      <w:pPr>
        <w:spacing w:line="360" w:lineRule="auto"/>
        <w:ind w:firstLine="480" w:firstLineChars="20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营业执照副本复印件（加盖单位公章）；</w:t>
      </w:r>
    </w:p>
    <w:p>
      <w:pPr>
        <w:spacing w:line="360" w:lineRule="auto"/>
        <w:ind w:firstLine="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2</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法人代表授权书原件、法人身份证复印件、被授权人身份证原件及复印件、</w:t>
      </w:r>
    </w:p>
    <w:p>
      <w:pPr>
        <w:spacing w:line="360" w:lineRule="auto"/>
        <w:ind w:firstLine="465"/>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3</w:t>
      </w:r>
      <w:r>
        <w:rPr>
          <w:rFonts w:hint="eastAsia" w:ascii="宋体" w:hAnsi="宋体" w:cs="宋体"/>
          <w:sz w:val="24"/>
          <w:szCs w:val="24"/>
          <w:highlight w:val="none"/>
        </w:rPr>
        <w:t>）项目经理执业资格证书、注册证书、安全生产考核证书复印件（加盖单位公章，不接受临时执业资格证书）</w:t>
      </w:r>
      <w:r>
        <w:rPr>
          <w:rFonts w:hint="eastAsia" w:ascii="宋体" w:hAnsi="宋体" w:cs="宋体"/>
          <w:kern w:val="0"/>
          <w:sz w:val="24"/>
          <w:szCs w:val="24"/>
          <w:highlight w:val="none"/>
        </w:rPr>
        <w:t>；</w:t>
      </w:r>
    </w:p>
    <w:p>
      <w:pPr>
        <w:spacing w:line="360" w:lineRule="auto"/>
        <w:ind w:firstLine="465"/>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4</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近三个月连续缴纳税收记录复印件（个人所得税无效，加盖单位公章）；</w:t>
      </w:r>
    </w:p>
    <w:p>
      <w:pPr>
        <w:spacing w:line="360" w:lineRule="auto"/>
        <w:ind w:firstLine="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5</w:t>
      </w:r>
      <w:r>
        <w:rPr>
          <w:rFonts w:hint="eastAsia" w:ascii="宋体" w:hAnsi="宋体" w:cs="宋体"/>
          <w:sz w:val="24"/>
          <w:szCs w:val="24"/>
          <w:highlight w:val="none"/>
        </w:rPr>
        <w:t>）近三个月连续社保缴费复印件（加盖单位公章）；</w:t>
      </w:r>
    </w:p>
    <w:p>
      <w:pPr>
        <w:spacing w:line="360" w:lineRule="auto"/>
        <w:ind w:firstLine="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6</w:t>
      </w:r>
      <w:r>
        <w:rPr>
          <w:rFonts w:hint="eastAsia" w:ascii="宋体" w:hAnsi="宋体" w:cs="宋体"/>
          <w:sz w:val="24"/>
          <w:szCs w:val="24"/>
          <w:highlight w:val="none"/>
        </w:rPr>
        <w:t>）组织机构代码证书、税务登记证副本复印件（加盖单位公章，三证合一或五证合一则携带营业执照副本）；</w:t>
      </w:r>
    </w:p>
    <w:p>
      <w:pPr>
        <w:spacing w:line="360" w:lineRule="auto"/>
        <w:ind w:firstLine="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7</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58"/>
          <w:rFonts w:ascii="宋体" w:hAnsi="宋体" w:cs="宋体"/>
          <w:color w:val="auto"/>
          <w:sz w:val="24"/>
          <w:szCs w:val="24"/>
          <w:highlight w:val="none"/>
        </w:rPr>
        <w:t>www.creditchina.gov.cn</w:t>
      </w:r>
      <w:r>
        <w:rPr>
          <w:rStyle w:val="58"/>
          <w:rFonts w:ascii="宋体" w:hAnsi="宋体" w:cs="宋体"/>
          <w:color w:val="auto"/>
          <w:sz w:val="24"/>
          <w:szCs w:val="24"/>
          <w:highlight w:val="none"/>
        </w:rPr>
        <w:fldChar w:fldCharType="end"/>
      </w:r>
      <w:r>
        <w:rPr>
          <w:rFonts w:hint="eastAsia" w:ascii="宋体" w:hAnsi="宋体" w:cs="宋体"/>
          <w:sz w:val="24"/>
          <w:szCs w:val="24"/>
          <w:highlight w:val="none"/>
        </w:rPr>
        <w:t>）网站查询的报价人信用记录的查询结果</w:t>
      </w:r>
      <w:r>
        <w:rPr>
          <w:rFonts w:ascii="宋体" w:hAnsi="宋体" w:cs="宋体"/>
          <w:sz w:val="24"/>
          <w:szCs w:val="24"/>
          <w:highlight w:val="none"/>
        </w:rPr>
        <w:t>(</w:t>
      </w:r>
      <w:r>
        <w:rPr>
          <w:rFonts w:hint="eastAsia" w:ascii="宋体" w:hAnsi="宋体" w:cs="宋体"/>
          <w:sz w:val="24"/>
          <w:szCs w:val="24"/>
          <w:highlight w:val="none"/>
        </w:rPr>
        <w:t>查询日期在本公告发布日之后</w:t>
      </w:r>
      <w:r>
        <w:rPr>
          <w:rFonts w:ascii="宋体" w:hAnsi="宋体" w:cs="宋体"/>
          <w:sz w:val="24"/>
          <w:szCs w:val="24"/>
          <w:highlight w:val="none"/>
        </w:rPr>
        <w:t>)</w:t>
      </w:r>
      <w:r>
        <w:rPr>
          <w:rFonts w:hint="eastAsia" w:ascii="宋体" w:hAnsi="宋体" w:cs="宋体"/>
          <w:sz w:val="24"/>
          <w:szCs w:val="24"/>
          <w:highlight w:val="none"/>
        </w:rPr>
        <w:t>复印件加盖公章；</w:t>
      </w:r>
    </w:p>
    <w:p>
      <w:pPr>
        <w:spacing w:line="360" w:lineRule="auto"/>
        <w:ind w:firstLine="480"/>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8</w:t>
      </w:r>
      <w:r>
        <w:rPr>
          <w:rFonts w:hint="eastAsia" w:ascii="宋体" w:hAnsi="宋体" w:cs="宋体"/>
          <w:sz w:val="24"/>
          <w:szCs w:val="24"/>
          <w:highlight w:val="none"/>
        </w:rPr>
        <w:t>）“报价人资格要求”中要求的相关资质证书复印件（加盖单位公章）；</w:t>
      </w:r>
    </w:p>
    <w:p>
      <w:pPr>
        <w:spacing w:line="360" w:lineRule="auto"/>
        <w:ind w:firstLine="405"/>
        <w:rPr>
          <w:rFonts w:ascii="宋体" w:cs="宋体"/>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9</w:t>
      </w:r>
      <w:r>
        <w:rPr>
          <w:rFonts w:hint="eastAsia" w:ascii="宋体" w:hAnsi="宋体" w:cs="宋体"/>
          <w:sz w:val="24"/>
          <w:szCs w:val="24"/>
          <w:highlight w:val="none"/>
        </w:rPr>
        <w:t>）安全生产许可证复印件（加盖单位公章）；</w:t>
      </w:r>
    </w:p>
    <w:p>
      <w:pPr>
        <w:spacing w:line="360" w:lineRule="auto"/>
        <w:ind w:firstLine="48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、购买竞争性磋商文件时间：</w:t>
      </w:r>
      <w:r>
        <w:rPr>
          <w:rFonts w:ascii="宋体" w:hAnsi="宋体" w:cs="宋体"/>
          <w:sz w:val="24"/>
          <w:szCs w:val="24"/>
          <w:highlight w:val="none"/>
        </w:rPr>
        <w:t>2018</w:t>
      </w:r>
      <w:r>
        <w:rPr>
          <w:rFonts w:hint="eastAsia" w:ascii="宋体" w:hAnsi="宋体" w:cs="宋体"/>
          <w:sz w:val="24"/>
          <w:szCs w:val="24"/>
          <w:highlight w:val="none"/>
        </w:rPr>
        <w:t>年</w:t>
      </w:r>
      <w:r>
        <w:rPr>
          <w:rFonts w:hint="eastAsia" w:ascii="宋体" w:hAnsi="宋体" w:cs="宋体"/>
          <w:sz w:val="24"/>
          <w:szCs w:val="24"/>
          <w:highlight w:val="none"/>
          <w:lang w:val="en-US" w:eastAsia="zh-CN"/>
        </w:rPr>
        <w:t>0</w:t>
      </w:r>
      <w:r>
        <w:rPr>
          <w:rFonts w:ascii="宋体" w:hAnsi="宋体" w:cs="宋体"/>
          <w:sz w:val="24"/>
          <w:szCs w:val="24"/>
          <w:highlight w:val="none"/>
        </w:rPr>
        <w:t>7</w:t>
      </w:r>
      <w:r>
        <w:rPr>
          <w:rFonts w:hint="eastAsia" w:ascii="宋体" w:hAnsi="宋体" w:cs="宋体"/>
          <w:sz w:val="24"/>
          <w:szCs w:val="24"/>
          <w:highlight w:val="none"/>
          <w:lang w:eastAsia="zh-CN"/>
        </w:rPr>
        <w:t>月</w:t>
      </w:r>
      <w:r>
        <w:rPr>
          <w:rFonts w:hint="eastAsia" w:ascii="宋体" w:hAnsi="宋体" w:cs="宋体"/>
          <w:sz w:val="24"/>
          <w:szCs w:val="24"/>
          <w:highlight w:val="none"/>
          <w:lang w:val="en-US" w:eastAsia="zh-CN"/>
        </w:rPr>
        <w:t>09</w:t>
      </w:r>
      <w:r>
        <w:rPr>
          <w:rFonts w:hint="eastAsia" w:ascii="宋体" w:hAnsi="宋体" w:cs="宋体"/>
          <w:sz w:val="24"/>
          <w:szCs w:val="24"/>
          <w:highlight w:val="none"/>
        </w:rPr>
        <w:t>日至</w:t>
      </w:r>
      <w:r>
        <w:rPr>
          <w:rFonts w:ascii="宋体" w:hAnsi="宋体" w:cs="宋体"/>
          <w:sz w:val="24"/>
          <w:szCs w:val="24"/>
          <w:highlight w:val="none"/>
        </w:rPr>
        <w:t>2018</w:t>
      </w:r>
      <w:r>
        <w:rPr>
          <w:rFonts w:hint="eastAsia" w:ascii="宋体" w:hAnsi="宋体" w:cs="宋体"/>
          <w:sz w:val="24"/>
          <w:szCs w:val="24"/>
          <w:highlight w:val="none"/>
        </w:rPr>
        <w:t>年</w:t>
      </w:r>
      <w:r>
        <w:rPr>
          <w:rFonts w:hint="eastAsia" w:ascii="宋体" w:hAnsi="宋体" w:cs="宋体"/>
          <w:sz w:val="24"/>
          <w:szCs w:val="24"/>
          <w:highlight w:val="none"/>
          <w:lang w:val="en-US" w:eastAsia="zh-CN"/>
        </w:rPr>
        <w:t>0</w:t>
      </w:r>
      <w:r>
        <w:rPr>
          <w:rFonts w:ascii="宋体" w:hAnsi="宋体" w:cs="宋体"/>
          <w:sz w:val="24"/>
          <w:szCs w:val="24"/>
          <w:highlight w:val="none"/>
        </w:rPr>
        <w:t>7</w:t>
      </w:r>
      <w:r>
        <w:rPr>
          <w:rFonts w:hint="eastAsia" w:ascii="宋体" w:hAnsi="宋体" w:cs="宋体"/>
          <w:sz w:val="24"/>
          <w:szCs w:val="24"/>
          <w:highlight w:val="none"/>
        </w:rPr>
        <w:t>月</w:t>
      </w:r>
      <w:r>
        <w:rPr>
          <w:rFonts w:hint="eastAsia" w:ascii="宋体" w:hAnsi="宋体" w:cs="宋体"/>
          <w:sz w:val="24"/>
          <w:szCs w:val="24"/>
          <w:highlight w:val="none"/>
          <w:lang w:val="en-US" w:eastAsia="zh-CN"/>
        </w:rPr>
        <w:t>13</w:t>
      </w:r>
      <w:r>
        <w:rPr>
          <w:rFonts w:hint="eastAsia" w:ascii="宋体" w:hAnsi="宋体" w:cs="宋体"/>
          <w:sz w:val="24"/>
          <w:szCs w:val="24"/>
          <w:highlight w:val="none"/>
        </w:rPr>
        <w:t>日（周六、日及国家法定节假日除外），每天上午</w:t>
      </w:r>
      <w:r>
        <w:rPr>
          <w:rFonts w:ascii="宋体" w:hAnsi="宋体" w:cs="宋体"/>
          <w:sz w:val="24"/>
          <w:szCs w:val="24"/>
          <w:highlight w:val="none"/>
        </w:rPr>
        <w:t>9:30</w:t>
      </w:r>
      <w:r>
        <w:rPr>
          <w:rFonts w:hint="eastAsia" w:ascii="宋体" w:hAnsi="宋体" w:cs="宋体"/>
          <w:sz w:val="24"/>
          <w:szCs w:val="24"/>
          <w:highlight w:val="none"/>
        </w:rPr>
        <w:t>至</w:t>
      </w:r>
      <w:r>
        <w:rPr>
          <w:rFonts w:ascii="宋体" w:hAnsi="宋体" w:cs="宋体"/>
          <w:sz w:val="24"/>
          <w:szCs w:val="24"/>
          <w:highlight w:val="none"/>
        </w:rPr>
        <w:t>11:30</w:t>
      </w:r>
      <w:r>
        <w:rPr>
          <w:rFonts w:hint="eastAsia" w:ascii="宋体" w:hAnsi="宋体" w:cs="宋体"/>
          <w:sz w:val="24"/>
          <w:szCs w:val="24"/>
          <w:highlight w:val="none"/>
        </w:rPr>
        <w:t>，下午</w:t>
      </w:r>
      <w:r>
        <w:rPr>
          <w:rFonts w:ascii="宋体" w:hAnsi="宋体" w:cs="宋体"/>
          <w:sz w:val="24"/>
          <w:szCs w:val="24"/>
          <w:highlight w:val="none"/>
        </w:rPr>
        <w:t>13:30</w:t>
      </w:r>
      <w:r>
        <w:rPr>
          <w:rFonts w:hint="eastAsia" w:ascii="宋体" w:hAnsi="宋体" w:cs="宋体"/>
          <w:sz w:val="24"/>
          <w:szCs w:val="24"/>
          <w:highlight w:val="none"/>
        </w:rPr>
        <w:t>至</w:t>
      </w:r>
      <w:r>
        <w:rPr>
          <w:rFonts w:ascii="宋体" w:hAnsi="宋体" w:cs="宋体"/>
          <w:sz w:val="24"/>
          <w:szCs w:val="24"/>
          <w:highlight w:val="none"/>
        </w:rPr>
        <w:t>16:00</w:t>
      </w:r>
      <w:r>
        <w:rPr>
          <w:rFonts w:hint="eastAsia" w:ascii="宋体" w:hAnsi="宋体" w:cs="宋体"/>
          <w:sz w:val="24"/>
          <w:szCs w:val="24"/>
          <w:highlight w:val="none"/>
        </w:rPr>
        <w:t>（北京时间）。</w:t>
      </w:r>
    </w:p>
    <w:p>
      <w:pPr>
        <w:spacing w:line="360" w:lineRule="auto"/>
        <w:ind w:firstLine="480"/>
        <w:rPr>
          <w:rFonts w:asci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、购买竞争性磋商文件地点：北京市东城区滨河路</w:t>
      </w:r>
      <w:r>
        <w:rPr>
          <w:rFonts w:ascii="宋体" w:hAnsi="宋体" w:cs="宋体"/>
          <w:sz w:val="24"/>
          <w:szCs w:val="24"/>
          <w:highlight w:val="none"/>
        </w:rPr>
        <w:t>1</w:t>
      </w:r>
      <w:r>
        <w:rPr>
          <w:rFonts w:hint="eastAsia" w:ascii="宋体" w:hAnsi="宋体" w:cs="宋体"/>
          <w:sz w:val="24"/>
          <w:szCs w:val="24"/>
          <w:highlight w:val="none"/>
        </w:rPr>
        <w:t>号航天信息大厦</w:t>
      </w:r>
      <w:r>
        <w:rPr>
          <w:rFonts w:ascii="宋体" w:hAnsi="宋体" w:cs="宋体"/>
          <w:sz w:val="24"/>
          <w:szCs w:val="24"/>
          <w:highlight w:val="none"/>
        </w:rPr>
        <w:t>8</w:t>
      </w:r>
      <w:r>
        <w:rPr>
          <w:rFonts w:hint="eastAsia" w:ascii="宋体" w:hAnsi="宋体" w:cs="宋体"/>
          <w:sz w:val="24"/>
          <w:szCs w:val="24"/>
          <w:highlight w:val="none"/>
        </w:rPr>
        <w:t>层</w:t>
      </w:r>
      <w:r>
        <w:rPr>
          <w:rFonts w:ascii="宋体" w:hAnsi="宋体" w:cs="宋体"/>
          <w:sz w:val="24"/>
          <w:szCs w:val="24"/>
          <w:highlight w:val="none"/>
        </w:rPr>
        <w:t>817</w:t>
      </w:r>
      <w:r>
        <w:rPr>
          <w:rFonts w:hint="eastAsia" w:ascii="宋体" w:hAnsi="宋体" w:cs="宋体"/>
          <w:sz w:val="24"/>
          <w:szCs w:val="24"/>
          <w:highlight w:val="none"/>
        </w:rPr>
        <w:t>室</w:t>
      </w:r>
    </w:p>
    <w:p>
      <w:pPr>
        <w:spacing w:line="360" w:lineRule="auto"/>
        <w:ind w:firstLine="480"/>
        <w:rPr>
          <w:rFonts w:ascii="宋体" w:cs="宋体"/>
          <w:sz w:val="24"/>
          <w:szCs w:val="24"/>
          <w:highlight w:val="none"/>
        </w:rPr>
      </w:pPr>
      <w:r>
        <w:rPr>
          <w:rFonts w:ascii="宋体" w:hAnsi="宋体" w:cs="宋体"/>
          <w:sz w:val="24"/>
          <w:szCs w:val="24"/>
          <w:highlight w:val="none"/>
        </w:rPr>
        <w:t>4</w:t>
      </w:r>
      <w:r>
        <w:rPr>
          <w:rFonts w:hint="eastAsia" w:ascii="宋体" w:hAnsi="宋体" w:cs="宋体"/>
          <w:sz w:val="24"/>
          <w:szCs w:val="24"/>
          <w:highlight w:val="none"/>
        </w:rPr>
        <w:t>、竞争性磋商文件售价：</w:t>
      </w:r>
      <w:r>
        <w:rPr>
          <w:rFonts w:ascii="宋体" w:hAnsi="宋体" w:cs="宋体"/>
          <w:sz w:val="24"/>
          <w:szCs w:val="24"/>
          <w:highlight w:val="none"/>
        </w:rPr>
        <w:t>300</w:t>
      </w:r>
      <w:r>
        <w:rPr>
          <w:rFonts w:hint="eastAsia" w:ascii="宋体" w:hAnsi="宋体" w:cs="宋体"/>
          <w:sz w:val="24"/>
          <w:szCs w:val="24"/>
          <w:highlight w:val="none"/>
        </w:rPr>
        <w:t>元</w:t>
      </w:r>
      <w:r>
        <w:rPr>
          <w:rFonts w:ascii="宋体" w:hAnsi="宋体" w:cs="宋体"/>
          <w:sz w:val="24"/>
          <w:szCs w:val="24"/>
          <w:highlight w:val="none"/>
        </w:rPr>
        <w:t>/</w:t>
      </w:r>
      <w:r>
        <w:rPr>
          <w:rFonts w:hint="eastAsia" w:ascii="宋体" w:hAnsi="宋体" w:cs="宋体"/>
          <w:sz w:val="24"/>
          <w:szCs w:val="24"/>
          <w:highlight w:val="none"/>
        </w:rPr>
        <w:t>本，售后不退；现场获取</w:t>
      </w:r>
    </w:p>
    <w:p>
      <w:pPr>
        <w:tabs>
          <w:tab w:val="left" w:pos="1530"/>
        </w:tabs>
        <w:spacing w:line="360" w:lineRule="auto"/>
        <w:ind w:firstLine="480"/>
        <w:jc w:val="left"/>
        <w:rPr>
          <w:rFonts w:ascii="宋体"/>
          <w:b/>
          <w:sz w:val="28"/>
          <w:szCs w:val="28"/>
          <w:highlight w:val="none"/>
        </w:rPr>
      </w:pPr>
      <w:r>
        <w:rPr>
          <w:rFonts w:hint="eastAsia" w:ascii="宋体" w:hAnsi="宋体"/>
          <w:b/>
          <w:sz w:val="28"/>
          <w:szCs w:val="28"/>
          <w:highlight w:val="none"/>
        </w:rPr>
        <w:t>四、递交响应文件信息</w:t>
      </w:r>
    </w:p>
    <w:p>
      <w:pPr>
        <w:spacing w:line="360" w:lineRule="auto"/>
        <w:ind w:firstLine="480"/>
        <w:rPr>
          <w:rFonts w:ascii="宋体" w:cs="宋体"/>
          <w:sz w:val="24"/>
          <w:szCs w:val="24"/>
          <w:highlight w:val="none"/>
        </w:rPr>
      </w:pPr>
      <w:r>
        <w:rPr>
          <w:rFonts w:ascii="宋体" w:hAnsi="宋体" w:cs="宋体"/>
          <w:sz w:val="24"/>
          <w:szCs w:val="24"/>
          <w:highlight w:val="none"/>
        </w:rPr>
        <w:t>1</w:t>
      </w:r>
      <w:r>
        <w:rPr>
          <w:rFonts w:hint="eastAsia" w:ascii="宋体" w:hAnsi="宋体" w:cs="宋体"/>
          <w:sz w:val="24"/>
          <w:szCs w:val="24"/>
          <w:highlight w:val="none"/>
        </w:rPr>
        <w:t>、递交响应文件截止</w:t>
      </w:r>
      <w:r>
        <w:rPr>
          <w:rFonts w:hint="eastAsia" w:ascii="宋体" w:hAnsi="宋体" w:cs="宋体"/>
          <w:sz w:val="24"/>
          <w:szCs w:val="24"/>
          <w:highlight w:val="none"/>
        </w:rPr>
        <w:t>时间：</w:t>
      </w:r>
      <w:r>
        <w:rPr>
          <w:rFonts w:ascii="宋体" w:hAnsi="宋体" w:cs="宋体"/>
          <w:sz w:val="24"/>
          <w:szCs w:val="24"/>
          <w:highlight w:val="none"/>
        </w:rPr>
        <w:t>2018</w:t>
      </w:r>
      <w:r>
        <w:rPr>
          <w:rFonts w:hint="eastAsia" w:ascii="宋体" w:hAnsi="宋体" w:cs="宋体"/>
          <w:sz w:val="24"/>
          <w:szCs w:val="24"/>
          <w:highlight w:val="none"/>
        </w:rPr>
        <w:t>年</w:t>
      </w:r>
      <w:r>
        <w:rPr>
          <w:rFonts w:hint="eastAsia" w:ascii="宋体" w:hAnsi="宋体" w:cs="宋体"/>
          <w:sz w:val="24"/>
          <w:szCs w:val="24"/>
          <w:highlight w:val="none"/>
          <w:lang w:val="en-US" w:eastAsia="zh-CN"/>
        </w:rPr>
        <w:t>07</w:t>
      </w:r>
      <w:r>
        <w:rPr>
          <w:rFonts w:hint="eastAsia" w:ascii="宋体" w:hAnsi="宋体" w:cs="宋体"/>
          <w:sz w:val="24"/>
          <w:szCs w:val="24"/>
          <w:highlight w:val="none"/>
        </w:rPr>
        <w:t>月</w:t>
      </w:r>
      <w:r>
        <w:rPr>
          <w:rFonts w:hint="eastAsia" w:ascii="宋体" w:hAnsi="宋体" w:cs="宋体"/>
          <w:sz w:val="24"/>
          <w:szCs w:val="24"/>
          <w:highlight w:val="none"/>
          <w:lang w:val="en-US" w:eastAsia="zh-CN"/>
        </w:rPr>
        <w:t>17</w:t>
      </w:r>
      <w:r>
        <w:rPr>
          <w:rFonts w:hint="eastAsia" w:ascii="宋体" w:hAnsi="宋体" w:cs="宋体"/>
          <w:sz w:val="24"/>
          <w:szCs w:val="24"/>
          <w:highlight w:val="none"/>
        </w:rPr>
        <w:t>日</w:t>
      </w:r>
      <w:r>
        <w:rPr>
          <w:rFonts w:hint="eastAsia" w:ascii="宋体" w:hAnsi="宋体" w:cs="宋体"/>
          <w:sz w:val="24"/>
          <w:szCs w:val="24"/>
          <w:highlight w:val="none"/>
          <w:lang w:val="en-US" w:eastAsia="zh-CN"/>
        </w:rPr>
        <w:t>9</w:t>
      </w:r>
      <w:r>
        <w:rPr>
          <w:rFonts w:hint="eastAsia" w:ascii="宋体" w:hAnsi="宋体" w:cs="宋体"/>
          <w:sz w:val="24"/>
          <w:szCs w:val="24"/>
          <w:highlight w:val="none"/>
        </w:rPr>
        <w:t>时</w:t>
      </w:r>
      <w:r>
        <w:rPr>
          <w:rFonts w:hint="eastAsia" w:ascii="宋体" w:hAnsi="宋体" w:cs="宋体"/>
          <w:sz w:val="24"/>
          <w:szCs w:val="24"/>
          <w:highlight w:val="none"/>
          <w:lang w:val="en-US" w:eastAsia="zh-CN"/>
        </w:rPr>
        <w:t>30</w:t>
      </w:r>
      <w:r>
        <w:rPr>
          <w:rFonts w:hint="eastAsia" w:ascii="宋体" w:hAnsi="宋体" w:cs="宋体"/>
          <w:sz w:val="24"/>
          <w:szCs w:val="24"/>
          <w:highlight w:val="none"/>
        </w:rPr>
        <w:t>分</w:t>
      </w:r>
      <w:r>
        <w:rPr>
          <w:rFonts w:hint="eastAsia" w:ascii="宋体" w:hAnsi="宋体" w:cs="宋体"/>
          <w:sz w:val="24"/>
          <w:szCs w:val="24"/>
          <w:highlight w:val="none"/>
        </w:rPr>
        <w:t>；</w:t>
      </w:r>
    </w:p>
    <w:p>
      <w:pPr>
        <w:spacing w:line="360" w:lineRule="auto"/>
        <w:ind w:firstLine="480"/>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、递交响应文件：同磋商地点。</w:t>
      </w:r>
    </w:p>
    <w:p>
      <w:pPr>
        <w:tabs>
          <w:tab w:val="left" w:pos="1530"/>
        </w:tabs>
        <w:spacing w:line="360" w:lineRule="auto"/>
        <w:ind w:firstLine="480"/>
        <w:jc w:val="left"/>
        <w:rPr>
          <w:rFonts w:ascii="宋体"/>
          <w:b/>
          <w:sz w:val="28"/>
          <w:szCs w:val="28"/>
          <w:highlight w:val="none"/>
        </w:rPr>
      </w:pPr>
      <w:r>
        <w:rPr>
          <w:rFonts w:hint="eastAsia" w:ascii="宋体" w:hAnsi="宋体"/>
          <w:b/>
          <w:sz w:val="28"/>
          <w:szCs w:val="28"/>
          <w:highlight w:val="none"/>
        </w:rPr>
        <w:t>五、磋商信息</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1</w:t>
      </w:r>
      <w:r>
        <w:rPr>
          <w:rFonts w:hint="eastAsia" w:ascii="宋体" w:hAnsi="宋体" w:cs="宋体"/>
          <w:kern w:val="0"/>
          <w:sz w:val="24"/>
          <w:szCs w:val="24"/>
          <w:highlight w:val="none"/>
        </w:rPr>
        <w:t>、磋商时</w:t>
      </w:r>
      <w:r>
        <w:rPr>
          <w:rFonts w:hint="eastAsia" w:ascii="宋体" w:hAnsi="宋体" w:cs="宋体"/>
          <w:kern w:val="0"/>
          <w:sz w:val="24"/>
          <w:szCs w:val="24"/>
          <w:highlight w:val="none"/>
        </w:rPr>
        <w:t>间：</w:t>
      </w:r>
      <w:r>
        <w:rPr>
          <w:rFonts w:ascii="宋体" w:hAnsi="宋体" w:cs="宋体"/>
          <w:sz w:val="24"/>
          <w:szCs w:val="24"/>
          <w:highlight w:val="none"/>
        </w:rPr>
        <w:t>2018</w:t>
      </w:r>
      <w:r>
        <w:rPr>
          <w:rFonts w:hint="eastAsia" w:ascii="宋体" w:hAnsi="宋体" w:cs="宋体"/>
          <w:sz w:val="24"/>
          <w:szCs w:val="24"/>
          <w:highlight w:val="none"/>
        </w:rPr>
        <w:t>年</w:t>
      </w:r>
      <w:r>
        <w:rPr>
          <w:rFonts w:hint="eastAsia" w:ascii="宋体" w:hAnsi="宋体" w:cs="宋体"/>
          <w:sz w:val="24"/>
          <w:szCs w:val="24"/>
          <w:highlight w:val="none"/>
          <w:lang w:val="en-US" w:eastAsia="zh-CN"/>
        </w:rPr>
        <w:t>07</w:t>
      </w:r>
      <w:r>
        <w:rPr>
          <w:rFonts w:hint="eastAsia" w:ascii="宋体" w:hAnsi="宋体" w:cs="宋体"/>
          <w:sz w:val="24"/>
          <w:szCs w:val="24"/>
          <w:highlight w:val="none"/>
        </w:rPr>
        <w:t>月</w:t>
      </w:r>
      <w:r>
        <w:rPr>
          <w:rFonts w:hint="eastAsia" w:ascii="宋体" w:hAnsi="宋体" w:cs="宋体"/>
          <w:sz w:val="24"/>
          <w:szCs w:val="24"/>
          <w:highlight w:val="none"/>
          <w:lang w:val="en-US" w:eastAsia="zh-CN"/>
        </w:rPr>
        <w:t>17</w:t>
      </w:r>
      <w:r>
        <w:rPr>
          <w:rFonts w:hint="eastAsia" w:ascii="宋体" w:hAnsi="宋体" w:cs="宋体"/>
          <w:sz w:val="24"/>
          <w:szCs w:val="24"/>
          <w:highlight w:val="none"/>
        </w:rPr>
        <w:t>日</w:t>
      </w:r>
      <w:r>
        <w:rPr>
          <w:rFonts w:hint="eastAsia" w:ascii="宋体" w:hAnsi="宋体" w:cs="宋体"/>
          <w:sz w:val="24"/>
          <w:szCs w:val="24"/>
          <w:highlight w:val="none"/>
          <w:lang w:val="en-US" w:eastAsia="zh-CN"/>
        </w:rPr>
        <w:t>9</w:t>
      </w:r>
      <w:r>
        <w:rPr>
          <w:rFonts w:hint="eastAsia" w:ascii="宋体" w:hAnsi="宋体" w:cs="宋体"/>
          <w:sz w:val="24"/>
          <w:szCs w:val="24"/>
          <w:highlight w:val="none"/>
        </w:rPr>
        <w:t>时</w:t>
      </w:r>
      <w:r>
        <w:rPr>
          <w:rFonts w:hint="eastAsia" w:ascii="宋体" w:hAnsi="宋体" w:cs="宋体"/>
          <w:sz w:val="24"/>
          <w:szCs w:val="24"/>
          <w:highlight w:val="none"/>
          <w:lang w:val="en-US" w:eastAsia="zh-CN"/>
        </w:rPr>
        <w:t>30</w:t>
      </w:r>
      <w:r>
        <w:rPr>
          <w:rFonts w:hint="eastAsia" w:ascii="宋体" w:hAnsi="宋体" w:cs="宋体"/>
          <w:sz w:val="24"/>
          <w:szCs w:val="24"/>
          <w:highlight w:val="none"/>
        </w:rPr>
        <w:t>分；</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2</w:t>
      </w:r>
      <w:r>
        <w:rPr>
          <w:rFonts w:hint="eastAsia" w:ascii="宋体" w:hAnsi="宋体" w:cs="宋体"/>
          <w:kern w:val="0"/>
          <w:sz w:val="24"/>
          <w:szCs w:val="24"/>
          <w:highlight w:val="none"/>
        </w:rPr>
        <w:t>、磋商地点：北京市滨河路</w:t>
      </w:r>
      <w:r>
        <w:rPr>
          <w:rFonts w:ascii="宋体" w:hAnsi="宋体" w:cs="宋体"/>
          <w:kern w:val="0"/>
          <w:sz w:val="24"/>
          <w:szCs w:val="24"/>
          <w:highlight w:val="none"/>
        </w:rPr>
        <w:t>1</w:t>
      </w:r>
      <w:r>
        <w:rPr>
          <w:rFonts w:hint="eastAsia" w:ascii="宋体" w:hAnsi="宋体" w:cs="宋体"/>
          <w:kern w:val="0"/>
          <w:sz w:val="24"/>
          <w:szCs w:val="24"/>
          <w:highlight w:val="none"/>
        </w:rPr>
        <w:t>号航天信息大楼</w:t>
      </w:r>
      <w:r>
        <w:rPr>
          <w:rFonts w:ascii="宋体" w:hAnsi="宋体" w:cs="宋体"/>
          <w:kern w:val="0"/>
          <w:sz w:val="24"/>
          <w:szCs w:val="24"/>
          <w:highlight w:val="none"/>
        </w:rPr>
        <w:t>8</w:t>
      </w:r>
      <w:r>
        <w:rPr>
          <w:rFonts w:hint="eastAsia" w:ascii="宋体" w:hAnsi="宋体" w:cs="宋体"/>
          <w:kern w:val="0"/>
          <w:sz w:val="24"/>
          <w:szCs w:val="24"/>
          <w:highlight w:val="none"/>
        </w:rPr>
        <w:t>层开标室。</w:t>
      </w:r>
    </w:p>
    <w:p>
      <w:pPr>
        <w:tabs>
          <w:tab w:val="left" w:pos="1530"/>
        </w:tabs>
        <w:spacing w:line="360" w:lineRule="auto"/>
        <w:ind w:firstLine="480"/>
        <w:jc w:val="left"/>
        <w:rPr>
          <w:rFonts w:ascii="宋体"/>
          <w:b/>
          <w:sz w:val="28"/>
          <w:szCs w:val="28"/>
          <w:highlight w:val="none"/>
        </w:rPr>
      </w:pPr>
      <w:r>
        <w:rPr>
          <w:rFonts w:hint="eastAsia" w:ascii="宋体" w:hAnsi="宋体"/>
          <w:b/>
          <w:sz w:val="28"/>
          <w:szCs w:val="28"/>
          <w:highlight w:val="none"/>
        </w:rPr>
        <w:t>六、发布竞争性磋商公告的媒介</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本公告同时在《中国政府采购网》、《中国教育装备网》、《中央财经大学官网》上发布。</w:t>
      </w:r>
    </w:p>
    <w:p>
      <w:pPr>
        <w:tabs>
          <w:tab w:val="left" w:pos="1530"/>
        </w:tabs>
        <w:spacing w:line="360" w:lineRule="auto"/>
        <w:ind w:firstLine="480"/>
        <w:jc w:val="left"/>
        <w:rPr>
          <w:rFonts w:ascii="宋体" w:cs="宋体"/>
          <w:kern w:val="0"/>
          <w:sz w:val="24"/>
          <w:szCs w:val="24"/>
          <w:highlight w:val="none"/>
        </w:rPr>
      </w:pPr>
      <w:r>
        <w:rPr>
          <w:rFonts w:hint="eastAsia" w:ascii="宋体" w:hAnsi="宋体"/>
          <w:b/>
          <w:sz w:val="28"/>
          <w:szCs w:val="28"/>
          <w:highlight w:val="none"/>
        </w:rPr>
        <w:t>七、采购人及采购代理机构的联系方式</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采购人：中央财经大学</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采购人联系人：王老师</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采购人联系电话：</w:t>
      </w:r>
      <w:r>
        <w:rPr>
          <w:rFonts w:ascii="宋体" w:hAnsi="宋体" w:cs="宋体"/>
          <w:kern w:val="0"/>
          <w:sz w:val="24"/>
          <w:szCs w:val="24"/>
          <w:highlight w:val="none"/>
        </w:rPr>
        <w:t>010-62288125</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采购人地址：北京市海淀区学院南路</w:t>
      </w:r>
      <w:r>
        <w:rPr>
          <w:rFonts w:ascii="宋体" w:hAnsi="宋体" w:cs="宋体"/>
          <w:kern w:val="0"/>
          <w:sz w:val="24"/>
          <w:szCs w:val="24"/>
          <w:highlight w:val="none"/>
        </w:rPr>
        <w:t>39</w:t>
      </w:r>
      <w:r>
        <w:rPr>
          <w:rFonts w:hint="eastAsia" w:ascii="宋体" w:hAnsi="宋体" w:cs="宋体"/>
          <w:kern w:val="0"/>
          <w:sz w:val="24"/>
          <w:szCs w:val="24"/>
          <w:highlight w:val="none"/>
        </w:rPr>
        <w:t>号</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采购代理机构：中经国际招标集团有限公司</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采购代理机构联系人：黄女士</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采购代理机构联系方式：</w:t>
      </w:r>
      <w:r>
        <w:rPr>
          <w:rFonts w:ascii="宋体" w:hAnsi="宋体" w:cs="宋体"/>
          <w:kern w:val="0"/>
          <w:sz w:val="24"/>
          <w:szCs w:val="24"/>
          <w:highlight w:val="none"/>
        </w:rPr>
        <w:t>010—57217116</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采购代理机构地址：北京市东城区滨河路</w:t>
      </w:r>
      <w:r>
        <w:rPr>
          <w:rFonts w:ascii="宋体" w:hAnsi="宋体" w:cs="宋体"/>
          <w:kern w:val="0"/>
          <w:sz w:val="24"/>
          <w:szCs w:val="24"/>
          <w:highlight w:val="none"/>
        </w:rPr>
        <w:t>1</w:t>
      </w:r>
      <w:r>
        <w:rPr>
          <w:rFonts w:hint="eastAsia" w:ascii="宋体" w:hAnsi="宋体" w:cs="宋体"/>
          <w:kern w:val="0"/>
          <w:sz w:val="24"/>
          <w:szCs w:val="24"/>
          <w:highlight w:val="none"/>
        </w:rPr>
        <w:t>号航天信息大厦</w:t>
      </w:r>
    </w:p>
    <w:p>
      <w:pPr>
        <w:widowControl/>
        <w:jc w:val="left"/>
        <w:rPr>
          <w:rFonts w:ascii="宋体" w:cs="宋体"/>
          <w:kern w:val="0"/>
          <w:sz w:val="24"/>
          <w:szCs w:val="24"/>
          <w:highlight w:val="none"/>
        </w:rPr>
      </w:pPr>
      <w:r>
        <w:rPr>
          <w:rFonts w:ascii="宋体" w:cs="宋体"/>
          <w:kern w:val="0"/>
          <w:sz w:val="24"/>
          <w:szCs w:val="24"/>
          <w:highlight w:val="none"/>
        </w:rPr>
        <w:br w:type="page"/>
      </w: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bookmarkStart w:id="1" w:name="_Toc508871662"/>
      <w:r>
        <w:rPr>
          <w:rFonts w:hint="eastAsia"/>
          <w:highlight w:val="none"/>
        </w:rPr>
        <w:t>第二章报价人须知前附表</w:t>
      </w:r>
      <w:bookmarkEnd w:id="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tabs>
          <w:tab w:val="left" w:pos="1667"/>
        </w:tabs>
        <w:rPr>
          <w:highlight w:val="none"/>
        </w:rPr>
      </w:pPr>
      <w:r>
        <w:rPr>
          <w:highlight w:val="none"/>
        </w:rPr>
        <w:tab/>
      </w:r>
    </w:p>
    <w:p>
      <w:pPr>
        <w:widowControl/>
        <w:jc w:val="left"/>
        <w:rPr>
          <w:highlight w:val="none"/>
        </w:rPr>
      </w:pPr>
      <w:r>
        <w:rPr>
          <w:highlight w:val="none"/>
        </w:rPr>
        <w:br w:type="page"/>
      </w:r>
    </w:p>
    <w:p>
      <w:pPr>
        <w:tabs>
          <w:tab w:val="left" w:pos="1530"/>
        </w:tabs>
        <w:spacing w:line="360" w:lineRule="auto"/>
        <w:jc w:val="center"/>
        <w:rPr>
          <w:highlight w:val="none"/>
        </w:rPr>
      </w:pPr>
      <w:r>
        <w:rPr>
          <w:highlight w:val="none"/>
        </w:rPr>
        <w:tab/>
      </w:r>
      <w:r>
        <w:rPr>
          <w:rFonts w:hint="eastAsia"/>
          <w:b/>
          <w:sz w:val="32"/>
          <w:szCs w:val="32"/>
          <w:highlight w:val="none"/>
        </w:rPr>
        <w:t>报价人须知前附表</w:t>
      </w:r>
    </w:p>
    <w:p>
      <w:pPr>
        <w:tabs>
          <w:tab w:val="left" w:pos="1667"/>
        </w:tabs>
        <w:spacing w:line="432" w:lineRule="auto"/>
        <w:ind w:firstLine="480" w:firstLineChars="200"/>
        <w:rPr>
          <w:sz w:val="24"/>
          <w:szCs w:val="24"/>
          <w:highlight w:val="none"/>
        </w:rPr>
      </w:pPr>
      <w:r>
        <w:rPr>
          <w:rFonts w:hint="eastAsia"/>
          <w:sz w:val="24"/>
          <w:szCs w:val="24"/>
          <w:highlight w:val="none"/>
        </w:rPr>
        <w:t>本表关于需要进行的服务的具体资料是对报价人须知的具体补充和修改，如有矛盾，应以本资料表为准</w:t>
      </w:r>
      <w:r>
        <w:rPr>
          <w:sz w:val="24"/>
          <w:szCs w:val="24"/>
          <w:highlight w:val="none"/>
        </w:rPr>
        <w:t>.</w:t>
      </w:r>
    </w:p>
    <w:tbl>
      <w:tblPr>
        <w:tblStyle w:val="60"/>
        <w:tblW w:w="94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42" w:type="dxa"/>
          </w:tcPr>
          <w:p>
            <w:pPr>
              <w:tabs>
                <w:tab w:val="left" w:pos="1667"/>
              </w:tabs>
              <w:spacing w:line="432" w:lineRule="auto"/>
              <w:jc w:val="center"/>
              <w:rPr>
                <w:szCs w:val="24"/>
                <w:highlight w:val="none"/>
              </w:rPr>
            </w:pPr>
            <w:r>
              <w:rPr>
                <w:rFonts w:hint="eastAsia"/>
                <w:szCs w:val="24"/>
                <w:highlight w:val="none"/>
              </w:rPr>
              <w:t>条款号</w:t>
            </w:r>
          </w:p>
        </w:tc>
        <w:tc>
          <w:tcPr>
            <w:tcW w:w="8191" w:type="dxa"/>
          </w:tcPr>
          <w:p>
            <w:pPr>
              <w:tabs>
                <w:tab w:val="left" w:pos="1667"/>
              </w:tabs>
              <w:spacing w:line="432" w:lineRule="auto"/>
              <w:jc w:val="center"/>
              <w:rPr>
                <w:szCs w:val="24"/>
                <w:highlight w:val="none"/>
              </w:rPr>
            </w:pPr>
            <w:r>
              <w:rPr>
                <w:rFonts w:hint="eastAsia"/>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1.1</w:t>
            </w:r>
          </w:p>
        </w:tc>
        <w:tc>
          <w:tcPr>
            <w:tcW w:w="8191" w:type="dxa"/>
          </w:tcPr>
          <w:p>
            <w:pPr>
              <w:tabs>
                <w:tab w:val="left" w:pos="1667"/>
              </w:tabs>
              <w:spacing w:line="432" w:lineRule="auto"/>
              <w:rPr>
                <w:szCs w:val="24"/>
                <w:highlight w:val="none"/>
              </w:rPr>
            </w:pPr>
            <w:r>
              <w:rPr>
                <w:rFonts w:hint="eastAsia"/>
                <w:szCs w:val="24"/>
                <w:highlight w:val="none"/>
              </w:rPr>
              <w:t>采购人：中央财经大学</w:t>
            </w:r>
          </w:p>
          <w:p>
            <w:pPr>
              <w:tabs>
                <w:tab w:val="left" w:pos="1667"/>
              </w:tabs>
              <w:spacing w:line="432" w:lineRule="auto"/>
              <w:rPr>
                <w:szCs w:val="24"/>
                <w:highlight w:val="none"/>
              </w:rPr>
            </w:pPr>
            <w:r>
              <w:rPr>
                <w:rFonts w:hint="eastAsia"/>
                <w:szCs w:val="24"/>
                <w:highlight w:val="none"/>
              </w:rPr>
              <w:t>采购人联系人：王老师</w:t>
            </w:r>
          </w:p>
          <w:p>
            <w:pPr>
              <w:tabs>
                <w:tab w:val="left" w:pos="1667"/>
              </w:tabs>
              <w:spacing w:line="432" w:lineRule="auto"/>
              <w:rPr>
                <w:szCs w:val="24"/>
                <w:highlight w:val="none"/>
              </w:rPr>
            </w:pPr>
            <w:r>
              <w:rPr>
                <w:rFonts w:hint="eastAsia"/>
                <w:szCs w:val="24"/>
                <w:highlight w:val="none"/>
              </w:rPr>
              <w:t>采购人联系电话：</w:t>
            </w:r>
            <w:r>
              <w:rPr>
                <w:szCs w:val="24"/>
                <w:highlight w:val="none"/>
              </w:rPr>
              <w:t>010-62288125</w:t>
            </w:r>
          </w:p>
          <w:p>
            <w:pPr>
              <w:tabs>
                <w:tab w:val="left" w:pos="1667"/>
              </w:tabs>
              <w:spacing w:line="432" w:lineRule="auto"/>
              <w:rPr>
                <w:szCs w:val="24"/>
                <w:highlight w:val="none"/>
              </w:rPr>
            </w:pPr>
            <w:r>
              <w:rPr>
                <w:rFonts w:hint="eastAsia"/>
                <w:szCs w:val="24"/>
                <w:highlight w:val="none"/>
              </w:rPr>
              <w:t>采购人地址：北京市海淀区学院南路</w:t>
            </w:r>
            <w:r>
              <w:rPr>
                <w:szCs w:val="24"/>
                <w:highlight w:val="none"/>
              </w:rPr>
              <w:t>39</w:t>
            </w:r>
            <w:r>
              <w:rPr>
                <w:rFonts w:hint="eastAsia"/>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2.1</w:t>
            </w:r>
          </w:p>
        </w:tc>
        <w:tc>
          <w:tcPr>
            <w:tcW w:w="8191" w:type="dxa"/>
          </w:tcPr>
          <w:p>
            <w:pPr>
              <w:tabs>
                <w:tab w:val="left" w:pos="1667"/>
              </w:tabs>
              <w:spacing w:line="432" w:lineRule="auto"/>
              <w:rPr>
                <w:szCs w:val="24"/>
                <w:highlight w:val="none"/>
              </w:rPr>
            </w:pPr>
            <w:r>
              <w:rPr>
                <w:rFonts w:hint="eastAsia"/>
                <w:szCs w:val="24"/>
                <w:highlight w:val="none"/>
              </w:rPr>
              <w:t>采购代理机构：中经国际招标集团有限公司</w:t>
            </w:r>
          </w:p>
          <w:p>
            <w:pPr>
              <w:tabs>
                <w:tab w:val="left" w:pos="1667"/>
              </w:tabs>
              <w:spacing w:line="432" w:lineRule="auto"/>
              <w:rPr>
                <w:szCs w:val="24"/>
                <w:highlight w:val="none"/>
              </w:rPr>
            </w:pPr>
            <w:r>
              <w:rPr>
                <w:rFonts w:hint="eastAsia"/>
                <w:szCs w:val="24"/>
                <w:highlight w:val="none"/>
              </w:rPr>
              <w:t>采购代理机构联系人：黄女士</w:t>
            </w:r>
          </w:p>
          <w:p>
            <w:pPr>
              <w:tabs>
                <w:tab w:val="left" w:pos="1667"/>
              </w:tabs>
              <w:spacing w:line="432" w:lineRule="auto"/>
              <w:rPr>
                <w:szCs w:val="24"/>
                <w:highlight w:val="none"/>
              </w:rPr>
            </w:pPr>
            <w:r>
              <w:rPr>
                <w:rFonts w:hint="eastAsia"/>
                <w:szCs w:val="24"/>
                <w:highlight w:val="none"/>
              </w:rPr>
              <w:t>采购代理机构联系方式：</w:t>
            </w:r>
            <w:r>
              <w:rPr>
                <w:szCs w:val="24"/>
                <w:highlight w:val="none"/>
              </w:rPr>
              <w:t>010—57217116</w:t>
            </w:r>
          </w:p>
          <w:p>
            <w:pPr>
              <w:tabs>
                <w:tab w:val="left" w:pos="1667"/>
              </w:tabs>
              <w:spacing w:line="432" w:lineRule="auto"/>
              <w:rPr>
                <w:szCs w:val="24"/>
                <w:highlight w:val="none"/>
              </w:rPr>
            </w:pPr>
            <w:r>
              <w:rPr>
                <w:rFonts w:hint="eastAsia"/>
                <w:szCs w:val="24"/>
                <w:highlight w:val="none"/>
              </w:rPr>
              <w:t>采购代理机构地址：北京市东城区滨河路</w:t>
            </w:r>
            <w:r>
              <w:rPr>
                <w:szCs w:val="24"/>
                <w:highlight w:val="none"/>
              </w:rPr>
              <w:t>1</w:t>
            </w:r>
            <w:r>
              <w:rPr>
                <w:rFonts w:hint="eastAsia"/>
                <w:szCs w:val="24"/>
                <w:highlight w:val="none"/>
              </w:rPr>
              <w:t>号航天信息大厦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8.1</w:t>
            </w:r>
          </w:p>
        </w:tc>
        <w:tc>
          <w:tcPr>
            <w:tcW w:w="8191" w:type="dxa"/>
          </w:tcPr>
          <w:p>
            <w:pPr>
              <w:tabs>
                <w:tab w:val="left" w:pos="1667"/>
              </w:tabs>
              <w:spacing w:line="432" w:lineRule="auto"/>
              <w:rPr>
                <w:szCs w:val="24"/>
                <w:highlight w:val="none"/>
              </w:rPr>
            </w:pPr>
            <w:r>
              <w:rPr>
                <w:rFonts w:hint="eastAsia"/>
                <w:szCs w:val="24"/>
                <w:highlight w:val="none"/>
              </w:rPr>
              <w:t>响应文件的语言：中文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11.1</w:t>
            </w:r>
          </w:p>
        </w:tc>
        <w:tc>
          <w:tcPr>
            <w:tcW w:w="8191" w:type="dxa"/>
          </w:tcPr>
          <w:p>
            <w:pPr>
              <w:tabs>
                <w:tab w:val="left" w:pos="1667"/>
              </w:tabs>
              <w:spacing w:line="432" w:lineRule="auto"/>
              <w:rPr>
                <w:szCs w:val="24"/>
                <w:highlight w:val="none"/>
                <w:u w:val="single"/>
              </w:rPr>
            </w:pPr>
            <w:r>
              <w:rPr>
                <w:rFonts w:hint="eastAsia"/>
                <w:szCs w:val="24"/>
                <w:highlight w:val="none"/>
              </w:rPr>
              <w:t>本项目保证金金额为：</w:t>
            </w:r>
            <w:r>
              <w:rPr>
                <w:szCs w:val="24"/>
                <w:highlight w:val="none"/>
              </w:rPr>
              <w:t>0</w:t>
            </w:r>
            <w:r>
              <w:rPr>
                <w:rFonts w:hint="eastAsia"/>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13.1</w:t>
            </w:r>
          </w:p>
        </w:tc>
        <w:tc>
          <w:tcPr>
            <w:tcW w:w="8191" w:type="dxa"/>
          </w:tcPr>
          <w:p>
            <w:pPr>
              <w:tabs>
                <w:tab w:val="left" w:pos="1667"/>
              </w:tabs>
              <w:spacing w:line="432" w:lineRule="auto"/>
              <w:rPr>
                <w:szCs w:val="24"/>
                <w:highlight w:val="none"/>
              </w:rPr>
            </w:pPr>
            <w:r>
              <w:rPr>
                <w:rFonts w:hint="eastAsia"/>
                <w:szCs w:val="24"/>
                <w:highlight w:val="none"/>
              </w:rPr>
              <w:t>响应文件的份数：</w:t>
            </w:r>
            <w:r>
              <w:rPr>
                <w:szCs w:val="24"/>
                <w:highlight w:val="none"/>
              </w:rPr>
              <w:t>1</w:t>
            </w:r>
            <w:r>
              <w:rPr>
                <w:rFonts w:hint="eastAsia"/>
                <w:szCs w:val="24"/>
                <w:highlight w:val="none"/>
              </w:rPr>
              <w:t>份正本、</w:t>
            </w:r>
            <w:r>
              <w:rPr>
                <w:szCs w:val="24"/>
                <w:highlight w:val="none"/>
              </w:rPr>
              <w:t>4</w:t>
            </w:r>
            <w:r>
              <w:rPr>
                <w:rFonts w:hint="eastAsia"/>
                <w:szCs w:val="24"/>
                <w:highlight w:val="none"/>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14.2</w:t>
            </w:r>
          </w:p>
        </w:tc>
        <w:tc>
          <w:tcPr>
            <w:tcW w:w="8191" w:type="dxa"/>
          </w:tcPr>
          <w:p>
            <w:pPr>
              <w:tabs>
                <w:tab w:val="left" w:pos="1667"/>
              </w:tabs>
              <w:spacing w:line="432" w:lineRule="auto"/>
              <w:rPr>
                <w:rFonts w:ascii="宋体" w:cs="宋体"/>
                <w:kern w:val="0"/>
                <w:szCs w:val="24"/>
                <w:highlight w:val="none"/>
              </w:rPr>
            </w:pPr>
            <w:r>
              <w:rPr>
                <w:rFonts w:hint="eastAsia"/>
                <w:szCs w:val="24"/>
                <w:highlight w:val="none"/>
              </w:rPr>
              <w:t>响应文件递交地点：</w:t>
            </w:r>
            <w:r>
              <w:rPr>
                <w:rFonts w:hint="eastAsia" w:ascii="宋体" w:hAnsi="宋体" w:cs="宋体"/>
                <w:kern w:val="0"/>
                <w:szCs w:val="24"/>
                <w:highlight w:val="none"/>
              </w:rPr>
              <w:t>北京市滨河路</w:t>
            </w:r>
            <w:r>
              <w:rPr>
                <w:rFonts w:ascii="宋体" w:hAnsi="宋体" w:cs="宋体"/>
                <w:kern w:val="0"/>
                <w:szCs w:val="24"/>
                <w:highlight w:val="none"/>
              </w:rPr>
              <w:t>1</w:t>
            </w:r>
            <w:r>
              <w:rPr>
                <w:rFonts w:hint="eastAsia" w:ascii="宋体" w:hAnsi="宋体" w:cs="宋体"/>
                <w:kern w:val="0"/>
                <w:szCs w:val="24"/>
                <w:highlight w:val="none"/>
              </w:rPr>
              <w:t>号航天信息大楼</w:t>
            </w:r>
            <w:r>
              <w:rPr>
                <w:rFonts w:ascii="宋体" w:hAnsi="宋体" w:cs="宋体"/>
                <w:kern w:val="0"/>
                <w:szCs w:val="24"/>
                <w:highlight w:val="none"/>
              </w:rPr>
              <w:t>8</w:t>
            </w:r>
            <w:r>
              <w:rPr>
                <w:rFonts w:hint="eastAsia" w:ascii="宋体" w:hAnsi="宋体" w:cs="宋体"/>
                <w:kern w:val="0"/>
                <w:szCs w:val="24"/>
                <w:highlight w:val="none"/>
              </w:rPr>
              <w:t>层开标室。</w:t>
            </w:r>
          </w:p>
          <w:p>
            <w:pPr>
              <w:tabs>
                <w:tab w:val="left" w:pos="1667"/>
              </w:tabs>
              <w:spacing w:line="432" w:lineRule="auto"/>
              <w:rPr>
                <w:szCs w:val="24"/>
                <w:highlight w:val="none"/>
              </w:rPr>
            </w:pPr>
            <w:r>
              <w:rPr>
                <w:rFonts w:hint="eastAsia" w:ascii="宋体" w:hAnsi="宋体" w:cs="宋体"/>
                <w:kern w:val="0"/>
                <w:szCs w:val="24"/>
                <w:highlight w:val="none"/>
              </w:rPr>
              <w:t>（如有变化，另行通知）。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15.1</w:t>
            </w:r>
          </w:p>
        </w:tc>
        <w:tc>
          <w:tcPr>
            <w:tcW w:w="8191" w:type="dxa"/>
          </w:tcPr>
          <w:p>
            <w:pPr>
              <w:tabs>
                <w:tab w:val="left" w:pos="1667"/>
              </w:tabs>
              <w:spacing w:line="432" w:lineRule="auto"/>
              <w:rPr>
                <w:szCs w:val="24"/>
                <w:highlight w:val="none"/>
              </w:rPr>
            </w:pPr>
            <w:r>
              <w:rPr>
                <w:rFonts w:hint="eastAsia"/>
                <w:szCs w:val="24"/>
                <w:highlight w:val="none"/>
              </w:rPr>
              <w:t>响应文件递交截止时间：2018年</w:t>
            </w:r>
            <w:r>
              <w:rPr>
                <w:rFonts w:hint="eastAsia"/>
                <w:szCs w:val="24"/>
                <w:highlight w:val="none"/>
                <w:lang w:val="en-US" w:eastAsia="zh-CN"/>
              </w:rPr>
              <w:t>0</w:t>
            </w:r>
            <w:r>
              <w:rPr>
                <w:rFonts w:hint="eastAsia"/>
                <w:szCs w:val="24"/>
                <w:highlight w:val="none"/>
              </w:rPr>
              <w:t>7月</w:t>
            </w:r>
            <w:r>
              <w:rPr>
                <w:rFonts w:hint="eastAsia"/>
                <w:szCs w:val="24"/>
                <w:highlight w:val="none"/>
                <w:lang w:val="en-US" w:eastAsia="zh-CN"/>
              </w:rPr>
              <w:t>17</w:t>
            </w:r>
            <w:r>
              <w:rPr>
                <w:rFonts w:hint="eastAsia"/>
                <w:szCs w:val="24"/>
                <w:highlight w:val="none"/>
              </w:rPr>
              <w:t>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17.1</w:t>
            </w:r>
          </w:p>
        </w:tc>
        <w:tc>
          <w:tcPr>
            <w:tcW w:w="8191" w:type="dxa"/>
          </w:tcPr>
          <w:p>
            <w:pPr>
              <w:tabs>
                <w:tab w:val="left" w:pos="1667"/>
              </w:tabs>
              <w:spacing w:line="384" w:lineRule="auto"/>
              <w:rPr>
                <w:szCs w:val="24"/>
                <w:highlight w:val="none"/>
              </w:rPr>
            </w:pPr>
            <w:r>
              <w:rPr>
                <w:rFonts w:hint="eastAsia"/>
                <w:szCs w:val="24"/>
                <w:highlight w:val="none"/>
              </w:rPr>
              <w:t>磋商时间：2018年</w:t>
            </w:r>
            <w:r>
              <w:rPr>
                <w:rFonts w:hint="eastAsia"/>
                <w:szCs w:val="24"/>
                <w:highlight w:val="none"/>
                <w:lang w:val="en-US" w:eastAsia="zh-CN"/>
              </w:rPr>
              <w:t>0</w:t>
            </w:r>
            <w:r>
              <w:rPr>
                <w:rFonts w:hint="eastAsia"/>
                <w:szCs w:val="24"/>
                <w:highlight w:val="none"/>
              </w:rPr>
              <w:t>7月</w:t>
            </w:r>
            <w:r>
              <w:rPr>
                <w:rFonts w:hint="eastAsia"/>
                <w:szCs w:val="24"/>
                <w:highlight w:val="none"/>
                <w:lang w:val="en-US" w:eastAsia="zh-CN"/>
              </w:rPr>
              <w:t>17</w:t>
            </w:r>
            <w:r>
              <w:rPr>
                <w:rFonts w:hint="eastAsia"/>
                <w:szCs w:val="24"/>
                <w:highlight w:val="none"/>
              </w:rPr>
              <w:t>日9时30分</w:t>
            </w:r>
          </w:p>
          <w:p>
            <w:pPr>
              <w:tabs>
                <w:tab w:val="left" w:pos="1667"/>
              </w:tabs>
              <w:spacing w:line="384" w:lineRule="auto"/>
              <w:rPr>
                <w:szCs w:val="24"/>
                <w:highlight w:val="none"/>
              </w:rPr>
            </w:pPr>
            <w:r>
              <w:rPr>
                <w:rFonts w:hint="eastAsia"/>
                <w:szCs w:val="24"/>
                <w:highlight w:val="none"/>
              </w:rPr>
              <w:t>磋商地点：同响应文件递交地点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27.1</w:t>
            </w:r>
          </w:p>
        </w:tc>
        <w:tc>
          <w:tcPr>
            <w:tcW w:w="8191" w:type="dxa"/>
          </w:tcPr>
          <w:p>
            <w:pPr>
              <w:tabs>
                <w:tab w:val="left" w:pos="1667"/>
              </w:tabs>
              <w:spacing w:line="432" w:lineRule="auto"/>
              <w:rPr>
                <w:szCs w:val="24"/>
                <w:highlight w:val="none"/>
              </w:rPr>
            </w:pPr>
            <w:r>
              <w:rPr>
                <w:rFonts w:hint="eastAsia"/>
                <w:szCs w:val="24"/>
                <w:highlight w:val="none"/>
              </w:rPr>
              <w:t>成交报价人在领取成交通知书时向</w:t>
            </w:r>
            <w:r>
              <w:rPr>
                <w:rFonts w:hint="eastAsia"/>
                <w:szCs w:val="24"/>
                <w:highlight w:val="none"/>
                <w:lang w:eastAsia="zh-CN"/>
              </w:rPr>
              <w:t>招标公司</w:t>
            </w:r>
            <w:r>
              <w:rPr>
                <w:rFonts w:hint="eastAsia"/>
                <w:szCs w:val="24"/>
                <w:highlight w:val="none"/>
              </w:rPr>
              <w:t>缴付成交服务费</w:t>
            </w:r>
          </w:p>
          <w:p>
            <w:pPr>
              <w:tabs>
                <w:tab w:val="left" w:pos="1667"/>
              </w:tabs>
              <w:spacing w:line="432" w:lineRule="auto"/>
              <w:rPr>
                <w:rFonts w:hint="eastAsia" w:eastAsia="宋体"/>
                <w:szCs w:val="24"/>
                <w:highlight w:val="none"/>
                <w:lang w:val="en-US" w:eastAsia="zh-CN"/>
              </w:rPr>
            </w:pPr>
            <w:r>
              <w:rPr>
                <w:rFonts w:hint="eastAsia"/>
                <w:szCs w:val="24"/>
                <w:highlight w:val="none"/>
              </w:rPr>
              <w:t>本项目拟定成交报价人</w:t>
            </w:r>
            <w:r>
              <w:rPr>
                <w:szCs w:val="24"/>
                <w:highlight w:val="none"/>
              </w:rPr>
              <w:t>1</w:t>
            </w:r>
            <w:r>
              <w:rPr>
                <w:rFonts w:hint="eastAsia"/>
                <w:szCs w:val="24"/>
                <w:highlight w:val="none"/>
              </w:rPr>
              <w:t>名，成交报价人应</w:t>
            </w:r>
            <w:r>
              <w:rPr>
                <w:rFonts w:hint="eastAsia"/>
                <w:szCs w:val="24"/>
                <w:highlight w:val="none"/>
                <w:lang w:eastAsia="zh-CN"/>
              </w:rPr>
              <w:t>按照</w:t>
            </w:r>
            <w:r>
              <w:rPr>
                <w:rFonts w:hint="eastAsia"/>
                <w:szCs w:val="24"/>
                <w:highlight w:val="none"/>
                <w:lang w:val="en-US" w:eastAsia="zh-CN"/>
              </w:rPr>
              <w:t>2002（1980）号文下浮20%支付成交服务费。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28</w:t>
            </w:r>
          </w:p>
        </w:tc>
        <w:tc>
          <w:tcPr>
            <w:tcW w:w="8191" w:type="dxa"/>
          </w:tcPr>
          <w:p>
            <w:pPr>
              <w:tabs>
                <w:tab w:val="left" w:pos="1667"/>
              </w:tabs>
              <w:spacing w:line="432" w:lineRule="auto"/>
              <w:rPr>
                <w:szCs w:val="24"/>
                <w:highlight w:val="none"/>
              </w:rPr>
            </w:pPr>
            <w:r>
              <w:rPr>
                <w:rFonts w:hint="eastAsia"/>
                <w:szCs w:val="24"/>
                <w:highlight w:val="none"/>
              </w:rPr>
              <w:t>本项目</w:t>
            </w:r>
            <w:r>
              <w:rPr>
                <w:rFonts w:hint="eastAsia"/>
                <w:szCs w:val="24"/>
                <w:highlight w:val="none"/>
                <w:lang w:eastAsia="zh-CN"/>
              </w:rPr>
              <w:t>不</w:t>
            </w:r>
            <w:r>
              <w:rPr>
                <w:rFonts w:hint="eastAsia"/>
                <w:szCs w:val="24"/>
                <w:highlight w:val="none"/>
              </w:rPr>
              <w:t>组织统一现场踏勘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28.1</w:t>
            </w:r>
          </w:p>
        </w:tc>
        <w:tc>
          <w:tcPr>
            <w:tcW w:w="8191" w:type="dxa"/>
          </w:tcPr>
          <w:p>
            <w:pPr>
              <w:tabs>
                <w:tab w:val="left" w:pos="1667"/>
              </w:tabs>
              <w:spacing w:line="432" w:lineRule="auto"/>
              <w:rPr>
                <w:szCs w:val="24"/>
                <w:highlight w:val="none"/>
              </w:rPr>
            </w:pPr>
            <w:r>
              <w:rPr>
                <w:rFonts w:hint="eastAsia"/>
                <w:szCs w:val="24"/>
                <w:highlight w:val="none"/>
                <w:lang w:eastAsia="zh-CN"/>
              </w:rPr>
              <w:t>自行</w:t>
            </w:r>
            <w:r>
              <w:rPr>
                <w:rFonts w:hint="eastAsia"/>
                <w:szCs w:val="24"/>
                <w:highlight w:val="none"/>
              </w:rPr>
              <w:t>踏勘时间：</w:t>
            </w:r>
            <w:r>
              <w:rPr>
                <w:szCs w:val="24"/>
                <w:highlight w:val="none"/>
                <w:u w:val="single"/>
              </w:rPr>
              <w:t xml:space="preserve"> 2018</w:t>
            </w:r>
            <w:r>
              <w:rPr>
                <w:rFonts w:hint="eastAsia"/>
                <w:szCs w:val="24"/>
                <w:highlight w:val="none"/>
                <w:u w:val="single"/>
              </w:rPr>
              <w:t>年</w:t>
            </w:r>
            <w:r>
              <w:rPr>
                <w:rFonts w:hint="eastAsia"/>
                <w:szCs w:val="24"/>
                <w:highlight w:val="none"/>
                <w:u w:val="single"/>
                <w:lang w:val="en-US" w:eastAsia="zh-CN"/>
              </w:rPr>
              <w:t>07</w:t>
            </w:r>
            <w:r>
              <w:rPr>
                <w:rFonts w:hint="eastAsia"/>
                <w:szCs w:val="24"/>
                <w:highlight w:val="none"/>
                <w:u w:val="single"/>
              </w:rPr>
              <w:t>月</w:t>
            </w:r>
            <w:r>
              <w:rPr>
                <w:rFonts w:hint="eastAsia"/>
                <w:szCs w:val="24"/>
                <w:highlight w:val="none"/>
                <w:u w:val="single"/>
                <w:lang w:val="en-US" w:eastAsia="zh-CN"/>
              </w:rPr>
              <w:t>14</w:t>
            </w:r>
            <w:r>
              <w:rPr>
                <w:rFonts w:hint="eastAsia"/>
                <w:szCs w:val="24"/>
                <w:highlight w:val="none"/>
                <w:u w:val="single"/>
              </w:rPr>
              <w:t>日上午</w:t>
            </w:r>
            <w:r>
              <w:rPr>
                <w:rFonts w:hint="eastAsia"/>
                <w:szCs w:val="24"/>
                <w:highlight w:val="none"/>
                <w:u w:val="single"/>
                <w:lang w:val="en-US" w:eastAsia="zh-CN"/>
              </w:rPr>
              <w:t>10</w:t>
            </w:r>
            <w:r>
              <w:rPr>
                <w:szCs w:val="24"/>
                <w:highlight w:val="none"/>
                <w:u w:val="single"/>
              </w:rPr>
              <w:t>:</w:t>
            </w:r>
            <w:r>
              <w:rPr>
                <w:rFonts w:hint="eastAsia"/>
                <w:szCs w:val="24"/>
                <w:highlight w:val="none"/>
                <w:u w:val="single"/>
                <w:lang w:val="en-US" w:eastAsia="zh-CN"/>
              </w:rPr>
              <w:t>0</w:t>
            </w:r>
            <w:r>
              <w:rPr>
                <w:szCs w:val="24"/>
                <w:highlight w:val="none"/>
                <w:u w:val="single"/>
              </w:rPr>
              <w:t xml:space="preserve">0 </w:t>
            </w:r>
          </w:p>
          <w:p>
            <w:pPr>
              <w:tabs>
                <w:tab w:val="left" w:pos="1667"/>
              </w:tabs>
              <w:spacing w:line="432" w:lineRule="auto"/>
              <w:rPr>
                <w:szCs w:val="24"/>
                <w:highlight w:val="none"/>
              </w:rPr>
            </w:pPr>
            <w:r>
              <w:rPr>
                <w:rFonts w:hint="eastAsia"/>
                <w:szCs w:val="24"/>
                <w:highlight w:val="none"/>
                <w:lang w:eastAsia="zh-CN"/>
              </w:rPr>
              <w:t>自行踏勘</w:t>
            </w:r>
            <w:r>
              <w:rPr>
                <w:rFonts w:hint="eastAsia"/>
                <w:szCs w:val="24"/>
                <w:highlight w:val="none"/>
              </w:rPr>
              <w:t>地点：中央财经大学学院南路校区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42" w:type="dxa"/>
            <w:vAlign w:val="center"/>
          </w:tcPr>
          <w:p>
            <w:pPr>
              <w:tabs>
                <w:tab w:val="left" w:pos="1667"/>
              </w:tabs>
              <w:spacing w:line="432" w:lineRule="auto"/>
              <w:jc w:val="center"/>
              <w:rPr>
                <w:szCs w:val="24"/>
                <w:highlight w:val="none"/>
              </w:rPr>
            </w:pPr>
            <w:r>
              <w:rPr>
                <w:szCs w:val="24"/>
                <w:highlight w:val="none"/>
              </w:rPr>
              <w:t>29</w:t>
            </w:r>
          </w:p>
        </w:tc>
        <w:tc>
          <w:tcPr>
            <w:tcW w:w="8191" w:type="dxa"/>
          </w:tcPr>
          <w:p>
            <w:pPr>
              <w:tabs>
                <w:tab w:val="left" w:pos="1667"/>
              </w:tabs>
              <w:spacing w:line="432" w:lineRule="auto"/>
              <w:rPr>
                <w:szCs w:val="24"/>
                <w:highlight w:val="none"/>
              </w:rPr>
            </w:pPr>
            <w:r>
              <w:rPr>
                <w:rFonts w:hint="eastAsia"/>
                <w:szCs w:val="24"/>
                <w:highlight w:val="none"/>
              </w:rPr>
              <w:t>构成竞争性磋商文件的其他文件：工程量清单</w:t>
            </w:r>
          </w:p>
        </w:tc>
      </w:tr>
    </w:tbl>
    <w:p>
      <w:pPr>
        <w:tabs>
          <w:tab w:val="left" w:pos="1667"/>
        </w:tabs>
        <w:spacing w:line="432" w:lineRule="auto"/>
        <w:ind w:firstLine="480" w:firstLineChars="200"/>
        <w:rPr>
          <w:sz w:val="24"/>
          <w:szCs w:val="24"/>
          <w:highlight w:val="none"/>
        </w:rPr>
      </w:pP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r>
        <w:rPr>
          <w:highlight w:val="none"/>
        </w:rPr>
        <w:br w:type="page"/>
      </w:r>
    </w:p>
    <w:p>
      <w:pPr>
        <w:pStyle w:val="2"/>
        <w:jc w:val="center"/>
        <w:rPr>
          <w:highlight w:val="none"/>
        </w:rPr>
      </w:pPr>
    </w:p>
    <w:p>
      <w:pPr>
        <w:pStyle w:val="2"/>
        <w:jc w:val="center"/>
        <w:rPr>
          <w:highlight w:val="none"/>
        </w:rPr>
      </w:pPr>
    </w:p>
    <w:p>
      <w:pPr>
        <w:rPr>
          <w:highlight w:val="none"/>
        </w:rPr>
      </w:pPr>
    </w:p>
    <w:p>
      <w:pPr>
        <w:rPr>
          <w:highlight w:val="none"/>
        </w:rPr>
      </w:pPr>
    </w:p>
    <w:p>
      <w:pPr>
        <w:rPr>
          <w:highlight w:val="none"/>
        </w:rPr>
      </w:pPr>
    </w:p>
    <w:p>
      <w:pPr>
        <w:rPr>
          <w:highlight w:val="none"/>
        </w:rPr>
      </w:pPr>
    </w:p>
    <w:p>
      <w:pPr>
        <w:pStyle w:val="2"/>
        <w:jc w:val="center"/>
        <w:rPr>
          <w:highlight w:val="none"/>
        </w:rPr>
      </w:pPr>
      <w:bookmarkStart w:id="2" w:name="_Toc508871663"/>
      <w:r>
        <w:rPr>
          <w:rFonts w:hint="eastAsia"/>
          <w:highlight w:val="none"/>
        </w:rPr>
        <w:t>第三章报价人须知</w:t>
      </w:r>
      <w:bookmarkEnd w:id="2"/>
    </w:p>
    <w:p>
      <w:pPr>
        <w:rPr>
          <w:kern w:val="44"/>
          <w:sz w:val="44"/>
          <w:szCs w:val="44"/>
          <w:highlight w:val="none"/>
        </w:rPr>
      </w:pPr>
    </w:p>
    <w:p>
      <w:pPr>
        <w:spacing w:line="480" w:lineRule="auto"/>
        <w:jc w:val="center"/>
        <w:rPr>
          <w:rFonts w:ascii="宋体" w:cs="宋体"/>
          <w:b/>
          <w:sz w:val="32"/>
          <w:szCs w:val="32"/>
          <w:highlight w:val="none"/>
        </w:rPr>
      </w:pPr>
      <w:bookmarkStart w:id="3" w:name="_Toc73427778"/>
      <w:r>
        <w:rPr>
          <w:rFonts w:ascii="宋体" w:cs="宋体"/>
          <w:b/>
          <w:sz w:val="32"/>
          <w:szCs w:val="32"/>
          <w:highlight w:val="none"/>
        </w:rPr>
        <w:br w:type="page"/>
      </w:r>
      <w:r>
        <w:rPr>
          <w:rFonts w:hint="eastAsia" w:ascii="宋体" w:hAnsi="宋体" w:cs="宋体"/>
          <w:b/>
          <w:sz w:val="32"/>
          <w:szCs w:val="32"/>
          <w:highlight w:val="none"/>
        </w:rPr>
        <w:t>报价人须知</w:t>
      </w:r>
    </w:p>
    <w:p>
      <w:pPr>
        <w:spacing w:line="360" w:lineRule="auto"/>
        <w:jc w:val="center"/>
        <w:rPr>
          <w:rFonts w:ascii="宋体" w:cs="宋体"/>
          <w:b/>
          <w:sz w:val="28"/>
          <w:szCs w:val="28"/>
          <w:highlight w:val="none"/>
        </w:rPr>
      </w:pPr>
      <w:r>
        <w:rPr>
          <w:rFonts w:hint="eastAsia" w:ascii="宋体" w:hAnsi="宋体" w:cs="宋体"/>
          <w:b/>
          <w:sz w:val="28"/>
          <w:szCs w:val="28"/>
          <w:highlight w:val="none"/>
        </w:rPr>
        <w:t>一</w:t>
      </w:r>
      <w:r>
        <w:rPr>
          <w:rFonts w:ascii="宋体" w:hAnsi="宋体" w:cs="宋体"/>
          <w:b/>
          <w:sz w:val="28"/>
          <w:szCs w:val="28"/>
          <w:highlight w:val="none"/>
        </w:rPr>
        <w:t xml:space="preserve">  </w:t>
      </w:r>
      <w:r>
        <w:rPr>
          <w:rFonts w:hint="eastAsia" w:ascii="宋体" w:hAnsi="宋体" w:cs="宋体"/>
          <w:b/>
          <w:sz w:val="28"/>
          <w:szCs w:val="28"/>
          <w:highlight w:val="none"/>
        </w:rPr>
        <w:t>说</w:t>
      </w:r>
      <w:r>
        <w:rPr>
          <w:rFonts w:ascii="宋体" w:hAnsi="宋体" w:cs="宋体"/>
          <w:b/>
          <w:sz w:val="28"/>
          <w:szCs w:val="28"/>
          <w:highlight w:val="none"/>
        </w:rPr>
        <w:t xml:space="preserve">  </w:t>
      </w:r>
      <w:r>
        <w:rPr>
          <w:rFonts w:hint="eastAsia" w:ascii="宋体" w:hAnsi="宋体" w:cs="宋体"/>
          <w:b/>
          <w:sz w:val="28"/>
          <w:szCs w:val="28"/>
          <w:highlight w:val="none"/>
        </w:rPr>
        <w:t>明</w:t>
      </w:r>
      <w:bookmarkEnd w:id="3"/>
    </w:p>
    <w:p>
      <w:pPr>
        <w:pStyle w:val="4"/>
        <w:numPr>
          <w:ilvl w:val="0"/>
          <w:numId w:val="9"/>
        </w:numPr>
        <w:spacing w:before="0" w:after="0" w:line="360" w:lineRule="auto"/>
        <w:rPr>
          <w:rFonts w:ascii="宋体" w:cs="宋体"/>
          <w:sz w:val="24"/>
          <w:szCs w:val="24"/>
          <w:highlight w:val="none"/>
        </w:rPr>
      </w:pPr>
      <w:bookmarkStart w:id="4" w:name="_Toc73427779"/>
      <w:r>
        <w:rPr>
          <w:rFonts w:hint="eastAsia" w:ascii="宋体" w:hAnsi="宋体" w:cs="宋体"/>
          <w:sz w:val="24"/>
          <w:szCs w:val="24"/>
          <w:highlight w:val="none"/>
        </w:rPr>
        <w:t>采购人具备的条件</w:t>
      </w:r>
    </w:p>
    <w:p>
      <w:pPr>
        <w:numPr>
          <w:ilvl w:val="1"/>
          <w:numId w:val="10"/>
        </w:numPr>
        <w:spacing w:before="120" w:line="360" w:lineRule="auto"/>
        <w:rPr>
          <w:rFonts w:ascii="宋体"/>
          <w:sz w:val="24"/>
          <w:highlight w:val="none"/>
          <w:u w:val="single"/>
        </w:rPr>
      </w:pPr>
      <w:bookmarkStart w:id="5" w:name="_Toc134857273"/>
      <w:bookmarkStart w:id="6" w:name="_Toc163893387"/>
      <w:r>
        <w:rPr>
          <w:rFonts w:hint="eastAsia" w:ascii="宋体" w:hAnsi="宋体"/>
          <w:sz w:val="24"/>
          <w:highlight w:val="none"/>
        </w:rPr>
        <w:t>采购人：特指依法进行本次活动中的国家机关、事业单位、团体组织。本项目的采购人为</w:t>
      </w:r>
      <w:r>
        <w:rPr>
          <w:rFonts w:hint="eastAsia" w:ascii="宋体" w:hAnsi="宋体"/>
          <w:sz w:val="24"/>
          <w:highlight w:val="none"/>
          <w:u w:val="single"/>
        </w:rPr>
        <w:t>中央财经大学</w:t>
      </w:r>
      <w:r>
        <w:rPr>
          <w:rFonts w:hint="eastAsia" w:ascii="宋体" w:hAnsi="宋体"/>
          <w:sz w:val="24"/>
          <w:highlight w:val="none"/>
        </w:rPr>
        <w:t>。</w:t>
      </w:r>
    </w:p>
    <w:p>
      <w:pPr>
        <w:pStyle w:val="4"/>
        <w:spacing w:before="0" w:after="0" w:line="360" w:lineRule="auto"/>
        <w:rPr>
          <w:rFonts w:asci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w:t>
      </w:r>
      <w:bookmarkEnd w:id="5"/>
      <w:bookmarkEnd w:id="6"/>
      <w:r>
        <w:rPr>
          <w:rFonts w:hint="eastAsia" w:ascii="宋体" w:hAnsi="宋体" w:cs="宋体"/>
          <w:sz w:val="24"/>
          <w:szCs w:val="24"/>
          <w:highlight w:val="none"/>
        </w:rPr>
        <w:t>采购代理机构及报价人应具备的条件</w:t>
      </w:r>
    </w:p>
    <w:p>
      <w:pPr>
        <w:spacing w:before="120" w:line="360" w:lineRule="auto"/>
        <w:ind w:left="31680" w:hanging="600" w:hangingChars="250"/>
        <w:rPr>
          <w:rFonts w:ascii="宋体"/>
          <w:sz w:val="24"/>
          <w:highlight w:val="none"/>
        </w:rPr>
      </w:pPr>
      <w:r>
        <w:rPr>
          <w:rFonts w:ascii="宋体" w:hAnsi="宋体" w:cs="宋体"/>
          <w:sz w:val="24"/>
          <w:szCs w:val="24"/>
          <w:highlight w:val="none"/>
        </w:rPr>
        <w:t xml:space="preserve">2.1   </w:t>
      </w:r>
      <w:r>
        <w:rPr>
          <w:rFonts w:hint="eastAsia" w:ascii="宋体" w:hAnsi="宋体" w:cs="宋体"/>
          <w:sz w:val="24"/>
          <w:szCs w:val="24"/>
          <w:highlight w:val="none"/>
        </w:rPr>
        <w:t>采购代理机构：</w:t>
      </w:r>
      <w:r>
        <w:rPr>
          <w:rFonts w:hint="eastAsia" w:ascii="宋体" w:hAnsi="宋体"/>
          <w:sz w:val="24"/>
          <w:highlight w:val="none"/>
        </w:rPr>
        <w:t>是指集中采购机构和依法经认定资格的其他采购代理机构。本项目的采购代理机构为：</w:t>
      </w:r>
      <w:r>
        <w:rPr>
          <w:rFonts w:hint="eastAsia" w:ascii="宋体" w:hAnsi="宋体"/>
          <w:sz w:val="24"/>
          <w:highlight w:val="none"/>
          <w:u w:val="single"/>
        </w:rPr>
        <w:t>中经国际招标集团有限公司</w:t>
      </w:r>
      <w:r>
        <w:rPr>
          <w:rFonts w:hint="eastAsia" w:ascii="宋体" w:hAnsi="宋体"/>
          <w:sz w:val="24"/>
          <w:highlight w:val="none"/>
        </w:rPr>
        <w:t>。</w:t>
      </w:r>
    </w:p>
    <w:p>
      <w:pPr>
        <w:spacing w:before="120" w:line="360" w:lineRule="auto"/>
        <w:ind w:left="31680" w:hanging="720" w:hangingChars="300"/>
        <w:rPr>
          <w:rFonts w:ascii="宋体" w:cs="宋体"/>
          <w:sz w:val="24"/>
          <w:szCs w:val="24"/>
          <w:highlight w:val="none"/>
        </w:rPr>
      </w:pPr>
      <w:r>
        <w:rPr>
          <w:rFonts w:ascii="宋体" w:hAnsi="宋体" w:cs="宋体"/>
          <w:sz w:val="24"/>
          <w:szCs w:val="24"/>
          <w:highlight w:val="none"/>
        </w:rPr>
        <w:t xml:space="preserve">2.2   </w:t>
      </w:r>
      <w:r>
        <w:rPr>
          <w:rFonts w:hint="eastAsia" w:ascii="宋体" w:hAnsi="宋体" w:cs="宋体"/>
          <w:sz w:val="24"/>
          <w:szCs w:val="24"/>
          <w:highlight w:val="none"/>
        </w:rPr>
        <w:t>合格报价人</w:t>
      </w:r>
    </w:p>
    <w:p>
      <w:pPr>
        <w:spacing w:line="360" w:lineRule="auto"/>
        <w:ind w:firstLine="480"/>
        <w:rPr>
          <w:rFonts w:ascii="宋体" w:cs="宋体"/>
          <w:kern w:val="0"/>
          <w:sz w:val="24"/>
          <w:szCs w:val="24"/>
          <w:highlight w:val="none"/>
        </w:rPr>
      </w:pPr>
      <w:r>
        <w:rPr>
          <w:rFonts w:hint="eastAsia" w:ascii="宋体" w:hAnsi="宋体" w:cs="宋体"/>
          <w:sz w:val="24"/>
          <w:szCs w:val="24"/>
          <w:highlight w:val="none"/>
        </w:rPr>
        <w:t>（</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sz w:val="24"/>
          <w:szCs w:val="24"/>
          <w:highlight w:val="none"/>
        </w:rPr>
        <w:t>、</w:t>
      </w:r>
      <w:r>
        <w:rPr>
          <w:rFonts w:hint="eastAsia" w:ascii="宋体" w:hAnsi="宋体" w:cs="宋体"/>
          <w:kern w:val="0"/>
          <w:sz w:val="24"/>
          <w:szCs w:val="24"/>
          <w:highlight w:val="none"/>
        </w:rPr>
        <w:t>在中华人民共和国境内注册，具有独立承担民事责任能力的法人资格；</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w:t>
      </w:r>
      <w:r>
        <w:rPr>
          <w:rFonts w:ascii="宋体" w:hAnsi="宋体" w:cs="宋体"/>
          <w:kern w:val="0"/>
          <w:sz w:val="24"/>
          <w:szCs w:val="24"/>
          <w:highlight w:val="none"/>
        </w:rPr>
        <w:t>2</w:t>
      </w:r>
      <w:r>
        <w:rPr>
          <w:rFonts w:hint="eastAsia" w:ascii="宋体" w:hAnsi="宋体" w:cs="宋体"/>
          <w:kern w:val="0"/>
          <w:sz w:val="24"/>
          <w:szCs w:val="24"/>
          <w:highlight w:val="none"/>
        </w:rPr>
        <w:t>）、符合《中华人民共和国政府采购法》第二十二条规定的条件；</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w:t>
      </w:r>
      <w:r>
        <w:rPr>
          <w:rFonts w:ascii="宋体" w:hAnsi="宋体" w:cs="宋体"/>
          <w:kern w:val="0"/>
          <w:sz w:val="24"/>
          <w:szCs w:val="24"/>
          <w:highlight w:val="none"/>
        </w:rPr>
        <w:t>3</w:t>
      </w:r>
      <w:r>
        <w:rPr>
          <w:rFonts w:hint="eastAsia" w:ascii="宋体" w:hAnsi="宋体" w:cs="宋体"/>
          <w:kern w:val="0"/>
          <w:sz w:val="24"/>
          <w:szCs w:val="24"/>
          <w:highlight w:val="none"/>
        </w:rPr>
        <w:t>）、单位负责人为同一人或者存在控股、管理关系的不同报价人，不得参加同一合同项下的政府采购活动；</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w:t>
      </w:r>
      <w:r>
        <w:rPr>
          <w:rFonts w:ascii="宋体" w:hAnsi="宋体" w:cs="宋体"/>
          <w:kern w:val="0"/>
          <w:sz w:val="24"/>
          <w:szCs w:val="24"/>
          <w:highlight w:val="none"/>
        </w:rPr>
        <w:t>4</w:t>
      </w:r>
      <w:r>
        <w:rPr>
          <w:rFonts w:hint="eastAsia" w:ascii="宋体" w:hAnsi="宋体" w:cs="宋体"/>
          <w:kern w:val="0"/>
          <w:sz w:val="24"/>
          <w:szCs w:val="24"/>
          <w:highlight w:val="none"/>
        </w:rPr>
        <w:t>）、通过“信用中国”网站查询信用记录，对列入失信被执行人、重大税收违法案件当事人、政府采购严重违法失信行为记录名单的报价人，没有资格参加本项目的采购活动；</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w:t>
      </w:r>
      <w:r>
        <w:rPr>
          <w:rFonts w:ascii="宋体" w:hAnsi="宋体" w:cs="宋体"/>
          <w:kern w:val="0"/>
          <w:sz w:val="24"/>
          <w:szCs w:val="24"/>
          <w:highlight w:val="none"/>
        </w:rPr>
        <w:t>5</w:t>
      </w:r>
      <w:r>
        <w:rPr>
          <w:rFonts w:hint="eastAsia" w:ascii="宋体" w:hAnsi="宋体" w:cs="宋体"/>
          <w:kern w:val="0"/>
          <w:sz w:val="24"/>
          <w:szCs w:val="24"/>
          <w:highlight w:val="none"/>
        </w:rPr>
        <w:t>）、</w:t>
      </w:r>
      <w:r>
        <w:rPr>
          <w:rFonts w:hint="eastAsia"/>
          <w:sz w:val="24"/>
          <w:highlight w:val="none"/>
        </w:rPr>
        <w:t>具有近三年已完成类似项目业绩，并在人员、设备、资金等方面具有相应的施工能力。</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w:t>
      </w:r>
      <w:r>
        <w:rPr>
          <w:rFonts w:ascii="宋体" w:hAnsi="宋体" w:cs="宋体"/>
          <w:kern w:val="0"/>
          <w:sz w:val="24"/>
          <w:szCs w:val="24"/>
          <w:highlight w:val="none"/>
        </w:rPr>
        <w:t>6</w:t>
      </w:r>
      <w:r>
        <w:rPr>
          <w:rFonts w:hint="eastAsia" w:ascii="宋体" w:hAnsi="宋体" w:cs="宋体"/>
          <w:kern w:val="0"/>
          <w:sz w:val="24"/>
          <w:szCs w:val="24"/>
          <w:highlight w:val="none"/>
        </w:rPr>
        <w:t>）、不接受联合体磋商；</w:t>
      </w:r>
    </w:p>
    <w:p>
      <w:pPr>
        <w:spacing w:line="360" w:lineRule="auto"/>
        <w:ind w:firstLine="480"/>
        <w:rPr>
          <w:rFonts w:ascii="宋体" w:cs="宋体"/>
          <w:b/>
          <w:kern w:val="0"/>
          <w:sz w:val="24"/>
          <w:szCs w:val="24"/>
          <w:highlight w:val="none"/>
        </w:rPr>
      </w:pPr>
      <w:r>
        <w:rPr>
          <w:rFonts w:hint="eastAsia"/>
          <w:b/>
          <w:sz w:val="28"/>
          <w:szCs w:val="28"/>
          <w:highlight w:val="none"/>
        </w:rPr>
        <w:t>其他资质条件要求：</w:t>
      </w:r>
    </w:p>
    <w:p>
      <w:pPr>
        <w:spacing w:line="360" w:lineRule="auto"/>
        <w:ind w:firstLine="480"/>
        <w:rPr>
          <w:rFonts w:ascii="宋体" w:cs="宋体"/>
          <w:kern w:val="0"/>
          <w:sz w:val="24"/>
          <w:szCs w:val="24"/>
          <w:highlight w:val="none"/>
        </w:rPr>
      </w:pPr>
      <w:r>
        <w:rPr>
          <w:rFonts w:hint="eastAsia" w:ascii="宋体" w:hAnsi="宋体" w:cs="宋体"/>
          <w:kern w:val="0"/>
          <w:sz w:val="24"/>
          <w:szCs w:val="24"/>
          <w:highlight w:val="none"/>
        </w:rPr>
        <w:t>（</w:t>
      </w:r>
      <w:r>
        <w:rPr>
          <w:rFonts w:ascii="宋体" w:hAnsi="宋体" w:cs="宋体"/>
          <w:kern w:val="0"/>
          <w:sz w:val="24"/>
          <w:szCs w:val="24"/>
          <w:highlight w:val="none"/>
        </w:rPr>
        <w:t>1</w:t>
      </w:r>
      <w:r>
        <w:rPr>
          <w:rFonts w:hint="eastAsia" w:ascii="宋体" w:hAnsi="宋体" w:cs="宋体"/>
          <w:kern w:val="0"/>
          <w:sz w:val="24"/>
          <w:szCs w:val="24"/>
          <w:highlight w:val="none"/>
        </w:rPr>
        <w:t>）、具备建筑工程施工总承包三级（含</w:t>
      </w:r>
      <w:r>
        <w:rPr>
          <w:rFonts w:hint="eastAsia" w:ascii="宋体" w:hAnsi="宋体" w:cs="宋体"/>
          <w:kern w:val="0"/>
          <w:sz w:val="24"/>
          <w:szCs w:val="24"/>
          <w:highlight w:val="none"/>
        </w:rPr>
        <w:t>）以上资质</w:t>
      </w:r>
      <w:r>
        <w:rPr>
          <w:rFonts w:hint="eastAsia" w:ascii="宋体" w:hAnsi="宋体" w:cs="宋体"/>
          <w:kern w:val="0"/>
          <w:sz w:val="24"/>
          <w:szCs w:val="24"/>
          <w:highlight w:val="none"/>
          <w:lang w:eastAsia="zh-CN"/>
        </w:rPr>
        <w:t>爆破与拆除工程专业承包</w:t>
      </w:r>
      <w:r>
        <w:rPr>
          <w:rFonts w:hint="eastAsia" w:ascii="宋体" w:hAnsi="宋体" w:cs="宋体"/>
          <w:kern w:val="0"/>
          <w:sz w:val="24"/>
          <w:szCs w:val="24"/>
          <w:highlight w:val="none"/>
        </w:rPr>
        <w:t>三级（含）以上资质；</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2</w:t>
      </w:r>
      <w:r>
        <w:rPr>
          <w:rFonts w:hint="eastAsia" w:ascii="宋体" w:hAnsi="宋体" w:cs="宋体"/>
          <w:kern w:val="0"/>
          <w:sz w:val="24"/>
          <w:szCs w:val="24"/>
          <w:highlight w:val="none"/>
        </w:rPr>
        <w:t>、具有有效的安全生产许可证；</w:t>
      </w:r>
    </w:p>
    <w:p>
      <w:pPr>
        <w:spacing w:line="360" w:lineRule="auto"/>
        <w:ind w:firstLine="480"/>
        <w:rPr>
          <w:rFonts w:ascii="宋体" w:cs="宋体"/>
          <w:kern w:val="0"/>
          <w:sz w:val="24"/>
          <w:szCs w:val="24"/>
          <w:highlight w:val="none"/>
        </w:rPr>
      </w:pPr>
      <w:r>
        <w:rPr>
          <w:rFonts w:ascii="宋体" w:hAnsi="宋体" w:cs="宋体"/>
          <w:kern w:val="0"/>
          <w:sz w:val="24"/>
          <w:szCs w:val="24"/>
          <w:highlight w:val="none"/>
        </w:rPr>
        <w:t>3</w:t>
      </w:r>
      <w:r>
        <w:rPr>
          <w:rFonts w:hint="eastAsia" w:ascii="宋体" w:hAnsi="宋体" w:cs="宋体"/>
          <w:kern w:val="0"/>
          <w:sz w:val="24"/>
          <w:szCs w:val="24"/>
          <w:highlight w:val="none"/>
        </w:rPr>
        <w:t>、本项目拟派的项目经理须具有相关专业二级</w:t>
      </w:r>
      <w:r>
        <w:rPr>
          <w:rFonts w:hint="eastAsia" w:ascii="宋体" w:hAnsi="宋体" w:cs="宋体"/>
          <w:kern w:val="0"/>
          <w:sz w:val="24"/>
          <w:szCs w:val="24"/>
          <w:highlight w:val="none"/>
        </w:rPr>
        <w:t>（含）以上注册建造师执业资格并具有有效的安全生产考核合格证书（</w:t>
      </w:r>
      <w:r>
        <w:rPr>
          <w:rFonts w:ascii="宋体" w:hAnsi="宋体" w:cs="宋体"/>
          <w:kern w:val="0"/>
          <w:sz w:val="24"/>
          <w:szCs w:val="24"/>
          <w:highlight w:val="none"/>
        </w:rPr>
        <w:t>B</w:t>
      </w:r>
      <w:r>
        <w:rPr>
          <w:rFonts w:hint="eastAsia" w:ascii="宋体" w:hAnsi="宋体" w:cs="宋体"/>
          <w:kern w:val="0"/>
          <w:sz w:val="24"/>
          <w:szCs w:val="24"/>
          <w:highlight w:val="none"/>
        </w:rPr>
        <w:t>证），</w:t>
      </w:r>
      <w:r>
        <w:rPr>
          <w:rFonts w:hint="eastAsia" w:ascii="宋体" w:hAnsi="宋体" w:cs="宋体"/>
          <w:kern w:val="0"/>
          <w:sz w:val="24"/>
          <w:szCs w:val="24"/>
          <w:highlight w:val="none"/>
          <w:lang w:eastAsia="zh-CN"/>
        </w:rPr>
        <w:t>投标人须</w:t>
      </w:r>
      <w:r>
        <w:rPr>
          <w:rFonts w:hint="eastAsia" w:ascii="宋体" w:hAnsi="宋体" w:cs="宋体"/>
          <w:kern w:val="0"/>
          <w:sz w:val="24"/>
          <w:szCs w:val="24"/>
          <w:highlight w:val="none"/>
        </w:rPr>
        <w:t>在“中央国家机关政府采购中心”进行备案。</w:t>
      </w:r>
      <w:r>
        <w:rPr>
          <w:rFonts w:hint="eastAsia" w:ascii="宋体" w:hAnsi="宋体" w:cs="宋体"/>
          <w:bCs/>
          <w:kern w:val="0"/>
          <w:sz w:val="24"/>
          <w:szCs w:val="24"/>
          <w:highlight w:val="none"/>
          <w:u w:val="single"/>
        </w:rPr>
        <w:t>（本项目将在中央国家机关政府采购中心备案，响应人应充分考虑并配置已解锁项目经理，配合采购人备案工作）。</w:t>
      </w:r>
    </w:p>
    <w:p>
      <w:pPr>
        <w:spacing w:line="360" w:lineRule="auto"/>
        <w:ind w:firstLine="480"/>
        <w:rPr>
          <w:rFonts w:ascii="宋体"/>
          <w:b/>
          <w:sz w:val="24"/>
          <w:szCs w:val="24"/>
          <w:highlight w:val="none"/>
        </w:rPr>
      </w:pPr>
      <w:r>
        <w:rPr>
          <w:rFonts w:hint="eastAsia" w:ascii="宋体" w:hAnsi="宋体" w:cs="宋体"/>
          <w:b/>
          <w:kern w:val="0"/>
          <w:sz w:val="24"/>
          <w:szCs w:val="24"/>
          <w:highlight w:val="none"/>
        </w:rPr>
        <w:t>备注：报价人必须向采购代理机构购买竞争性磋商文件并登记备案。未经向采购代理机构购买竞争性磋商文件并登记备案的潜在报价人均无资格参加本次磋商。</w:t>
      </w:r>
    </w:p>
    <w:p>
      <w:pPr>
        <w:spacing w:line="360" w:lineRule="auto"/>
        <w:ind w:firstLine="240" w:firstLineChars="100"/>
        <w:rPr>
          <w:rFonts w:ascii="宋体" w:cs="宋体"/>
          <w:sz w:val="24"/>
          <w:szCs w:val="24"/>
          <w:highlight w:val="none"/>
        </w:rPr>
      </w:pPr>
      <w:r>
        <w:rPr>
          <w:rFonts w:ascii="宋体" w:hAnsi="宋体" w:cs="宋体"/>
          <w:sz w:val="24"/>
          <w:szCs w:val="24"/>
          <w:highlight w:val="none"/>
        </w:rPr>
        <w:t xml:space="preserve">2.3    </w:t>
      </w:r>
      <w:r>
        <w:rPr>
          <w:rFonts w:hint="eastAsia" w:ascii="宋体" w:hAnsi="宋体" w:cs="宋体"/>
          <w:sz w:val="24"/>
          <w:szCs w:val="24"/>
          <w:highlight w:val="none"/>
        </w:rPr>
        <w:t>对报价人的响应要求</w:t>
      </w:r>
    </w:p>
    <w:p>
      <w:pPr>
        <w:spacing w:before="120" w:line="360" w:lineRule="auto"/>
        <w:ind w:left="31680" w:hanging="720" w:hangingChars="300"/>
        <w:rPr>
          <w:rFonts w:ascii="宋体" w:cs="宋体"/>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报价人在响应过程中不得向采购人提供、给予任何有价值的物品，影响其正常决策行为。一经发现，其报价人资格将被取消。</w:t>
      </w:r>
    </w:p>
    <w:p>
      <w:pPr>
        <w:spacing w:before="120" w:line="360" w:lineRule="auto"/>
        <w:ind w:left="31680" w:hanging="720" w:hangingChars="300"/>
        <w:rPr>
          <w:rFonts w:ascii="宋体" w:cs="宋体"/>
          <w:sz w:val="24"/>
          <w:szCs w:val="24"/>
          <w:highlight w:val="none"/>
        </w:rPr>
      </w:pPr>
      <w:r>
        <w:rPr>
          <w:rFonts w:ascii="宋体" w:hAnsi="宋体" w:cs="宋体"/>
          <w:sz w:val="24"/>
          <w:szCs w:val="24"/>
          <w:highlight w:val="none"/>
        </w:rPr>
        <w:t xml:space="preserve">       </w:t>
      </w: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sz w:val="24"/>
          <w:szCs w:val="24"/>
          <w:highlight w:val="none"/>
        </w:rPr>
        <w:t>采购人在任何时候发现报价人提交的响应文件内容有下列情形之一时，有权依法追究报价人的责任：提供虚假的资料或在实质性方面失实。</w:t>
      </w:r>
    </w:p>
    <w:p>
      <w:pPr>
        <w:spacing w:before="120" w:line="360" w:lineRule="auto"/>
        <w:ind w:left="898" w:leftChars="342" w:hanging="180" w:hangingChars="75"/>
        <w:rPr>
          <w:rFonts w:ascii="宋体"/>
          <w:sz w:val="24"/>
          <w:highlight w:val="none"/>
        </w:rPr>
      </w:pPr>
      <w:r>
        <w:rPr>
          <w:rFonts w:hint="eastAsia" w:ascii="宋体" w:hAnsi="宋体" w:cs="宋体"/>
          <w:sz w:val="24"/>
          <w:szCs w:val="24"/>
          <w:highlight w:val="none"/>
        </w:rPr>
        <w:t>●</w:t>
      </w:r>
      <w:r>
        <w:rPr>
          <w:rFonts w:ascii="宋体" w:hAnsi="宋体" w:cs="宋体"/>
          <w:sz w:val="24"/>
          <w:szCs w:val="24"/>
          <w:highlight w:val="none"/>
        </w:rPr>
        <w:t xml:space="preserve">  </w:t>
      </w:r>
      <w:r>
        <w:rPr>
          <w:rFonts w:hint="eastAsia" w:ascii="宋体" w:hAnsi="宋体" w:cs="宋体"/>
          <w:kern w:val="0"/>
          <w:sz w:val="24"/>
          <w:highlight w:val="none"/>
        </w:rPr>
        <w:t>单位负责人为同一人或者存在直接控股、管理关系的不同报价人，不得参加本次采购活动。为采购项目提供整体设计、规范编制或者项目管理、监理、检测等服务的报价人，不得参加本次采购活动。</w:t>
      </w:r>
    </w:p>
    <w:bookmarkEnd w:id="4"/>
    <w:p>
      <w:pPr>
        <w:tabs>
          <w:tab w:val="left" w:pos="360"/>
          <w:tab w:val="left" w:pos="540"/>
        </w:tabs>
        <w:spacing w:line="360" w:lineRule="auto"/>
        <w:rPr>
          <w:rFonts w:ascii="宋体" w:cs="宋体"/>
          <w:b/>
          <w:sz w:val="24"/>
          <w:szCs w:val="24"/>
          <w:highlight w:val="none"/>
        </w:rPr>
      </w:pPr>
      <w:bookmarkStart w:id="7" w:name="_Toc73427781"/>
      <w:r>
        <w:rPr>
          <w:rFonts w:ascii="宋体" w:hAnsi="宋体" w:cs="宋体"/>
          <w:b/>
          <w:sz w:val="24"/>
          <w:szCs w:val="24"/>
          <w:highlight w:val="none"/>
        </w:rPr>
        <w:t>3</w:t>
      </w:r>
      <w:r>
        <w:rPr>
          <w:rFonts w:hint="eastAsia" w:ascii="宋体" w:hAnsi="宋体" w:cs="宋体"/>
          <w:b/>
          <w:sz w:val="24"/>
          <w:szCs w:val="24"/>
          <w:highlight w:val="none"/>
        </w:rPr>
        <w:t>．</w:t>
      </w:r>
      <w:bookmarkEnd w:id="7"/>
      <w:r>
        <w:rPr>
          <w:rFonts w:hint="eastAsia" w:ascii="宋体" w:hAnsi="宋体" w:cs="宋体"/>
          <w:b/>
          <w:sz w:val="24"/>
          <w:szCs w:val="24"/>
          <w:highlight w:val="none"/>
        </w:rPr>
        <w:t>磋商程序</w:t>
      </w:r>
    </w:p>
    <w:p>
      <w:pPr>
        <w:spacing w:line="360" w:lineRule="auto"/>
        <w:ind w:left="31680" w:hanging="720" w:hangingChars="300"/>
        <w:rPr>
          <w:rFonts w:ascii="宋体" w:cs="宋体"/>
          <w:sz w:val="24"/>
          <w:szCs w:val="24"/>
          <w:highlight w:val="none"/>
        </w:rPr>
      </w:pPr>
      <w:r>
        <w:rPr>
          <w:rFonts w:ascii="宋体" w:hAnsi="宋体" w:cs="宋体"/>
          <w:sz w:val="24"/>
          <w:szCs w:val="24"/>
          <w:highlight w:val="none"/>
        </w:rPr>
        <w:t xml:space="preserve">3.1  </w:t>
      </w:r>
      <w:bookmarkStart w:id="8" w:name="_Toc73427782"/>
      <w:r>
        <w:rPr>
          <w:rFonts w:hint="eastAsia" w:ascii="宋体" w:hAnsi="宋体" w:cs="宋体"/>
          <w:sz w:val="24"/>
          <w:szCs w:val="24"/>
          <w:highlight w:val="none"/>
        </w:rPr>
        <w:t>报价人在规定的时间内将响应文件提交给采购代理机构，由采购代理机构组织磋商仪式。</w:t>
      </w:r>
    </w:p>
    <w:p>
      <w:pPr>
        <w:spacing w:line="360" w:lineRule="auto"/>
        <w:ind w:left="31680" w:hanging="720" w:hangingChars="300"/>
        <w:rPr>
          <w:rFonts w:ascii="宋体" w:cs="宋体"/>
          <w:sz w:val="24"/>
          <w:szCs w:val="24"/>
          <w:highlight w:val="none"/>
        </w:rPr>
      </w:pPr>
      <w:r>
        <w:rPr>
          <w:rFonts w:ascii="宋体" w:hAnsi="宋体" w:cs="宋体"/>
          <w:sz w:val="24"/>
          <w:szCs w:val="24"/>
          <w:highlight w:val="none"/>
        </w:rPr>
        <w:t xml:space="preserve">3.2  </w:t>
      </w:r>
      <w:r>
        <w:rPr>
          <w:rFonts w:hint="eastAsia" w:ascii="宋体" w:hAnsi="宋体" w:cs="宋体"/>
          <w:sz w:val="24"/>
          <w:szCs w:val="24"/>
          <w:highlight w:val="none"/>
        </w:rPr>
        <w:t>采购人组建磋商小组，对响应文件进行评审，推荐本项目成交候选人顺序，由采购人按顺序确定最终成交单位。（确定</w:t>
      </w:r>
      <w:r>
        <w:rPr>
          <w:rFonts w:ascii="宋体" w:hAnsi="宋体" w:cs="宋体"/>
          <w:sz w:val="24"/>
          <w:szCs w:val="24"/>
          <w:highlight w:val="none"/>
        </w:rPr>
        <w:t>1</w:t>
      </w:r>
      <w:r>
        <w:rPr>
          <w:rFonts w:hint="eastAsia" w:ascii="宋体" w:hAnsi="宋体" w:cs="宋体"/>
          <w:sz w:val="24"/>
          <w:szCs w:val="24"/>
          <w:highlight w:val="none"/>
        </w:rPr>
        <w:t>家成交单位）</w:t>
      </w:r>
    </w:p>
    <w:p>
      <w:pPr>
        <w:tabs>
          <w:tab w:val="left" w:pos="360"/>
          <w:tab w:val="left" w:pos="540"/>
        </w:tabs>
        <w:spacing w:line="360" w:lineRule="auto"/>
        <w:rPr>
          <w:rFonts w:ascii="宋体" w:cs="宋体"/>
          <w:b/>
          <w:sz w:val="24"/>
          <w:szCs w:val="24"/>
          <w:highlight w:val="none"/>
        </w:rPr>
      </w:pPr>
      <w:r>
        <w:rPr>
          <w:rFonts w:ascii="宋体" w:hAnsi="宋体" w:cs="宋体"/>
          <w:b/>
          <w:sz w:val="24"/>
          <w:szCs w:val="24"/>
          <w:highlight w:val="none"/>
        </w:rPr>
        <w:t>4</w:t>
      </w:r>
      <w:r>
        <w:rPr>
          <w:rFonts w:hint="eastAsia" w:ascii="宋体" w:hAnsi="宋体" w:cs="宋体"/>
          <w:b/>
          <w:sz w:val="24"/>
          <w:szCs w:val="24"/>
          <w:highlight w:val="none"/>
        </w:rPr>
        <w:t>．磋商范围和费用</w:t>
      </w:r>
    </w:p>
    <w:p>
      <w:pPr>
        <w:spacing w:line="360" w:lineRule="auto"/>
        <w:ind w:left="31680" w:hanging="720" w:hangingChars="300"/>
        <w:rPr>
          <w:rFonts w:ascii="宋体" w:cs="宋体"/>
          <w:sz w:val="24"/>
          <w:szCs w:val="24"/>
          <w:highlight w:val="none"/>
        </w:rPr>
      </w:pPr>
      <w:r>
        <w:rPr>
          <w:rFonts w:ascii="宋体" w:hAnsi="宋体" w:cs="宋体"/>
          <w:sz w:val="24"/>
          <w:szCs w:val="24"/>
          <w:highlight w:val="none"/>
        </w:rPr>
        <w:t xml:space="preserve">4.1  </w:t>
      </w:r>
      <w:r>
        <w:rPr>
          <w:rFonts w:hint="eastAsia" w:ascii="宋体" w:hAnsi="宋体" w:cs="宋体"/>
          <w:sz w:val="24"/>
          <w:szCs w:val="24"/>
          <w:highlight w:val="none"/>
        </w:rPr>
        <w:t>本项目分包情况：不分包。</w:t>
      </w:r>
    </w:p>
    <w:p>
      <w:pPr>
        <w:tabs>
          <w:tab w:val="left" w:pos="360"/>
          <w:tab w:val="left" w:pos="540"/>
        </w:tabs>
        <w:spacing w:line="360" w:lineRule="auto"/>
        <w:rPr>
          <w:rFonts w:ascii="宋体" w:cs="宋体"/>
          <w:sz w:val="24"/>
          <w:szCs w:val="24"/>
          <w:highlight w:val="none"/>
        </w:rPr>
      </w:pPr>
      <w:r>
        <w:rPr>
          <w:rFonts w:ascii="宋体" w:hAnsi="宋体" w:cs="宋体"/>
          <w:sz w:val="24"/>
          <w:szCs w:val="24"/>
          <w:highlight w:val="none"/>
        </w:rPr>
        <w:t xml:space="preserve">4.2  </w:t>
      </w:r>
      <w:r>
        <w:rPr>
          <w:rFonts w:hint="eastAsia" w:ascii="宋体" w:hAnsi="宋体" w:cs="宋体"/>
          <w:sz w:val="24"/>
          <w:szCs w:val="24"/>
          <w:highlight w:val="none"/>
        </w:rPr>
        <w:t>报价人应承担所有与准备和参加磋商有关的费用。不论磋商的结果如何，“报价人须知前附表”中所述的采购人和采购代理机构均无义务和责任承担这些费用。</w:t>
      </w:r>
    </w:p>
    <w:p>
      <w:pPr>
        <w:tabs>
          <w:tab w:val="left" w:pos="360"/>
          <w:tab w:val="left" w:pos="540"/>
        </w:tabs>
        <w:spacing w:line="360" w:lineRule="auto"/>
        <w:rPr>
          <w:rFonts w:ascii="宋体" w:cs="宋体"/>
          <w:szCs w:val="21"/>
          <w:highlight w:val="none"/>
        </w:rPr>
      </w:pPr>
    </w:p>
    <w:p>
      <w:pPr>
        <w:spacing w:line="360" w:lineRule="auto"/>
        <w:jc w:val="center"/>
        <w:rPr>
          <w:rFonts w:ascii="宋体" w:cs="宋体"/>
          <w:b/>
          <w:sz w:val="28"/>
          <w:szCs w:val="28"/>
          <w:highlight w:val="none"/>
        </w:rPr>
      </w:pPr>
      <w:r>
        <w:rPr>
          <w:rFonts w:hint="eastAsia" w:ascii="宋体" w:hAnsi="宋体" w:cs="宋体"/>
          <w:b/>
          <w:sz w:val="28"/>
          <w:szCs w:val="28"/>
          <w:highlight w:val="none"/>
        </w:rPr>
        <w:t>二</w:t>
      </w:r>
      <w:r>
        <w:rPr>
          <w:rFonts w:ascii="宋体" w:hAnsi="宋体" w:cs="宋体"/>
          <w:b/>
          <w:sz w:val="28"/>
          <w:szCs w:val="28"/>
          <w:highlight w:val="none"/>
        </w:rPr>
        <w:t xml:space="preserve"> </w:t>
      </w:r>
      <w:r>
        <w:rPr>
          <w:rFonts w:hint="eastAsia" w:ascii="宋体" w:hAnsi="宋体" w:cs="宋体"/>
          <w:b/>
          <w:sz w:val="28"/>
          <w:szCs w:val="28"/>
          <w:highlight w:val="none"/>
        </w:rPr>
        <w:t>竞争性磋商文件</w:t>
      </w:r>
    </w:p>
    <w:bookmarkEnd w:id="8"/>
    <w:p>
      <w:pPr>
        <w:spacing w:line="360" w:lineRule="auto"/>
        <w:rPr>
          <w:rFonts w:ascii="宋体" w:cs="宋体"/>
          <w:b/>
          <w:sz w:val="24"/>
          <w:szCs w:val="24"/>
          <w:highlight w:val="none"/>
        </w:rPr>
      </w:pPr>
      <w:bookmarkStart w:id="9" w:name="_Toc73427783"/>
      <w:r>
        <w:rPr>
          <w:rFonts w:ascii="宋体" w:hAnsi="宋体" w:cs="宋体"/>
          <w:b/>
          <w:sz w:val="24"/>
          <w:szCs w:val="24"/>
          <w:highlight w:val="none"/>
        </w:rPr>
        <w:t>5</w:t>
      </w:r>
      <w:r>
        <w:rPr>
          <w:rFonts w:hint="eastAsia" w:ascii="宋体" w:hAnsi="宋体" w:cs="宋体"/>
          <w:b/>
          <w:sz w:val="24"/>
          <w:szCs w:val="24"/>
          <w:highlight w:val="none"/>
        </w:rPr>
        <w:t>．竞争性磋商文件构成</w:t>
      </w:r>
      <w:bookmarkEnd w:id="9"/>
    </w:p>
    <w:p>
      <w:pPr>
        <w:spacing w:line="360" w:lineRule="auto"/>
        <w:ind w:left="31680" w:hanging="720" w:hangingChars="300"/>
        <w:rPr>
          <w:rFonts w:ascii="宋体" w:cs="宋体"/>
          <w:sz w:val="24"/>
          <w:szCs w:val="24"/>
          <w:highlight w:val="none"/>
        </w:rPr>
      </w:pPr>
      <w:r>
        <w:rPr>
          <w:rFonts w:ascii="宋体" w:hAnsi="宋体" w:cs="宋体"/>
          <w:sz w:val="24"/>
          <w:szCs w:val="24"/>
          <w:highlight w:val="none"/>
        </w:rPr>
        <w:t xml:space="preserve">5.1   </w:t>
      </w:r>
      <w:r>
        <w:rPr>
          <w:rFonts w:hint="eastAsia" w:ascii="宋体" w:hAnsi="宋体" w:cs="宋体"/>
          <w:sz w:val="24"/>
          <w:szCs w:val="24"/>
          <w:highlight w:val="none"/>
        </w:rPr>
        <w:t>竞争性磋商文件各章的名称详见目录。</w:t>
      </w:r>
    </w:p>
    <w:p>
      <w:pPr>
        <w:tabs>
          <w:tab w:val="left" w:pos="720"/>
        </w:tabs>
        <w:spacing w:line="360" w:lineRule="auto"/>
        <w:ind w:left="31680" w:hanging="600" w:hangingChars="250"/>
        <w:rPr>
          <w:rFonts w:ascii="宋体" w:cs="宋体"/>
          <w:sz w:val="24"/>
          <w:szCs w:val="24"/>
          <w:highlight w:val="none"/>
        </w:rPr>
      </w:pPr>
      <w:r>
        <w:rPr>
          <w:rFonts w:ascii="宋体" w:hAnsi="宋体" w:cs="宋体"/>
          <w:sz w:val="24"/>
          <w:szCs w:val="24"/>
          <w:highlight w:val="none"/>
        </w:rPr>
        <w:t xml:space="preserve">5.2  </w:t>
      </w:r>
      <w:r>
        <w:rPr>
          <w:rFonts w:hint="eastAsia" w:ascii="宋体" w:hAnsi="宋体" w:cs="宋体"/>
          <w:sz w:val="24"/>
          <w:szCs w:val="24"/>
          <w:highlight w:val="none"/>
        </w:rPr>
        <w:t>报价人应认真阅读竞争性磋商文件中所有的事项、格式、条款等。报价人没有按照竞争性磋商文件要求提交全部资料，或者没有对竞争性磋商文件在各方面都做出实质性响应是报价人的风险，并可能导致其响应被拒绝。</w:t>
      </w:r>
      <w:r>
        <w:rPr>
          <w:rFonts w:ascii="宋体" w:hAnsi="宋体" w:cs="宋体"/>
          <w:sz w:val="24"/>
          <w:szCs w:val="24"/>
          <w:highlight w:val="none"/>
        </w:rPr>
        <w:t xml:space="preserve"> </w:t>
      </w:r>
      <w:bookmarkStart w:id="10" w:name="_Toc73427784"/>
    </w:p>
    <w:bookmarkEnd w:id="10"/>
    <w:p>
      <w:pPr>
        <w:spacing w:line="360" w:lineRule="auto"/>
        <w:rPr>
          <w:rFonts w:ascii="宋体" w:cs="宋体"/>
          <w:b/>
          <w:sz w:val="24"/>
          <w:szCs w:val="24"/>
          <w:highlight w:val="none"/>
        </w:rPr>
      </w:pPr>
      <w:bookmarkStart w:id="11" w:name="_Toc73427785"/>
      <w:r>
        <w:rPr>
          <w:rFonts w:ascii="宋体" w:hAnsi="宋体" w:cs="宋体"/>
          <w:b/>
          <w:sz w:val="24"/>
          <w:szCs w:val="24"/>
          <w:highlight w:val="none"/>
        </w:rPr>
        <w:t>6</w:t>
      </w:r>
      <w:r>
        <w:rPr>
          <w:rFonts w:hint="eastAsia" w:ascii="宋体" w:hAnsi="宋体" w:cs="宋体"/>
          <w:b/>
          <w:sz w:val="24"/>
          <w:szCs w:val="24"/>
          <w:highlight w:val="none"/>
        </w:rPr>
        <w:t>．竞争性磋商文件</w:t>
      </w:r>
      <w:bookmarkEnd w:id="11"/>
      <w:r>
        <w:rPr>
          <w:rFonts w:hint="eastAsia" w:ascii="宋体" w:hAnsi="宋体" w:cs="宋体"/>
          <w:b/>
          <w:sz w:val="24"/>
          <w:szCs w:val="24"/>
          <w:highlight w:val="none"/>
        </w:rPr>
        <w:t>的澄清</w:t>
      </w:r>
    </w:p>
    <w:p>
      <w:pPr>
        <w:spacing w:line="360" w:lineRule="auto"/>
        <w:ind w:left="31680" w:hanging="720" w:hangingChars="300"/>
        <w:rPr>
          <w:rFonts w:ascii="宋体" w:cs="宋体"/>
          <w:sz w:val="24"/>
          <w:szCs w:val="24"/>
          <w:highlight w:val="none"/>
        </w:rPr>
      </w:pPr>
      <w:r>
        <w:rPr>
          <w:rFonts w:ascii="宋体" w:hAnsi="宋体" w:cs="宋体"/>
          <w:sz w:val="24"/>
          <w:szCs w:val="24"/>
          <w:highlight w:val="none"/>
        </w:rPr>
        <w:t xml:space="preserve">6.1   </w:t>
      </w:r>
      <w:r>
        <w:rPr>
          <w:rFonts w:hint="eastAsia" w:ascii="宋体" w:hAnsi="宋体" w:cs="宋体"/>
          <w:sz w:val="24"/>
          <w:szCs w:val="24"/>
          <w:highlight w:val="none"/>
        </w:rPr>
        <w:t>任何要求对竞争性磋商文件进行澄清的报价人，应在《中华人民共和国政府采购法实施条例》规定的时间内以书面形式通知采购代理机构，采购代理机构对收到的对竞争性磋商文件的澄清要求均以书面形式予以答复，必要时在政府采购指定媒体进行公布时将书面答复发给每个购买竞争性磋商文件的报价人（答复中不包括问题的来源）。</w:t>
      </w:r>
    </w:p>
    <w:p>
      <w:pPr>
        <w:spacing w:line="360" w:lineRule="auto"/>
        <w:rPr>
          <w:rFonts w:ascii="宋体" w:cs="宋体"/>
          <w:b/>
          <w:sz w:val="24"/>
          <w:szCs w:val="24"/>
          <w:highlight w:val="none"/>
        </w:rPr>
      </w:pPr>
      <w:r>
        <w:rPr>
          <w:rFonts w:ascii="宋体" w:hAnsi="宋体" w:cs="宋体"/>
          <w:b/>
          <w:sz w:val="24"/>
          <w:szCs w:val="24"/>
          <w:highlight w:val="none"/>
        </w:rPr>
        <w:t>7</w:t>
      </w:r>
      <w:r>
        <w:rPr>
          <w:rFonts w:hint="eastAsia" w:ascii="宋体" w:hAnsi="宋体" w:cs="宋体"/>
          <w:b/>
          <w:sz w:val="24"/>
          <w:szCs w:val="24"/>
          <w:highlight w:val="none"/>
        </w:rPr>
        <w:t>．竞争性磋商文件的修改</w:t>
      </w:r>
    </w:p>
    <w:p>
      <w:pPr>
        <w:spacing w:line="360" w:lineRule="auto"/>
        <w:ind w:left="31680" w:hanging="720" w:hangingChars="300"/>
        <w:rPr>
          <w:rFonts w:ascii="宋体" w:cs="宋体"/>
          <w:sz w:val="24"/>
          <w:szCs w:val="24"/>
          <w:highlight w:val="none"/>
        </w:rPr>
      </w:pPr>
      <w:r>
        <w:rPr>
          <w:rFonts w:ascii="宋体" w:hAnsi="宋体" w:cs="宋体"/>
          <w:sz w:val="24"/>
          <w:szCs w:val="24"/>
          <w:highlight w:val="none"/>
        </w:rPr>
        <w:t>7.1</w:t>
      </w:r>
      <w:r>
        <w:rPr>
          <w:rFonts w:ascii="宋体" w:hAnsi="宋体" w:cs="宋体"/>
          <w:sz w:val="24"/>
          <w:szCs w:val="24"/>
          <w:highlight w:val="none"/>
        </w:rPr>
        <w:tab/>
      </w:r>
      <w:r>
        <w:rPr>
          <w:rFonts w:hint="eastAsia" w:ascii="宋体" w:hAnsi="宋体" w:cs="宋体"/>
          <w:sz w:val="24"/>
          <w:szCs w:val="24"/>
          <w:highlight w:val="none"/>
        </w:rPr>
        <w:t>在响应文件递交截止日期前五（</w:t>
      </w:r>
      <w:r>
        <w:rPr>
          <w:rFonts w:ascii="宋体" w:hAnsi="宋体" w:cs="宋体"/>
          <w:sz w:val="24"/>
          <w:szCs w:val="24"/>
          <w:highlight w:val="none"/>
        </w:rPr>
        <w:t>5</w:t>
      </w:r>
      <w:r>
        <w:rPr>
          <w:rFonts w:hint="eastAsia" w:ascii="宋体" w:hAnsi="宋体" w:cs="宋体"/>
          <w:sz w:val="24"/>
          <w:szCs w:val="24"/>
          <w:highlight w:val="none"/>
        </w:rPr>
        <w:t>）天的任何时候，无论出于何种原因，采购人可主动地或在解答报价人提出的澄清问题时对竞争性磋商文件进行修改。</w:t>
      </w:r>
    </w:p>
    <w:p>
      <w:pPr>
        <w:tabs>
          <w:tab w:val="left" w:pos="735"/>
        </w:tabs>
        <w:spacing w:line="360" w:lineRule="auto"/>
        <w:ind w:left="735" w:hanging="735"/>
        <w:rPr>
          <w:rFonts w:ascii="宋体" w:cs="宋体"/>
          <w:sz w:val="24"/>
          <w:szCs w:val="24"/>
          <w:highlight w:val="none"/>
        </w:rPr>
      </w:pPr>
      <w:r>
        <w:rPr>
          <w:rFonts w:ascii="宋体" w:hAnsi="宋体" w:cs="宋体"/>
          <w:sz w:val="24"/>
          <w:szCs w:val="24"/>
          <w:highlight w:val="none"/>
        </w:rPr>
        <w:t xml:space="preserve">7.2   </w:t>
      </w:r>
      <w:r>
        <w:rPr>
          <w:rFonts w:hint="eastAsia" w:ascii="宋体" w:hAnsi="宋体" w:cs="宋体"/>
          <w:sz w:val="24"/>
          <w:szCs w:val="24"/>
          <w:highlight w:val="none"/>
        </w:rPr>
        <w:t>竞争性磋商文件的修改将以书面形式通知所有购买竞争性磋商文件的报价人，并对其具有约束力。报价人在收到上述通知后，应立即向采购代理机构回函确认。</w:t>
      </w:r>
    </w:p>
    <w:p>
      <w:pPr>
        <w:tabs>
          <w:tab w:val="left" w:pos="735"/>
        </w:tabs>
        <w:spacing w:line="360" w:lineRule="auto"/>
        <w:ind w:left="735" w:hanging="735"/>
        <w:rPr>
          <w:rFonts w:ascii="宋体" w:cs="宋体"/>
          <w:sz w:val="24"/>
          <w:szCs w:val="24"/>
          <w:highlight w:val="none"/>
        </w:rPr>
      </w:pPr>
      <w:r>
        <w:rPr>
          <w:rFonts w:ascii="宋体" w:hAnsi="宋体" w:cs="宋体"/>
          <w:sz w:val="24"/>
          <w:szCs w:val="24"/>
          <w:highlight w:val="none"/>
        </w:rPr>
        <w:t>7.3</w:t>
      </w:r>
      <w:r>
        <w:rPr>
          <w:rFonts w:hint="eastAsia" w:ascii="宋体" w:hAnsi="宋体" w:cs="宋体"/>
          <w:sz w:val="24"/>
          <w:szCs w:val="24"/>
          <w:highlight w:val="none"/>
        </w:rPr>
        <w:t>　　为使报价人准备响应谈判时有充分时间对竞争性磋商文件的修改部分进行研究，采购人可自行决定是否延长响应截止期。</w:t>
      </w:r>
    </w:p>
    <w:p>
      <w:pPr>
        <w:spacing w:line="360" w:lineRule="auto"/>
        <w:rPr>
          <w:rFonts w:ascii="宋体" w:cs="宋体"/>
          <w:b/>
          <w:sz w:val="24"/>
          <w:szCs w:val="24"/>
          <w:highlight w:val="none"/>
        </w:rPr>
      </w:pPr>
    </w:p>
    <w:p>
      <w:pPr>
        <w:spacing w:line="360" w:lineRule="auto"/>
        <w:jc w:val="center"/>
        <w:rPr>
          <w:rFonts w:ascii="宋体" w:cs="宋体"/>
          <w:b/>
          <w:sz w:val="28"/>
          <w:szCs w:val="28"/>
          <w:highlight w:val="none"/>
        </w:rPr>
      </w:pPr>
      <w:bookmarkStart w:id="12" w:name="_Toc73427786"/>
      <w:r>
        <w:rPr>
          <w:rFonts w:hint="eastAsia" w:ascii="宋体" w:hAnsi="宋体" w:cs="宋体"/>
          <w:b/>
          <w:sz w:val="28"/>
          <w:szCs w:val="28"/>
          <w:highlight w:val="none"/>
        </w:rPr>
        <w:t>三</w:t>
      </w:r>
      <w:r>
        <w:rPr>
          <w:rFonts w:ascii="宋体" w:hAnsi="宋体" w:cs="宋体"/>
          <w:b/>
          <w:sz w:val="28"/>
          <w:szCs w:val="28"/>
          <w:highlight w:val="none"/>
        </w:rPr>
        <w:t xml:space="preserve">   </w:t>
      </w:r>
      <w:r>
        <w:rPr>
          <w:rFonts w:hint="eastAsia" w:ascii="宋体" w:hAnsi="宋体" w:cs="宋体"/>
          <w:b/>
          <w:sz w:val="28"/>
          <w:szCs w:val="28"/>
          <w:highlight w:val="none"/>
        </w:rPr>
        <w:t>响应文件</w:t>
      </w:r>
      <w:bookmarkEnd w:id="12"/>
    </w:p>
    <w:p>
      <w:pPr>
        <w:spacing w:line="360" w:lineRule="auto"/>
        <w:rPr>
          <w:rFonts w:ascii="宋体" w:cs="宋体"/>
          <w:b/>
          <w:sz w:val="24"/>
          <w:szCs w:val="24"/>
          <w:highlight w:val="none"/>
        </w:rPr>
      </w:pPr>
      <w:bookmarkStart w:id="13" w:name="_Toc73427788"/>
      <w:r>
        <w:rPr>
          <w:rFonts w:ascii="宋体" w:hAnsi="宋体" w:cs="宋体"/>
          <w:b/>
          <w:sz w:val="24"/>
          <w:szCs w:val="24"/>
          <w:highlight w:val="none"/>
        </w:rPr>
        <w:t>8</w:t>
      </w:r>
      <w:r>
        <w:rPr>
          <w:rFonts w:hint="eastAsia" w:ascii="宋体" w:hAnsi="宋体" w:cs="宋体"/>
          <w:b/>
          <w:sz w:val="24"/>
          <w:szCs w:val="24"/>
          <w:highlight w:val="none"/>
        </w:rPr>
        <w:t>．</w:t>
      </w:r>
      <w:bookmarkEnd w:id="13"/>
      <w:r>
        <w:rPr>
          <w:rFonts w:hint="eastAsia" w:ascii="宋体" w:hAnsi="宋体" w:cs="宋体"/>
          <w:b/>
          <w:sz w:val="24"/>
          <w:szCs w:val="24"/>
          <w:highlight w:val="none"/>
        </w:rPr>
        <w:t>响应文件的语言</w:t>
      </w:r>
    </w:p>
    <w:p>
      <w:pPr>
        <w:tabs>
          <w:tab w:val="left" w:pos="900"/>
        </w:tabs>
        <w:spacing w:line="360" w:lineRule="auto"/>
        <w:ind w:left="900" w:hanging="900"/>
        <w:rPr>
          <w:rFonts w:ascii="宋体" w:cs="宋体"/>
          <w:sz w:val="24"/>
          <w:szCs w:val="24"/>
          <w:highlight w:val="none"/>
        </w:rPr>
      </w:pPr>
      <w:bookmarkStart w:id="14" w:name="_Ref467052588"/>
      <w:r>
        <w:rPr>
          <w:rFonts w:ascii="宋体" w:hAnsi="宋体" w:cs="宋体"/>
          <w:sz w:val="24"/>
          <w:szCs w:val="24"/>
          <w:highlight w:val="none"/>
        </w:rPr>
        <w:t>8.1</w:t>
      </w:r>
      <w:r>
        <w:rPr>
          <w:rFonts w:ascii="宋体" w:hAnsi="宋体" w:cs="宋体"/>
          <w:sz w:val="24"/>
          <w:szCs w:val="24"/>
          <w:highlight w:val="none"/>
        </w:rPr>
        <w:tab/>
      </w:r>
      <w:bookmarkEnd w:id="14"/>
      <w:r>
        <w:rPr>
          <w:rFonts w:hint="eastAsia" w:ascii="宋体" w:hAnsi="宋体" w:cs="宋体"/>
          <w:sz w:val="24"/>
          <w:szCs w:val="24"/>
          <w:highlight w:val="none"/>
        </w:rPr>
        <w:t>报价人提交的响应文件以及报价人与采购人就有关磋商的所有来往函电均应使用“报价人须知前附表”中规定的语言书写。报价人提交的支持文件和印刷的文献可以用另一种语言，但相应内容应附有“报价人须知前附表”中规定语言的翻译本，在解释响应文件时以翻译本为准。</w:t>
      </w:r>
    </w:p>
    <w:p>
      <w:pPr>
        <w:pStyle w:val="4"/>
        <w:tabs>
          <w:tab w:val="left" w:pos="900"/>
        </w:tabs>
        <w:spacing w:before="0" w:after="0" w:line="360" w:lineRule="auto"/>
        <w:rPr>
          <w:rFonts w:ascii="宋体" w:cs="宋体"/>
          <w:sz w:val="24"/>
          <w:szCs w:val="24"/>
          <w:highlight w:val="none"/>
        </w:rPr>
      </w:pPr>
      <w:bookmarkStart w:id="15" w:name="_Toc163893396"/>
      <w:bookmarkStart w:id="16" w:name="_Toc516367023"/>
      <w:bookmarkStart w:id="17" w:name="_Toc520356153"/>
      <w:bookmarkStart w:id="18" w:name="_Toc134857282"/>
      <w:r>
        <w:rPr>
          <w:rFonts w:ascii="宋体" w:hAnsi="宋体" w:cs="宋体"/>
          <w:sz w:val="24"/>
          <w:szCs w:val="24"/>
          <w:highlight w:val="none"/>
        </w:rPr>
        <w:t>9</w:t>
      </w:r>
      <w:r>
        <w:rPr>
          <w:rFonts w:hint="eastAsia" w:ascii="宋体" w:hAnsi="宋体" w:cs="宋体"/>
          <w:sz w:val="24"/>
          <w:szCs w:val="24"/>
          <w:highlight w:val="none"/>
        </w:rPr>
        <w:t>．</w:t>
      </w:r>
      <w:bookmarkEnd w:id="15"/>
      <w:bookmarkEnd w:id="16"/>
      <w:bookmarkEnd w:id="17"/>
      <w:bookmarkEnd w:id="18"/>
      <w:r>
        <w:rPr>
          <w:rFonts w:hint="eastAsia" w:ascii="宋体" w:hAnsi="宋体" w:cs="宋体"/>
          <w:sz w:val="24"/>
          <w:szCs w:val="24"/>
          <w:highlight w:val="none"/>
        </w:rPr>
        <w:t>响应文件构成</w:t>
      </w:r>
    </w:p>
    <w:p>
      <w:pPr>
        <w:spacing w:line="360" w:lineRule="auto"/>
        <w:ind w:left="900" w:hanging="900"/>
        <w:rPr>
          <w:rFonts w:ascii="宋体" w:cs="宋体"/>
          <w:sz w:val="24"/>
          <w:szCs w:val="24"/>
          <w:highlight w:val="none"/>
        </w:rPr>
      </w:pPr>
      <w:r>
        <w:rPr>
          <w:rFonts w:ascii="宋体" w:hAnsi="宋体" w:cs="宋体"/>
          <w:sz w:val="24"/>
          <w:szCs w:val="24"/>
          <w:highlight w:val="none"/>
        </w:rPr>
        <w:t>9.1</w:t>
      </w:r>
      <w:r>
        <w:rPr>
          <w:rFonts w:ascii="宋体" w:hAnsi="宋体" w:cs="宋体"/>
          <w:sz w:val="24"/>
          <w:szCs w:val="24"/>
          <w:highlight w:val="none"/>
        </w:rPr>
        <w:tab/>
      </w:r>
      <w:r>
        <w:rPr>
          <w:rFonts w:hint="eastAsia" w:ascii="宋体" w:hAnsi="宋体" w:cs="宋体"/>
          <w:sz w:val="24"/>
          <w:szCs w:val="24"/>
          <w:highlight w:val="none"/>
        </w:rPr>
        <w:t>报价人编写的响应文件应包括的部分：详见第七章的内容。</w:t>
      </w:r>
    </w:p>
    <w:p>
      <w:pPr>
        <w:spacing w:line="360" w:lineRule="auto"/>
        <w:ind w:left="900" w:hanging="900"/>
        <w:rPr>
          <w:rFonts w:ascii="宋体" w:cs="宋体"/>
          <w:sz w:val="24"/>
          <w:szCs w:val="24"/>
          <w:highlight w:val="none"/>
        </w:rPr>
      </w:pPr>
      <w:r>
        <w:rPr>
          <w:rFonts w:ascii="宋体" w:hAnsi="宋体" w:cs="宋体"/>
          <w:sz w:val="24"/>
          <w:szCs w:val="24"/>
          <w:highlight w:val="none"/>
        </w:rPr>
        <w:t xml:space="preserve">9.2     </w:t>
      </w:r>
      <w:r>
        <w:rPr>
          <w:rFonts w:hint="eastAsia" w:ascii="宋体" w:hAnsi="宋体" w:cs="宋体"/>
          <w:sz w:val="24"/>
          <w:szCs w:val="24"/>
          <w:highlight w:val="none"/>
        </w:rPr>
        <w:t>响应文件中要求附的复印件应清晰可见、并编写要求有目录、连续页码。</w:t>
      </w:r>
    </w:p>
    <w:p>
      <w:pPr>
        <w:spacing w:line="360" w:lineRule="auto"/>
        <w:rPr>
          <w:rFonts w:ascii="宋体" w:cs="宋体"/>
          <w:b/>
          <w:sz w:val="24"/>
          <w:szCs w:val="24"/>
          <w:highlight w:val="none"/>
        </w:rPr>
      </w:pPr>
      <w:bookmarkStart w:id="19" w:name="_Toc73427790"/>
      <w:r>
        <w:rPr>
          <w:rFonts w:ascii="宋体" w:hAnsi="宋体" w:cs="宋体"/>
          <w:b/>
          <w:sz w:val="24"/>
          <w:szCs w:val="24"/>
          <w:highlight w:val="none"/>
        </w:rPr>
        <w:t>10</w:t>
      </w:r>
      <w:r>
        <w:rPr>
          <w:rFonts w:hint="eastAsia" w:ascii="宋体" w:hAnsi="宋体" w:cs="宋体"/>
          <w:b/>
          <w:sz w:val="24"/>
          <w:szCs w:val="24"/>
          <w:highlight w:val="none"/>
        </w:rPr>
        <w:t>．</w:t>
      </w:r>
      <w:bookmarkEnd w:id="19"/>
      <w:r>
        <w:rPr>
          <w:rFonts w:hint="eastAsia" w:ascii="宋体" w:hAnsi="宋体" w:cs="宋体"/>
          <w:b/>
          <w:sz w:val="24"/>
          <w:szCs w:val="24"/>
          <w:highlight w:val="none"/>
        </w:rPr>
        <w:t>响应报价</w:t>
      </w:r>
    </w:p>
    <w:p>
      <w:pPr>
        <w:spacing w:line="360" w:lineRule="auto"/>
        <w:rPr>
          <w:rFonts w:ascii="宋体" w:cs="宋体"/>
          <w:sz w:val="24"/>
          <w:szCs w:val="24"/>
          <w:highlight w:val="none"/>
        </w:rPr>
      </w:pPr>
      <w:r>
        <w:rPr>
          <w:rFonts w:ascii="宋体" w:hAnsi="宋体" w:cs="宋体"/>
          <w:sz w:val="24"/>
          <w:szCs w:val="24"/>
          <w:highlight w:val="none"/>
        </w:rPr>
        <w:t xml:space="preserve">10.1   </w:t>
      </w:r>
      <w:r>
        <w:rPr>
          <w:rFonts w:hint="eastAsia" w:ascii="宋体" w:hAnsi="宋体" w:cs="宋体"/>
          <w:sz w:val="24"/>
          <w:szCs w:val="24"/>
          <w:highlight w:val="none"/>
        </w:rPr>
        <w:t>报价人的响应报价应遵守</w:t>
      </w:r>
      <w:r>
        <w:rPr>
          <w:rFonts w:hint="eastAsia" w:ascii="宋体" w:cs="宋体"/>
          <w:sz w:val="24"/>
          <w:szCs w:val="24"/>
          <w:highlight w:val="none"/>
        </w:rPr>
        <w:t>“</w:t>
      </w:r>
      <w:r>
        <w:rPr>
          <w:rFonts w:hint="eastAsia" w:ascii="宋体" w:hAnsi="宋体" w:cs="宋体"/>
          <w:sz w:val="24"/>
          <w:szCs w:val="24"/>
          <w:highlight w:val="none"/>
        </w:rPr>
        <w:t>中华人民共和国价格法</w:t>
      </w:r>
      <w:r>
        <w:rPr>
          <w:rFonts w:hint="eastAsia" w:ascii="宋体" w:cs="宋体"/>
          <w:sz w:val="24"/>
          <w:szCs w:val="24"/>
          <w:highlight w:val="none"/>
        </w:rPr>
        <w:t>”</w:t>
      </w:r>
      <w:r>
        <w:rPr>
          <w:rFonts w:hint="eastAsia" w:ascii="宋体" w:hAnsi="宋体" w:cs="宋体"/>
          <w:sz w:val="24"/>
          <w:szCs w:val="24"/>
          <w:highlight w:val="none"/>
        </w:rPr>
        <w:t>。</w:t>
      </w:r>
    </w:p>
    <w:p>
      <w:pPr>
        <w:spacing w:line="360" w:lineRule="auto"/>
        <w:rPr>
          <w:rFonts w:ascii="宋体" w:cs="宋体"/>
          <w:b/>
          <w:sz w:val="24"/>
          <w:szCs w:val="24"/>
          <w:highlight w:val="none"/>
        </w:rPr>
      </w:pPr>
      <w:r>
        <w:rPr>
          <w:rFonts w:ascii="宋体" w:hAnsi="宋体" w:cs="宋体"/>
          <w:b/>
          <w:sz w:val="24"/>
          <w:szCs w:val="24"/>
          <w:highlight w:val="none"/>
        </w:rPr>
        <w:t xml:space="preserve">11. </w:t>
      </w:r>
      <w:r>
        <w:rPr>
          <w:rFonts w:hint="eastAsia" w:ascii="宋体" w:hAnsi="宋体" w:cs="宋体"/>
          <w:b/>
          <w:sz w:val="24"/>
          <w:szCs w:val="24"/>
          <w:highlight w:val="none"/>
        </w:rPr>
        <w:t>磋商保证金</w:t>
      </w:r>
    </w:p>
    <w:p>
      <w:pPr>
        <w:spacing w:before="120" w:line="360" w:lineRule="auto"/>
        <w:ind w:left="898" w:hanging="898"/>
        <w:rPr>
          <w:rFonts w:ascii="宋体"/>
          <w:sz w:val="24"/>
          <w:szCs w:val="24"/>
          <w:highlight w:val="none"/>
        </w:rPr>
      </w:pPr>
      <w:r>
        <w:rPr>
          <w:rFonts w:ascii="宋体" w:hAnsi="宋体"/>
          <w:sz w:val="24"/>
          <w:szCs w:val="24"/>
          <w:highlight w:val="none"/>
        </w:rPr>
        <w:t>11.1</w:t>
      </w:r>
      <w:r>
        <w:rPr>
          <w:rFonts w:ascii="宋体" w:hAnsi="宋体"/>
          <w:sz w:val="24"/>
          <w:szCs w:val="24"/>
          <w:highlight w:val="none"/>
        </w:rPr>
        <w:tab/>
      </w:r>
      <w:r>
        <w:rPr>
          <w:rFonts w:hint="eastAsia" w:ascii="宋体" w:hAnsi="宋体"/>
          <w:sz w:val="24"/>
          <w:szCs w:val="24"/>
          <w:highlight w:val="none"/>
        </w:rPr>
        <w:t>本项目报价人应提供的磋商保证金为</w:t>
      </w:r>
      <w:r>
        <w:rPr>
          <w:rFonts w:ascii="宋体" w:hAnsi="宋体"/>
          <w:sz w:val="24"/>
          <w:szCs w:val="24"/>
          <w:highlight w:val="none"/>
          <w:u w:val="single"/>
        </w:rPr>
        <w:t xml:space="preserve">0  </w:t>
      </w:r>
      <w:r>
        <w:rPr>
          <w:rFonts w:hint="eastAsia" w:ascii="宋体" w:hAnsi="宋体"/>
          <w:sz w:val="24"/>
          <w:szCs w:val="24"/>
          <w:highlight w:val="none"/>
        </w:rPr>
        <w:t>元。</w:t>
      </w:r>
    </w:p>
    <w:p>
      <w:pPr>
        <w:spacing w:before="120" w:line="360" w:lineRule="auto"/>
        <w:ind w:left="898" w:hanging="898"/>
        <w:rPr>
          <w:rFonts w:ascii="宋体"/>
          <w:sz w:val="24"/>
          <w:szCs w:val="24"/>
          <w:highlight w:val="none"/>
        </w:rPr>
      </w:pPr>
      <w:r>
        <w:rPr>
          <w:rFonts w:ascii="宋体" w:hAnsi="宋体"/>
          <w:sz w:val="24"/>
          <w:szCs w:val="24"/>
          <w:highlight w:val="none"/>
        </w:rPr>
        <w:t>11.2</w:t>
      </w:r>
      <w:r>
        <w:rPr>
          <w:rFonts w:ascii="宋体" w:hAnsi="宋体"/>
          <w:sz w:val="24"/>
          <w:szCs w:val="24"/>
          <w:highlight w:val="none"/>
        </w:rPr>
        <w:tab/>
      </w:r>
      <w:r>
        <w:rPr>
          <w:rFonts w:hint="eastAsia" w:ascii="宋体" w:hAnsi="宋体"/>
          <w:sz w:val="24"/>
          <w:szCs w:val="24"/>
          <w:highlight w:val="none"/>
        </w:rPr>
        <w:t>磋商保证金是为了保护采购人免遭因报价人的行为蒙受损失而要求的。</w:t>
      </w:r>
    </w:p>
    <w:p>
      <w:pPr>
        <w:spacing w:before="120" w:line="360" w:lineRule="auto"/>
        <w:ind w:left="360" w:firstLine="540"/>
        <w:rPr>
          <w:rFonts w:ascii="宋体"/>
          <w:sz w:val="24"/>
          <w:szCs w:val="24"/>
          <w:highlight w:val="none"/>
        </w:rPr>
      </w:pPr>
      <w:r>
        <w:rPr>
          <w:rFonts w:hint="eastAsia" w:ascii="宋体" w:hAnsi="宋体"/>
          <w:sz w:val="24"/>
          <w:szCs w:val="24"/>
          <w:highlight w:val="none"/>
        </w:rPr>
        <w:t>下列任何情况发生，磋商保证金将被没收：</w:t>
      </w:r>
    </w:p>
    <w:p>
      <w:pPr>
        <w:spacing w:before="120" w:line="360" w:lineRule="auto"/>
        <w:ind w:left="1742" w:leftChars="400" w:hanging="902"/>
        <w:rPr>
          <w:rFonts w:ascii="宋体"/>
          <w:sz w:val="24"/>
          <w:szCs w:val="24"/>
          <w:highlight w:val="none"/>
        </w:rPr>
      </w:pPr>
      <w:r>
        <w:rPr>
          <w:rFonts w:ascii="宋体" w:hAnsi="宋体"/>
          <w:sz w:val="24"/>
          <w:szCs w:val="24"/>
          <w:highlight w:val="none"/>
        </w:rPr>
        <w:t>(1)</w:t>
      </w:r>
      <w:r>
        <w:rPr>
          <w:rFonts w:hint="eastAsia" w:ascii="宋体" w:hAnsi="宋体"/>
          <w:sz w:val="24"/>
          <w:szCs w:val="24"/>
          <w:highlight w:val="none"/>
        </w:rPr>
        <w:t>自响应文件递交截止时间后到响应有效期满前，报价人撤回响应的；</w:t>
      </w:r>
    </w:p>
    <w:p>
      <w:pPr>
        <w:spacing w:before="120" w:line="360" w:lineRule="auto"/>
        <w:ind w:left="1742" w:leftChars="400" w:hanging="902"/>
        <w:rPr>
          <w:rFonts w:ascii="宋体"/>
          <w:sz w:val="24"/>
          <w:szCs w:val="24"/>
          <w:highlight w:val="none"/>
        </w:rPr>
      </w:pPr>
      <w:r>
        <w:rPr>
          <w:rFonts w:ascii="宋体" w:hAnsi="宋体"/>
          <w:sz w:val="24"/>
          <w:szCs w:val="24"/>
          <w:highlight w:val="none"/>
        </w:rPr>
        <w:t>(2)</w:t>
      </w:r>
      <w:r>
        <w:rPr>
          <w:rFonts w:hint="eastAsia" w:ascii="宋体" w:hAnsi="宋体"/>
          <w:sz w:val="24"/>
          <w:szCs w:val="24"/>
          <w:highlight w:val="none"/>
        </w:rPr>
        <w:t>报价人以他人名义响应、相互串通响应或者以其他方式弄虚作假的；</w:t>
      </w:r>
    </w:p>
    <w:p>
      <w:pPr>
        <w:spacing w:before="120" w:line="360" w:lineRule="auto"/>
        <w:ind w:left="1742" w:leftChars="400" w:hanging="902"/>
        <w:rPr>
          <w:rFonts w:ascii="宋体"/>
          <w:sz w:val="24"/>
          <w:szCs w:val="24"/>
          <w:highlight w:val="none"/>
        </w:rPr>
      </w:pPr>
      <w:r>
        <w:rPr>
          <w:rFonts w:ascii="宋体" w:hAnsi="宋体"/>
          <w:sz w:val="24"/>
          <w:szCs w:val="24"/>
          <w:highlight w:val="none"/>
        </w:rPr>
        <w:t>(3)</w:t>
      </w:r>
      <w:r>
        <w:rPr>
          <w:rFonts w:hint="eastAsia" w:ascii="宋体" w:hAnsi="宋体"/>
          <w:sz w:val="24"/>
          <w:szCs w:val="24"/>
          <w:highlight w:val="none"/>
        </w:rPr>
        <w:t>报价人提交的响应文件中提交虚假资料或失实资料的；</w:t>
      </w:r>
    </w:p>
    <w:p>
      <w:pPr>
        <w:spacing w:before="120" w:line="360" w:lineRule="auto"/>
        <w:ind w:left="1742" w:leftChars="400" w:hanging="902"/>
        <w:rPr>
          <w:rFonts w:ascii="宋体"/>
          <w:sz w:val="24"/>
          <w:szCs w:val="24"/>
          <w:highlight w:val="none"/>
        </w:rPr>
      </w:pPr>
      <w:r>
        <w:rPr>
          <w:rFonts w:ascii="宋体" w:hAnsi="宋体"/>
          <w:sz w:val="24"/>
          <w:szCs w:val="24"/>
          <w:highlight w:val="none"/>
        </w:rPr>
        <w:t>(4)</w:t>
      </w:r>
      <w:r>
        <w:rPr>
          <w:rFonts w:hint="eastAsia" w:ascii="宋体" w:hAnsi="宋体"/>
          <w:sz w:val="24"/>
          <w:szCs w:val="24"/>
          <w:highlight w:val="none"/>
        </w:rPr>
        <w:t>成交报价人不按本文件中规定与采购人签订合同的；</w:t>
      </w:r>
    </w:p>
    <w:p>
      <w:pPr>
        <w:spacing w:before="120" w:line="360" w:lineRule="auto"/>
        <w:ind w:left="1742" w:leftChars="400" w:hanging="902"/>
        <w:rPr>
          <w:rFonts w:ascii="宋体"/>
          <w:sz w:val="24"/>
          <w:szCs w:val="24"/>
          <w:highlight w:val="none"/>
        </w:rPr>
      </w:pPr>
      <w:r>
        <w:rPr>
          <w:rFonts w:ascii="宋体" w:hAnsi="宋体"/>
          <w:sz w:val="24"/>
          <w:szCs w:val="24"/>
          <w:highlight w:val="none"/>
        </w:rPr>
        <w:t>(5)</w:t>
      </w:r>
      <w:r>
        <w:rPr>
          <w:rFonts w:hint="eastAsia" w:ascii="宋体" w:hAnsi="宋体"/>
          <w:sz w:val="24"/>
          <w:szCs w:val="24"/>
          <w:highlight w:val="none"/>
        </w:rPr>
        <w:t>成交报价人领取成交通知书时未按规定缴纳成交服务费。</w:t>
      </w:r>
    </w:p>
    <w:p>
      <w:pPr>
        <w:spacing w:line="360" w:lineRule="auto"/>
        <w:rPr>
          <w:rFonts w:ascii="宋体" w:cs="宋体"/>
          <w:b/>
          <w:sz w:val="24"/>
          <w:szCs w:val="24"/>
          <w:highlight w:val="none"/>
        </w:rPr>
      </w:pPr>
      <w:r>
        <w:rPr>
          <w:rFonts w:ascii="宋体" w:hAnsi="宋体" w:cs="宋体"/>
          <w:b/>
          <w:sz w:val="24"/>
          <w:szCs w:val="24"/>
          <w:highlight w:val="none"/>
        </w:rPr>
        <w:t xml:space="preserve">12. </w:t>
      </w:r>
      <w:r>
        <w:rPr>
          <w:rFonts w:hint="eastAsia" w:ascii="宋体" w:hAnsi="宋体" w:cs="宋体"/>
          <w:b/>
          <w:sz w:val="24"/>
          <w:szCs w:val="24"/>
          <w:highlight w:val="none"/>
        </w:rPr>
        <w:t>响应有效期</w:t>
      </w:r>
    </w:p>
    <w:p>
      <w:pPr>
        <w:spacing w:before="120" w:line="360" w:lineRule="auto"/>
        <w:ind w:left="900" w:hanging="900"/>
        <w:rPr>
          <w:rFonts w:ascii="宋体"/>
          <w:sz w:val="24"/>
          <w:szCs w:val="24"/>
          <w:highlight w:val="none"/>
        </w:rPr>
      </w:pPr>
      <w:r>
        <w:rPr>
          <w:rFonts w:ascii="宋体" w:hAnsi="宋体"/>
          <w:sz w:val="24"/>
          <w:szCs w:val="24"/>
          <w:highlight w:val="none"/>
        </w:rPr>
        <w:t>12.1</w:t>
      </w:r>
      <w:r>
        <w:rPr>
          <w:rFonts w:ascii="宋体" w:hAnsi="宋体"/>
          <w:sz w:val="24"/>
          <w:szCs w:val="24"/>
          <w:highlight w:val="none"/>
        </w:rPr>
        <w:tab/>
      </w:r>
      <w:r>
        <w:rPr>
          <w:rFonts w:hint="eastAsia" w:ascii="宋体" w:hAnsi="宋体"/>
          <w:sz w:val="24"/>
          <w:szCs w:val="24"/>
          <w:highlight w:val="none"/>
        </w:rPr>
        <w:t>响应文件应在规定的磋商日后的</w:t>
      </w:r>
      <w:r>
        <w:rPr>
          <w:rFonts w:ascii="宋体" w:hAnsi="宋体"/>
          <w:sz w:val="24"/>
          <w:szCs w:val="24"/>
          <w:highlight w:val="none"/>
          <w:u w:val="single"/>
        </w:rPr>
        <w:t xml:space="preserve"> 90 </w:t>
      </w:r>
      <w:r>
        <w:rPr>
          <w:rFonts w:hint="eastAsia" w:ascii="宋体" w:hAnsi="宋体"/>
          <w:sz w:val="24"/>
          <w:szCs w:val="24"/>
          <w:highlight w:val="none"/>
        </w:rPr>
        <w:t>天内保持有效，响应有效期不满足要求的响应文件将被视为非响应性响应而予以拒绝。</w:t>
      </w:r>
    </w:p>
    <w:p>
      <w:pPr>
        <w:spacing w:before="120" w:line="360" w:lineRule="auto"/>
        <w:ind w:left="900" w:hanging="900"/>
        <w:rPr>
          <w:rFonts w:ascii="宋体"/>
          <w:sz w:val="24"/>
          <w:szCs w:val="24"/>
          <w:highlight w:val="none"/>
        </w:rPr>
      </w:pPr>
      <w:r>
        <w:rPr>
          <w:rFonts w:ascii="宋体" w:hAnsi="宋体"/>
          <w:sz w:val="24"/>
          <w:szCs w:val="24"/>
          <w:highlight w:val="none"/>
        </w:rPr>
        <w:t>12.2</w:t>
      </w:r>
      <w:r>
        <w:rPr>
          <w:rFonts w:ascii="宋体" w:hAnsi="宋体"/>
          <w:sz w:val="24"/>
          <w:szCs w:val="24"/>
          <w:highlight w:val="none"/>
        </w:rPr>
        <w:tab/>
      </w:r>
      <w:r>
        <w:rPr>
          <w:rFonts w:hint="eastAsia" w:ascii="宋体" w:hAnsi="宋体"/>
          <w:sz w:val="24"/>
          <w:szCs w:val="24"/>
          <w:highlight w:val="none"/>
        </w:rPr>
        <w:t>采购人可根据实际情况，在原响应有效期截止之前，要求报价人同意延长响应文件的有效期。接受该要求的报价人将不会被要求和允许修正其响应，且本须知中有关磋商保证金的要求将在延长了的有效期内继续有效。报价人也可以拒绝采购人的这种要求，其磋商保证金将不会被没收。上述要求和答复都应以书面形式提交。</w:t>
      </w:r>
    </w:p>
    <w:p>
      <w:pPr>
        <w:spacing w:line="360" w:lineRule="auto"/>
        <w:rPr>
          <w:rFonts w:ascii="宋体" w:cs="宋体"/>
          <w:b/>
          <w:sz w:val="24"/>
          <w:szCs w:val="24"/>
          <w:highlight w:val="none"/>
        </w:rPr>
      </w:pPr>
      <w:r>
        <w:rPr>
          <w:rFonts w:ascii="宋体" w:hAnsi="宋体" w:cs="宋体"/>
          <w:b/>
          <w:sz w:val="24"/>
          <w:szCs w:val="24"/>
          <w:highlight w:val="none"/>
        </w:rPr>
        <w:t xml:space="preserve">13. </w:t>
      </w:r>
      <w:r>
        <w:rPr>
          <w:rFonts w:hint="eastAsia" w:ascii="宋体" w:hAnsi="宋体" w:cs="宋体"/>
          <w:b/>
          <w:sz w:val="24"/>
          <w:szCs w:val="24"/>
          <w:highlight w:val="none"/>
        </w:rPr>
        <w:t>响应文件的式样和签署</w:t>
      </w:r>
    </w:p>
    <w:p>
      <w:pPr>
        <w:spacing w:line="360" w:lineRule="auto"/>
        <w:ind w:left="900" w:hanging="900"/>
        <w:rPr>
          <w:rFonts w:ascii="宋体" w:cs="宋体"/>
          <w:b/>
          <w:strike/>
          <w:sz w:val="24"/>
          <w:szCs w:val="24"/>
          <w:highlight w:val="none"/>
        </w:rPr>
      </w:pPr>
      <w:r>
        <w:rPr>
          <w:rFonts w:ascii="宋体" w:hAnsi="宋体" w:cs="宋体"/>
          <w:sz w:val="24"/>
          <w:szCs w:val="24"/>
          <w:highlight w:val="none"/>
        </w:rPr>
        <w:t>13.1</w:t>
      </w:r>
      <w:r>
        <w:rPr>
          <w:rFonts w:ascii="宋体" w:hAnsi="宋体" w:cs="宋体"/>
          <w:sz w:val="24"/>
          <w:szCs w:val="24"/>
          <w:highlight w:val="none"/>
        </w:rPr>
        <w:tab/>
      </w:r>
      <w:r>
        <w:rPr>
          <w:rFonts w:hint="eastAsia" w:ascii="宋体" w:hAnsi="宋体" w:cs="宋体"/>
          <w:sz w:val="24"/>
          <w:szCs w:val="24"/>
          <w:highlight w:val="none"/>
        </w:rPr>
        <w:t>报价人应准备一份响应文件正本和“报价人须知前附表”中规定数目的副本，每套响应文件须清楚地标明“正本”或“副本”。若正本和副本不符，以正本为准。</w:t>
      </w:r>
    </w:p>
    <w:p>
      <w:pPr>
        <w:spacing w:line="360" w:lineRule="auto"/>
        <w:ind w:left="900" w:hanging="900"/>
        <w:rPr>
          <w:rFonts w:ascii="宋体" w:cs="宋体"/>
          <w:sz w:val="24"/>
          <w:szCs w:val="24"/>
          <w:highlight w:val="none"/>
        </w:rPr>
      </w:pPr>
      <w:r>
        <w:rPr>
          <w:rFonts w:ascii="宋体" w:hAnsi="宋体" w:cs="宋体"/>
          <w:sz w:val="24"/>
          <w:szCs w:val="24"/>
          <w:highlight w:val="none"/>
        </w:rPr>
        <w:t>13.2</w:t>
      </w:r>
      <w:r>
        <w:rPr>
          <w:rFonts w:ascii="宋体" w:hAnsi="宋体" w:cs="宋体"/>
          <w:sz w:val="24"/>
          <w:szCs w:val="24"/>
          <w:highlight w:val="none"/>
        </w:rPr>
        <w:tab/>
      </w:r>
      <w:r>
        <w:rPr>
          <w:rFonts w:hint="eastAsia" w:ascii="宋体" w:hAnsi="宋体" w:cs="宋体"/>
          <w:sz w:val="24"/>
          <w:szCs w:val="24"/>
          <w:highlight w:val="none"/>
        </w:rPr>
        <w:t>响应文件的正本需打印或用不褪色墨水书写，并由报价人或经正式授权并对报价人有约束力的代表在竞争性磋商文件上要求签字和</w:t>
      </w:r>
      <w:r>
        <w:rPr>
          <w:rFonts w:ascii="宋体" w:hAnsi="宋体" w:cs="宋体"/>
          <w:sz w:val="24"/>
          <w:szCs w:val="24"/>
          <w:highlight w:val="none"/>
        </w:rPr>
        <w:t>/</w:t>
      </w:r>
      <w:r>
        <w:rPr>
          <w:rFonts w:hint="eastAsia" w:ascii="宋体" w:hAnsi="宋体" w:cs="宋体"/>
          <w:sz w:val="24"/>
          <w:szCs w:val="24"/>
          <w:highlight w:val="none"/>
        </w:rPr>
        <w:t>或盖章的地方签字和</w:t>
      </w:r>
      <w:r>
        <w:rPr>
          <w:rFonts w:ascii="宋体" w:hAnsi="宋体" w:cs="宋体"/>
          <w:sz w:val="24"/>
          <w:szCs w:val="24"/>
          <w:highlight w:val="none"/>
        </w:rPr>
        <w:t>/</w:t>
      </w:r>
      <w:r>
        <w:rPr>
          <w:rFonts w:hint="eastAsia" w:ascii="宋体" w:hAnsi="宋体" w:cs="宋体"/>
          <w:sz w:val="24"/>
          <w:szCs w:val="24"/>
          <w:highlight w:val="none"/>
        </w:rPr>
        <w:t>或盖章。授权代表须将以书面形式出具的授权书附在响应文件中。响应文件的副本可采用正本的复印件。</w:t>
      </w:r>
    </w:p>
    <w:p>
      <w:pPr>
        <w:spacing w:line="360" w:lineRule="auto"/>
        <w:ind w:left="900" w:hanging="900"/>
        <w:rPr>
          <w:rFonts w:ascii="宋体" w:cs="宋体"/>
          <w:szCs w:val="21"/>
          <w:highlight w:val="none"/>
        </w:rPr>
      </w:pPr>
      <w:r>
        <w:rPr>
          <w:rFonts w:ascii="宋体" w:hAnsi="宋体" w:cs="宋体"/>
          <w:sz w:val="24"/>
          <w:szCs w:val="24"/>
          <w:highlight w:val="none"/>
        </w:rPr>
        <w:t>13.3</w:t>
      </w:r>
      <w:r>
        <w:rPr>
          <w:rFonts w:ascii="宋体" w:hAnsi="宋体" w:cs="宋体"/>
          <w:sz w:val="24"/>
          <w:szCs w:val="24"/>
          <w:highlight w:val="none"/>
        </w:rPr>
        <w:tab/>
      </w:r>
      <w:r>
        <w:rPr>
          <w:rFonts w:hint="eastAsia" w:ascii="宋体" w:hAnsi="宋体" w:cs="宋体"/>
          <w:sz w:val="24"/>
          <w:szCs w:val="24"/>
          <w:highlight w:val="none"/>
        </w:rPr>
        <w:t>任何行间插字、涂改和增删，必须由响应文件签字人在旁边签字才有效。</w:t>
      </w:r>
    </w:p>
    <w:p>
      <w:pPr>
        <w:tabs>
          <w:tab w:val="left" w:pos="630"/>
        </w:tabs>
        <w:spacing w:line="360" w:lineRule="auto"/>
        <w:ind w:left="900" w:hanging="900"/>
        <w:rPr>
          <w:rFonts w:ascii="宋体" w:cs="宋体"/>
          <w:szCs w:val="21"/>
          <w:highlight w:val="none"/>
        </w:rPr>
      </w:pPr>
    </w:p>
    <w:p>
      <w:pPr>
        <w:spacing w:line="360" w:lineRule="auto"/>
        <w:jc w:val="center"/>
        <w:rPr>
          <w:rFonts w:ascii="宋体" w:cs="宋体"/>
          <w:b/>
          <w:sz w:val="28"/>
          <w:szCs w:val="28"/>
          <w:highlight w:val="none"/>
        </w:rPr>
      </w:pPr>
      <w:bookmarkStart w:id="20" w:name="_Ref467306513"/>
      <w:bookmarkStart w:id="21" w:name="_Toc134857284"/>
      <w:bookmarkStart w:id="22" w:name="_Toc520356156"/>
      <w:bookmarkStart w:id="23" w:name="_Toc163893398"/>
      <w:r>
        <w:rPr>
          <w:rFonts w:hint="eastAsia" w:ascii="宋体" w:hAnsi="宋体" w:cs="宋体"/>
          <w:b/>
          <w:sz w:val="28"/>
          <w:szCs w:val="28"/>
          <w:highlight w:val="none"/>
        </w:rPr>
        <w:t>四</w:t>
      </w:r>
      <w:r>
        <w:rPr>
          <w:rFonts w:ascii="宋体" w:hAnsi="宋体" w:cs="宋体"/>
          <w:b/>
          <w:sz w:val="28"/>
          <w:szCs w:val="28"/>
          <w:highlight w:val="none"/>
        </w:rPr>
        <w:t xml:space="preserve">  </w:t>
      </w:r>
      <w:r>
        <w:rPr>
          <w:rFonts w:hint="eastAsia" w:ascii="宋体" w:hAnsi="宋体" w:cs="宋体"/>
          <w:b/>
          <w:sz w:val="28"/>
          <w:szCs w:val="28"/>
          <w:highlight w:val="none"/>
        </w:rPr>
        <w:t>响应文件的递交</w:t>
      </w:r>
    </w:p>
    <w:p>
      <w:pPr>
        <w:pStyle w:val="4"/>
        <w:spacing w:before="0" w:after="0" w:line="360" w:lineRule="auto"/>
        <w:rPr>
          <w:rFonts w:ascii="宋体" w:cs="宋体"/>
          <w:sz w:val="24"/>
          <w:szCs w:val="24"/>
          <w:highlight w:val="none"/>
        </w:rPr>
      </w:pPr>
      <w:r>
        <w:rPr>
          <w:rFonts w:ascii="宋体" w:hAnsi="宋体" w:cs="宋体"/>
          <w:sz w:val="24"/>
          <w:szCs w:val="24"/>
          <w:highlight w:val="none"/>
        </w:rPr>
        <w:t>14</w:t>
      </w:r>
      <w:r>
        <w:rPr>
          <w:rFonts w:hint="eastAsia" w:ascii="宋体" w:hAnsi="宋体" w:cs="宋体"/>
          <w:sz w:val="24"/>
          <w:szCs w:val="24"/>
          <w:highlight w:val="none"/>
        </w:rPr>
        <w:t>．</w:t>
      </w:r>
      <w:bookmarkEnd w:id="20"/>
      <w:bookmarkEnd w:id="21"/>
      <w:bookmarkEnd w:id="22"/>
      <w:bookmarkEnd w:id="23"/>
      <w:r>
        <w:rPr>
          <w:rFonts w:hint="eastAsia" w:ascii="宋体" w:hAnsi="宋体" w:cs="宋体"/>
          <w:sz w:val="24"/>
          <w:szCs w:val="24"/>
          <w:highlight w:val="none"/>
        </w:rPr>
        <w:t>响应文件的密封和标记</w:t>
      </w:r>
    </w:p>
    <w:p>
      <w:pPr>
        <w:spacing w:line="360" w:lineRule="auto"/>
        <w:ind w:left="898" w:hanging="898"/>
        <w:rPr>
          <w:rFonts w:ascii="宋体" w:cs="宋体"/>
          <w:sz w:val="24"/>
          <w:szCs w:val="24"/>
          <w:highlight w:val="none"/>
        </w:rPr>
      </w:pPr>
      <w:bookmarkStart w:id="24" w:name="_Ref467306302"/>
      <w:r>
        <w:rPr>
          <w:rFonts w:ascii="宋体" w:hAnsi="宋体" w:cs="宋体"/>
          <w:sz w:val="24"/>
          <w:szCs w:val="24"/>
          <w:highlight w:val="none"/>
        </w:rPr>
        <w:t>14.1</w:t>
      </w:r>
      <w:r>
        <w:rPr>
          <w:rFonts w:ascii="宋体" w:hAnsi="宋体" w:cs="宋体"/>
          <w:sz w:val="24"/>
          <w:szCs w:val="24"/>
          <w:highlight w:val="none"/>
        </w:rPr>
        <w:tab/>
      </w:r>
      <w:bookmarkEnd w:id="24"/>
      <w:r>
        <w:rPr>
          <w:rFonts w:hint="eastAsia" w:ascii="宋体" w:hAnsi="宋体" w:cs="宋体"/>
          <w:sz w:val="24"/>
          <w:szCs w:val="24"/>
          <w:highlight w:val="none"/>
        </w:rPr>
        <w:t>报价人应将响应文件正本和所有的副本分开密封装在单独的信封中，</w:t>
      </w:r>
      <w:r>
        <w:rPr>
          <w:rFonts w:hint="eastAsia" w:ascii="宋体" w:hAnsi="宋体"/>
          <w:sz w:val="24"/>
          <w:highlight w:val="none"/>
        </w:rPr>
        <w:t>电子版单独密封，</w:t>
      </w:r>
      <w:r>
        <w:rPr>
          <w:rFonts w:hint="eastAsia" w:ascii="宋体" w:hAnsi="宋体" w:cs="宋体"/>
          <w:sz w:val="24"/>
          <w:szCs w:val="24"/>
          <w:highlight w:val="none"/>
        </w:rPr>
        <w:t>且在文件上标明“正本”或“副本”字样。</w:t>
      </w:r>
    </w:p>
    <w:p>
      <w:pPr>
        <w:spacing w:line="360" w:lineRule="auto"/>
        <w:ind w:left="898" w:hanging="898"/>
        <w:rPr>
          <w:rFonts w:ascii="宋体" w:cs="宋体"/>
          <w:sz w:val="24"/>
          <w:szCs w:val="24"/>
          <w:highlight w:val="none"/>
        </w:rPr>
      </w:pPr>
      <w:r>
        <w:rPr>
          <w:rFonts w:ascii="宋体" w:hAnsi="宋体" w:cs="宋体"/>
          <w:sz w:val="24"/>
          <w:szCs w:val="24"/>
          <w:highlight w:val="none"/>
        </w:rPr>
        <w:t>14.2</w:t>
      </w:r>
      <w:r>
        <w:rPr>
          <w:rFonts w:ascii="宋体" w:hAnsi="宋体" w:cs="宋体"/>
          <w:sz w:val="24"/>
          <w:szCs w:val="24"/>
          <w:highlight w:val="none"/>
        </w:rPr>
        <w:tab/>
      </w:r>
      <w:r>
        <w:rPr>
          <w:rFonts w:hint="eastAsia" w:ascii="宋体" w:hAnsi="宋体" w:cs="宋体"/>
          <w:sz w:val="24"/>
          <w:szCs w:val="24"/>
          <w:highlight w:val="none"/>
        </w:rPr>
        <w:t>响应文件的封装包装上应：</w:t>
      </w:r>
    </w:p>
    <w:p>
      <w:pPr>
        <w:pStyle w:val="29"/>
        <w:tabs>
          <w:tab w:val="left" w:pos="2240"/>
        </w:tabs>
        <w:spacing w:line="360" w:lineRule="auto"/>
        <w:ind w:left="-2" w:firstLine="1080" w:firstLineChars="450"/>
        <w:rPr>
          <w:rFonts w:hAnsi="宋体" w:cs="宋体"/>
          <w:sz w:val="24"/>
          <w:szCs w:val="24"/>
          <w:highlight w:val="none"/>
        </w:rPr>
      </w:pPr>
      <w:r>
        <w:rPr>
          <w:rFonts w:hint="eastAsia" w:hAnsi="宋体" w:cs="宋体"/>
          <w:sz w:val="24"/>
          <w:szCs w:val="24"/>
          <w:highlight w:val="none"/>
        </w:rPr>
        <w:t>●清楚标明递交至“报价人须知前附表”中指明的地址。</w:t>
      </w:r>
    </w:p>
    <w:p>
      <w:pPr>
        <w:pStyle w:val="29"/>
        <w:tabs>
          <w:tab w:val="left" w:pos="2240"/>
        </w:tabs>
        <w:spacing w:line="360" w:lineRule="auto"/>
        <w:ind w:left="1075" w:leftChars="512"/>
        <w:rPr>
          <w:rFonts w:hAnsi="宋体" w:cs="宋体"/>
          <w:sz w:val="24"/>
          <w:szCs w:val="24"/>
          <w:highlight w:val="none"/>
        </w:rPr>
      </w:pPr>
      <w:bookmarkStart w:id="25" w:name="_Ref467306336"/>
      <w:r>
        <w:rPr>
          <w:rFonts w:hint="eastAsia" w:hAnsi="宋体" w:cs="宋体"/>
          <w:sz w:val="24"/>
          <w:szCs w:val="24"/>
          <w:highlight w:val="none"/>
        </w:rPr>
        <w:t>●注明项目名称、项目编号和“在</w:t>
      </w:r>
      <w:r>
        <w:rPr>
          <w:rFonts w:hAnsi="宋体" w:cs="宋体"/>
          <w:sz w:val="24"/>
          <w:szCs w:val="24"/>
          <w:highlight w:val="none"/>
        </w:rPr>
        <w:t xml:space="preserve">    </w:t>
      </w:r>
      <w:r>
        <w:rPr>
          <w:rFonts w:hint="eastAsia" w:hAnsi="宋体" w:cs="宋体"/>
          <w:sz w:val="24"/>
          <w:szCs w:val="24"/>
          <w:highlight w:val="none"/>
        </w:rPr>
        <w:t>年</w:t>
      </w:r>
      <w:r>
        <w:rPr>
          <w:rFonts w:hAnsi="宋体" w:cs="宋体"/>
          <w:sz w:val="24"/>
          <w:szCs w:val="24"/>
          <w:highlight w:val="none"/>
        </w:rPr>
        <w:t xml:space="preserve">  </w:t>
      </w:r>
      <w:r>
        <w:rPr>
          <w:rFonts w:hint="eastAsia" w:hAnsi="宋体" w:cs="宋体"/>
          <w:sz w:val="24"/>
          <w:szCs w:val="24"/>
          <w:highlight w:val="none"/>
        </w:rPr>
        <w:t>月</w:t>
      </w:r>
      <w:r>
        <w:rPr>
          <w:rFonts w:hAnsi="宋体" w:cs="宋体"/>
          <w:sz w:val="24"/>
          <w:szCs w:val="24"/>
          <w:highlight w:val="none"/>
        </w:rPr>
        <w:t xml:space="preserve">  </w:t>
      </w:r>
      <w:r>
        <w:rPr>
          <w:rFonts w:hint="eastAsia" w:hAnsi="宋体" w:cs="宋体"/>
          <w:sz w:val="24"/>
          <w:szCs w:val="24"/>
          <w:highlight w:val="none"/>
        </w:rPr>
        <w:t>日</w:t>
      </w:r>
      <w:r>
        <w:rPr>
          <w:rFonts w:hAnsi="宋体" w:cs="宋体"/>
          <w:sz w:val="24"/>
          <w:szCs w:val="24"/>
          <w:highlight w:val="none"/>
        </w:rPr>
        <w:t xml:space="preserve">   </w:t>
      </w:r>
      <w:r>
        <w:rPr>
          <w:rFonts w:hint="eastAsia" w:hAnsi="宋体" w:cs="宋体"/>
          <w:sz w:val="24"/>
          <w:szCs w:val="24"/>
          <w:highlight w:val="none"/>
        </w:rPr>
        <w:t>时（北京时间）之前不得启封”的字样（填入规定的递交截止日期和时间）。</w:t>
      </w:r>
      <w:bookmarkEnd w:id="25"/>
    </w:p>
    <w:p>
      <w:pPr>
        <w:spacing w:line="360" w:lineRule="auto"/>
        <w:ind w:left="31680" w:hanging="960" w:hangingChars="400"/>
        <w:rPr>
          <w:rFonts w:ascii="宋体" w:cs="宋体"/>
          <w:sz w:val="24"/>
          <w:szCs w:val="24"/>
          <w:highlight w:val="none"/>
        </w:rPr>
      </w:pPr>
      <w:r>
        <w:rPr>
          <w:rFonts w:ascii="宋体" w:hAnsi="宋体" w:cs="宋体"/>
          <w:sz w:val="24"/>
          <w:szCs w:val="24"/>
          <w:highlight w:val="none"/>
        </w:rPr>
        <w:t xml:space="preserve">14.3    </w:t>
      </w:r>
      <w:r>
        <w:rPr>
          <w:rFonts w:hint="eastAsia" w:ascii="宋体" w:hAnsi="宋体" w:cs="宋体"/>
          <w:sz w:val="24"/>
          <w:szCs w:val="24"/>
          <w:highlight w:val="none"/>
        </w:rPr>
        <w:t>封装均应写明报价人名称和地址，以便若其响应文件被宣布为“迟到”递交时，能原封退回。</w:t>
      </w:r>
    </w:p>
    <w:p>
      <w:pPr>
        <w:spacing w:line="360" w:lineRule="auto"/>
        <w:ind w:left="31680" w:hanging="960" w:hangingChars="400"/>
        <w:rPr>
          <w:rFonts w:ascii="宋体" w:cs="宋体"/>
          <w:sz w:val="24"/>
          <w:szCs w:val="24"/>
          <w:highlight w:val="none"/>
        </w:rPr>
      </w:pPr>
      <w:bookmarkStart w:id="26" w:name="_Toc134857285"/>
      <w:bookmarkStart w:id="27" w:name="_Toc163893399"/>
      <w:bookmarkStart w:id="28" w:name="_Toc520356157"/>
      <w:bookmarkStart w:id="29" w:name="_Toc73427795"/>
      <w:r>
        <w:rPr>
          <w:rFonts w:ascii="宋体" w:hAnsi="宋体" w:cs="宋体"/>
          <w:sz w:val="24"/>
          <w:szCs w:val="24"/>
          <w:highlight w:val="none"/>
        </w:rPr>
        <w:t xml:space="preserve">14.4    </w:t>
      </w:r>
      <w:r>
        <w:rPr>
          <w:rFonts w:hint="eastAsia" w:ascii="宋体" w:hAnsi="宋体" w:cs="宋体"/>
          <w:sz w:val="24"/>
          <w:szCs w:val="24"/>
          <w:highlight w:val="none"/>
        </w:rPr>
        <w:t>如果外封装未按本须知第</w:t>
      </w:r>
      <w:r>
        <w:rPr>
          <w:rFonts w:ascii="宋体" w:hAnsi="宋体" w:cs="宋体"/>
          <w:sz w:val="24"/>
          <w:szCs w:val="24"/>
          <w:highlight w:val="none"/>
        </w:rPr>
        <w:t>14.1—14.3</w:t>
      </w:r>
      <w:r>
        <w:rPr>
          <w:rFonts w:hint="eastAsia" w:ascii="宋体" w:hAnsi="宋体" w:cs="宋体"/>
          <w:sz w:val="24"/>
          <w:szCs w:val="24"/>
          <w:highlight w:val="none"/>
        </w:rPr>
        <w:t>条要求加写标记和密封，采购人对误投或过早启封概不负责。</w:t>
      </w:r>
    </w:p>
    <w:p>
      <w:pPr>
        <w:spacing w:line="360" w:lineRule="auto"/>
        <w:ind w:left="31680" w:hanging="960" w:hangingChars="400"/>
        <w:rPr>
          <w:rFonts w:ascii="宋体" w:cs="宋体"/>
          <w:sz w:val="24"/>
          <w:szCs w:val="24"/>
          <w:highlight w:val="none"/>
        </w:rPr>
      </w:pPr>
      <w:r>
        <w:rPr>
          <w:rFonts w:ascii="宋体" w:hAnsi="宋体" w:cs="宋体"/>
          <w:sz w:val="24"/>
          <w:szCs w:val="24"/>
          <w:highlight w:val="none"/>
        </w:rPr>
        <w:t>14.5</w:t>
      </w:r>
      <w:r>
        <w:rPr>
          <w:rFonts w:ascii="宋体" w:hAnsi="宋体" w:cs="宋体"/>
          <w:sz w:val="24"/>
          <w:szCs w:val="24"/>
          <w:highlight w:val="none"/>
        </w:rPr>
        <w:tab/>
      </w:r>
      <w:r>
        <w:rPr>
          <w:rFonts w:hint="eastAsia" w:ascii="宋体" w:hAnsi="宋体" w:cs="宋体"/>
          <w:sz w:val="24"/>
          <w:szCs w:val="24"/>
          <w:highlight w:val="none"/>
        </w:rPr>
        <w:t>对响应文件的其他要求：</w:t>
      </w:r>
    </w:p>
    <w:p>
      <w:pPr>
        <w:spacing w:line="360" w:lineRule="auto"/>
        <w:ind w:left="840" w:leftChars="400" w:firstLine="120" w:firstLineChars="50"/>
        <w:rPr>
          <w:rFonts w:hAnsi="宋体" w:cs="宋体"/>
          <w:sz w:val="24"/>
          <w:szCs w:val="24"/>
          <w:highlight w:val="none"/>
        </w:rPr>
      </w:pPr>
      <w:r>
        <w:rPr>
          <w:rFonts w:hint="eastAsia" w:hAnsi="宋体" w:cs="宋体"/>
          <w:sz w:val="24"/>
          <w:szCs w:val="24"/>
          <w:highlight w:val="none"/>
        </w:rPr>
        <w:t>●响应文件不得采用活页方式进行装订（应采用胶装方式），否则有可能导致响应文件被拒绝；</w:t>
      </w:r>
    </w:p>
    <w:p>
      <w:pPr>
        <w:spacing w:line="360" w:lineRule="auto"/>
        <w:ind w:left="840" w:leftChars="400" w:firstLine="120" w:firstLineChars="50"/>
        <w:rPr>
          <w:rFonts w:hAnsi="宋体" w:cs="宋体"/>
          <w:sz w:val="24"/>
          <w:szCs w:val="24"/>
          <w:highlight w:val="none"/>
        </w:rPr>
      </w:pPr>
      <w:r>
        <w:rPr>
          <w:rFonts w:hint="eastAsia" w:hAnsi="宋体" w:cs="宋体"/>
          <w:sz w:val="24"/>
          <w:szCs w:val="24"/>
          <w:highlight w:val="none"/>
        </w:rPr>
        <w:t>●为便于文件归档保存，建议采用精简内容、双面打印或分册的方式。</w:t>
      </w:r>
    </w:p>
    <w:p>
      <w:pPr>
        <w:tabs>
          <w:tab w:val="left" w:pos="900"/>
        </w:tabs>
        <w:spacing w:before="120" w:line="360" w:lineRule="auto"/>
        <w:ind w:left="31680" w:hanging="960" w:hangingChars="400"/>
        <w:rPr>
          <w:rFonts w:ascii="宋体"/>
          <w:sz w:val="24"/>
          <w:highlight w:val="none"/>
        </w:rPr>
      </w:pPr>
      <w:r>
        <w:rPr>
          <w:rFonts w:ascii="宋体" w:hAnsi="宋体"/>
          <w:sz w:val="24"/>
          <w:highlight w:val="none"/>
        </w:rPr>
        <w:t xml:space="preserve">14.6    </w:t>
      </w:r>
      <w:r>
        <w:rPr>
          <w:rFonts w:hint="eastAsia" w:ascii="宋体" w:hAnsi="宋体"/>
          <w:sz w:val="24"/>
          <w:highlight w:val="none"/>
        </w:rPr>
        <w:t>本项目被授权人参加磋商会时，须持有书面的“法定代表人授权书”（标准格式附后）及第二代身份证复印件（加盖公章），如若是单位法人参加磋商会，须持有书面的“法定代表人证明书”（格式自制）及第二代身份证复印件（加盖公章），采购人或采购代理机构磋商前核验，如报价人未提交将如实记入磋商会记录。</w:t>
      </w:r>
    </w:p>
    <w:p>
      <w:pPr>
        <w:pStyle w:val="4"/>
        <w:spacing w:before="0" w:after="0" w:line="360" w:lineRule="auto"/>
        <w:ind w:left="899" w:hanging="899"/>
        <w:rPr>
          <w:rFonts w:ascii="宋体" w:cs="宋体"/>
          <w:sz w:val="24"/>
          <w:szCs w:val="24"/>
          <w:highlight w:val="none"/>
        </w:rPr>
      </w:pPr>
      <w:r>
        <w:rPr>
          <w:rFonts w:ascii="宋体" w:hAnsi="宋体" w:cs="宋体"/>
          <w:sz w:val="24"/>
          <w:szCs w:val="24"/>
          <w:highlight w:val="none"/>
        </w:rPr>
        <w:t>15</w:t>
      </w:r>
      <w:r>
        <w:rPr>
          <w:rFonts w:hint="eastAsia" w:ascii="宋体" w:hAnsi="宋体" w:cs="宋体"/>
          <w:sz w:val="24"/>
          <w:szCs w:val="24"/>
          <w:highlight w:val="none"/>
        </w:rPr>
        <w:t>．</w:t>
      </w:r>
      <w:bookmarkEnd w:id="26"/>
      <w:bookmarkEnd w:id="27"/>
      <w:bookmarkEnd w:id="28"/>
      <w:r>
        <w:rPr>
          <w:rFonts w:hint="eastAsia" w:ascii="宋体" w:hAnsi="宋体" w:cs="宋体"/>
          <w:sz w:val="24"/>
          <w:szCs w:val="24"/>
          <w:highlight w:val="none"/>
        </w:rPr>
        <w:t>响应文件递交截止期</w:t>
      </w:r>
    </w:p>
    <w:p>
      <w:pPr>
        <w:spacing w:line="360" w:lineRule="auto"/>
        <w:ind w:left="900" w:hanging="900"/>
        <w:rPr>
          <w:rFonts w:ascii="宋体" w:cs="宋体"/>
          <w:b/>
          <w:sz w:val="24"/>
          <w:szCs w:val="24"/>
          <w:highlight w:val="none"/>
        </w:rPr>
      </w:pPr>
      <w:r>
        <w:rPr>
          <w:rFonts w:ascii="宋体" w:hAnsi="宋体" w:cs="宋体"/>
          <w:sz w:val="24"/>
          <w:szCs w:val="24"/>
          <w:highlight w:val="none"/>
        </w:rPr>
        <w:t>15.1</w:t>
      </w:r>
      <w:r>
        <w:rPr>
          <w:rFonts w:ascii="宋体" w:hAnsi="宋体" w:cs="宋体"/>
          <w:sz w:val="24"/>
          <w:szCs w:val="24"/>
          <w:highlight w:val="none"/>
        </w:rPr>
        <w:tab/>
      </w:r>
      <w:r>
        <w:rPr>
          <w:rFonts w:hint="eastAsia" w:ascii="宋体" w:hAnsi="宋体" w:cs="宋体"/>
          <w:sz w:val="24"/>
          <w:szCs w:val="24"/>
          <w:highlight w:val="none"/>
        </w:rPr>
        <w:t>采购人收到响应文件的时间不迟于“报价人须知前附表”中规定的响应文件递交截止日期和时间。</w:t>
      </w:r>
    </w:p>
    <w:p>
      <w:pPr>
        <w:spacing w:line="360" w:lineRule="auto"/>
        <w:ind w:left="900" w:hanging="900"/>
        <w:rPr>
          <w:rFonts w:ascii="宋体" w:cs="宋体"/>
          <w:sz w:val="24"/>
          <w:szCs w:val="24"/>
          <w:highlight w:val="none"/>
        </w:rPr>
      </w:pPr>
      <w:r>
        <w:rPr>
          <w:rFonts w:ascii="宋体" w:hAnsi="宋体" w:cs="宋体"/>
          <w:sz w:val="24"/>
          <w:szCs w:val="24"/>
          <w:highlight w:val="none"/>
        </w:rPr>
        <w:t>15.2</w:t>
      </w:r>
      <w:r>
        <w:rPr>
          <w:rFonts w:ascii="宋体" w:hAnsi="宋体" w:cs="宋体"/>
          <w:sz w:val="24"/>
          <w:szCs w:val="24"/>
          <w:highlight w:val="none"/>
        </w:rPr>
        <w:tab/>
      </w:r>
      <w:r>
        <w:rPr>
          <w:rFonts w:hint="eastAsia" w:ascii="宋体" w:hAnsi="宋体" w:cs="宋体"/>
          <w:sz w:val="24"/>
          <w:szCs w:val="24"/>
          <w:highlight w:val="none"/>
        </w:rPr>
        <w:t>采购人可因修改竞争性磋商文件而自行决定酌情延长递交的截止期。在此情况下，采购人和报价人受截止期制约的所有权利和义务均应延长至新的截止期。</w:t>
      </w:r>
    </w:p>
    <w:bookmarkEnd w:id="29"/>
    <w:p>
      <w:pPr>
        <w:pStyle w:val="4"/>
        <w:spacing w:before="0" w:after="0" w:line="360" w:lineRule="auto"/>
        <w:ind w:left="899" w:hanging="899"/>
        <w:rPr>
          <w:rFonts w:ascii="宋体" w:cs="宋体"/>
          <w:sz w:val="24"/>
          <w:szCs w:val="24"/>
          <w:highlight w:val="none"/>
        </w:rPr>
      </w:pPr>
      <w:bookmarkStart w:id="30" w:name="_Toc520356160"/>
      <w:bookmarkStart w:id="31" w:name="_Toc134857288"/>
      <w:bookmarkStart w:id="32" w:name="_Toc163893402"/>
      <w:bookmarkStart w:id="33" w:name="_Toc73427798"/>
      <w:r>
        <w:rPr>
          <w:rFonts w:ascii="宋体" w:hAnsi="宋体" w:cs="宋体"/>
          <w:sz w:val="24"/>
          <w:szCs w:val="24"/>
          <w:highlight w:val="none"/>
        </w:rPr>
        <w:t>16</w:t>
      </w:r>
      <w:r>
        <w:rPr>
          <w:rFonts w:hint="eastAsia" w:ascii="宋体" w:hAnsi="宋体" w:cs="宋体"/>
          <w:sz w:val="24"/>
          <w:szCs w:val="24"/>
          <w:highlight w:val="none"/>
        </w:rPr>
        <w:t>．响应文件的</w:t>
      </w:r>
      <w:bookmarkEnd w:id="30"/>
      <w:bookmarkEnd w:id="31"/>
      <w:bookmarkEnd w:id="32"/>
      <w:r>
        <w:rPr>
          <w:rFonts w:hint="eastAsia" w:ascii="宋体" w:hAnsi="宋体" w:cs="宋体"/>
          <w:sz w:val="24"/>
          <w:szCs w:val="24"/>
          <w:highlight w:val="none"/>
        </w:rPr>
        <w:t>修改与撤回</w:t>
      </w:r>
    </w:p>
    <w:p>
      <w:pPr>
        <w:tabs>
          <w:tab w:val="left" w:pos="900"/>
        </w:tabs>
        <w:spacing w:line="360" w:lineRule="auto"/>
        <w:ind w:left="31680" w:hanging="840" w:hangingChars="350"/>
        <w:rPr>
          <w:rFonts w:ascii="宋体" w:cs="宋体"/>
          <w:sz w:val="24"/>
          <w:szCs w:val="24"/>
          <w:highlight w:val="none"/>
        </w:rPr>
      </w:pPr>
      <w:r>
        <w:rPr>
          <w:rFonts w:ascii="宋体" w:hAnsi="宋体" w:cs="宋体"/>
          <w:sz w:val="24"/>
          <w:szCs w:val="24"/>
          <w:highlight w:val="none"/>
        </w:rPr>
        <w:t xml:space="preserve">16.1   </w:t>
      </w:r>
      <w:r>
        <w:rPr>
          <w:rFonts w:hint="eastAsia" w:ascii="宋体" w:hAnsi="宋体" w:cs="宋体"/>
          <w:sz w:val="24"/>
          <w:szCs w:val="24"/>
          <w:highlight w:val="none"/>
        </w:rPr>
        <w:t>报价人在递交响应文件后，可以修改或撤回其响应，但采购代理机构必须在规定的递交截止期之前，收到修改或撤回的书面通知。</w:t>
      </w:r>
    </w:p>
    <w:p>
      <w:pPr>
        <w:pStyle w:val="16"/>
        <w:ind w:left="4" w:leftChars="2" w:right="31680"/>
        <w:jc w:val="both"/>
        <w:rPr>
          <w:rFonts w:ascii="宋体" w:cs="宋体"/>
          <w:sz w:val="24"/>
          <w:szCs w:val="24"/>
          <w:highlight w:val="none"/>
        </w:rPr>
      </w:pPr>
      <w:r>
        <w:rPr>
          <w:rFonts w:ascii="宋体" w:hAnsi="宋体" w:cs="宋体"/>
          <w:sz w:val="24"/>
          <w:szCs w:val="24"/>
          <w:highlight w:val="none"/>
        </w:rPr>
        <w:t>16.2</w:t>
      </w:r>
      <w:r>
        <w:rPr>
          <w:rFonts w:ascii="宋体" w:hAnsi="宋体" w:cs="宋体"/>
          <w:sz w:val="24"/>
          <w:szCs w:val="24"/>
          <w:highlight w:val="none"/>
        </w:rPr>
        <w:tab/>
      </w:r>
      <w:r>
        <w:rPr>
          <w:rFonts w:hint="eastAsia" w:ascii="宋体" w:hAnsi="宋体" w:cs="宋体"/>
          <w:sz w:val="24"/>
          <w:szCs w:val="24"/>
          <w:highlight w:val="none"/>
        </w:rPr>
        <w:t>报价人的修改或撤回通知应按本须知规定编制、密封、标记和发送。</w:t>
      </w:r>
    </w:p>
    <w:p>
      <w:pPr>
        <w:spacing w:line="360" w:lineRule="auto"/>
        <w:ind w:left="900" w:hanging="900"/>
        <w:rPr>
          <w:rFonts w:ascii="宋体" w:cs="宋体"/>
          <w:sz w:val="24"/>
          <w:szCs w:val="24"/>
          <w:highlight w:val="none"/>
        </w:rPr>
      </w:pPr>
      <w:r>
        <w:rPr>
          <w:rFonts w:ascii="宋体" w:hAnsi="宋体" w:cs="宋体"/>
          <w:sz w:val="24"/>
          <w:szCs w:val="24"/>
          <w:highlight w:val="none"/>
        </w:rPr>
        <w:t xml:space="preserve">16.3   </w:t>
      </w:r>
      <w:r>
        <w:rPr>
          <w:rFonts w:hint="eastAsia" w:ascii="宋体" w:hAnsi="宋体" w:cs="宋体"/>
          <w:sz w:val="24"/>
          <w:szCs w:val="24"/>
          <w:highlight w:val="none"/>
        </w:rPr>
        <w:t>在递交截止期之后，报价人不得对其响应文件做任何修改。</w:t>
      </w:r>
    </w:p>
    <w:p>
      <w:pPr>
        <w:spacing w:line="360" w:lineRule="auto"/>
        <w:jc w:val="center"/>
        <w:rPr>
          <w:rFonts w:ascii="宋体" w:cs="宋体"/>
          <w:b/>
          <w:sz w:val="28"/>
          <w:szCs w:val="28"/>
          <w:highlight w:val="none"/>
        </w:rPr>
      </w:pPr>
      <w:r>
        <w:rPr>
          <w:rFonts w:hint="eastAsia" w:ascii="宋体" w:hAnsi="宋体" w:cs="宋体"/>
          <w:b/>
          <w:sz w:val="28"/>
          <w:szCs w:val="28"/>
          <w:highlight w:val="none"/>
        </w:rPr>
        <w:t>五</w:t>
      </w:r>
      <w:r>
        <w:rPr>
          <w:rFonts w:ascii="宋体" w:hAnsi="宋体" w:cs="宋体"/>
          <w:b/>
          <w:sz w:val="28"/>
          <w:szCs w:val="28"/>
          <w:highlight w:val="none"/>
        </w:rPr>
        <w:t xml:space="preserve">   </w:t>
      </w:r>
      <w:r>
        <w:rPr>
          <w:rFonts w:hint="eastAsia" w:ascii="宋体" w:hAnsi="宋体" w:cs="宋体"/>
          <w:b/>
          <w:sz w:val="28"/>
          <w:szCs w:val="28"/>
          <w:highlight w:val="none"/>
        </w:rPr>
        <w:t>磋</w:t>
      </w:r>
      <w:r>
        <w:rPr>
          <w:rFonts w:ascii="宋体" w:hAnsi="宋体" w:cs="宋体"/>
          <w:b/>
          <w:sz w:val="28"/>
          <w:szCs w:val="28"/>
          <w:highlight w:val="none"/>
        </w:rPr>
        <w:t xml:space="preserve">  </w:t>
      </w:r>
      <w:r>
        <w:rPr>
          <w:rFonts w:hint="eastAsia" w:ascii="宋体" w:hAnsi="宋体" w:cs="宋体"/>
          <w:b/>
          <w:sz w:val="28"/>
          <w:szCs w:val="28"/>
          <w:highlight w:val="none"/>
        </w:rPr>
        <w:t>商</w:t>
      </w:r>
      <w:r>
        <w:rPr>
          <w:rFonts w:ascii="宋体" w:hAnsi="宋体" w:cs="宋体"/>
          <w:b/>
          <w:sz w:val="28"/>
          <w:szCs w:val="28"/>
          <w:highlight w:val="none"/>
        </w:rPr>
        <w:t xml:space="preserve">         </w:t>
      </w:r>
    </w:p>
    <w:bookmarkEnd w:id="33"/>
    <w:p>
      <w:pPr>
        <w:pStyle w:val="4"/>
        <w:spacing w:before="0" w:after="0" w:line="360" w:lineRule="auto"/>
        <w:rPr>
          <w:rFonts w:ascii="宋体" w:cs="宋体"/>
          <w:sz w:val="24"/>
          <w:szCs w:val="24"/>
          <w:highlight w:val="none"/>
        </w:rPr>
      </w:pPr>
      <w:bookmarkStart w:id="34" w:name="_Toc163893403"/>
      <w:bookmarkStart w:id="35" w:name="_Toc520356161"/>
      <w:bookmarkStart w:id="36" w:name="_Toc134857289"/>
      <w:bookmarkStart w:id="37" w:name="_Toc73427799"/>
      <w:r>
        <w:rPr>
          <w:rFonts w:ascii="宋体" w:hAnsi="宋体" w:cs="宋体"/>
          <w:sz w:val="24"/>
          <w:szCs w:val="24"/>
          <w:highlight w:val="none"/>
        </w:rPr>
        <w:t>17</w:t>
      </w:r>
      <w:r>
        <w:rPr>
          <w:rFonts w:hint="eastAsia" w:ascii="宋体" w:hAnsi="宋体" w:cs="宋体"/>
          <w:sz w:val="24"/>
          <w:szCs w:val="24"/>
          <w:highlight w:val="none"/>
        </w:rPr>
        <w:t>．</w:t>
      </w:r>
      <w:bookmarkEnd w:id="34"/>
      <w:bookmarkEnd w:id="35"/>
      <w:bookmarkEnd w:id="36"/>
      <w:r>
        <w:rPr>
          <w:rFonts w:hint="eastAsia" w:ascii="宋体" w:hAnsi="宋体" w:cs="宋体"/>
          <w:sz w:val="24"/>
          <w:szCs w:val="24"/>
          <w:highlight w:val="none"/>
        </w:rPr>
        <w:t>响应文件的澄清</w:t>
      </w:r>
    </w:p>
    <w:p>
      <w:pPr>
        <w:spacing w:line="360" w:lineRule="auto"/>
        <w:ind w:left="900" w:hanging="900"/>
        <w:rPr>
          <w:rFonts w:ascii="宋体" w:cs="宋体"/>
          <w:sz w:val="24"/>
          <w:szCs w:val="24"/>
          <w:highlight w:val="none"/>
        </w:rPr>
      </w:pPr>
      <w:r>
        <w:rPr>
          <w:rFonts w:ascii="宋体" w:hAnsi="宋体" w:cs="宋体"/>
          <w:sz w:val="24"/>
          <w:szCs w:val="24"/>
          <w:highlight w:val="none"/>
        </w:rPr>
        <w:t>17.1</w:t>
      </w:r>
      <w:r>
        <w:rPr>
          <w:rFonts w:ascii="宋体" w:hAnsi="宋体" w:cs="宋体"/>
          <w:sz w:val="24"/>
          <w:szCs w:val="24"/>
          <w:highlight w:val="none"/>
        </w:rPr>
        <w:tab/>
      </w:r>
      <w:r>
        <w:rPr>
          <w:rFonts w:hint="eastAsia" w:ascii="宋体" w:hAnsi="宋体" w:cs="宋体"/>
          <w:sz w:val="24"/>
          <w:szCs w:val="24"/>
          <w:highlight w:val="none"/>
        </w:rPr>
        <w:t>采购代理机构在“报价人须知前附表”中规定的日期、时间和地点接受响应文件，报价人代表应签名报到以证明其递交了响应文件。</w:t>
      </w:r>
    </w:p>
    <w:p>
      <w:pPr>
        <w:spacing w:line="360" w:lineRule="auto"/>
        <w:ind w:left="900" w:hanging="900"/>
        <w:rPr>
          <w:rFonts w:ascii="宋体" w:cs="宋体"/>
          <w:sz w:val="24"/>
          <w:szCs w:val="24"/>
          <w:highlight w:val="none"/>
        </w:rPr>
      </w:pPr>
      <w:r>
        <w:rPr>
          <w:rFonts w:ascii="宋体" w:hAnsi="宋体" w:cs="宋体"/>
          <w:sz w:val="24"/>
          <w:szCs w:val="24"/>
          <w:highlight w:val="none"/>
        </w:rPr>
        <w:t>17.2</w:t>
      </w:r>
      <w:r>
        <w:rPr>
          <w:rFonts w:ascii="宋体" w:hAnsi="宋体" w:cs="宋体"/>
          <w:sz w:val="24"/>
          <w:szCs w:val="24"/>
          <w:highlight w:val="none"/>
        </w:rPr>
        <w:tab/>
      </w:r>
      <w:r>
        <w:rPr>
          <w:rFonts w:hint="eastAsia" w:ascii="宋体" w:hAnsi="宋体" w:cs="宋体"/>
          <w:sz w:val="24"/>
          <w:szCs w:val="24"/>
          <w:highlight w:val="none"/>
        </w:rPr>
        <w:t>在磋商期内，磋商小组可要求报价人对其响应文件进行澄清，但不得寻求、提供或允许资质等实质性内容做任何更改。有关澄清的要求和答复均应以书面形式提交。</w:t>
      </w:r>
    </w:p>
    <w:p>
      <w:pPr>
        <w:pStyle w:val="4"/>
        <w:spacing w:before="0" w:after="0" w:line="360" w:lineRule="auto"/>
        <w:ind w:left="899" w:hanging="899"/>
        <w:rPr>
          <w:rFonts w:ascii="宋体" w:cs="宋体"/>
          <w:sz w:val="24"/>
          <w:szCs w:val="24"/>
          <w:highlight w:val="none"/>
        </w:rPr>
      </w:pPr>
      <w:bookmarkStart w:id="38" w:name="_Toc163893404"/>
      <w:bookmarkStart w:id="39" w:name="_Toc134857290"/>
      <w:bookmarkStart w:id="40" w:name="_Toc520356162"/>
      <w:r>
        <w:rPr>
          <w:rFonts w:ascii="宋体" w:hAnsi="宋体" w:cs="宋体"/>
          <w:sz w:val="24"/>
          <w:szCs w:val="24"/>
          <w:highlight w:val="none"/>
        </w:rPr>
        <w:t>18</w:t>
      </w:r>
      <w:r>
        <w:rPr>
          <w:rFonts w:hint="eastAsia" w:ascii="宋体" w:hAnsi="宋体" w:cs="宋体"/>
          <w:sz w:val="24"/>
          <w:szCs w:val="24"/>
          <w:highlight w:val="none"/>
        </w:rPr>
        <w:t>．</w:t>
      </w:r>
      <w:bookmarkEnd w:id="38"/>
      <w:bookmarkEnd w:id="39"/>
      <w:bookmarkEnd w:id="40"/>
      <w:r>
        <w:rPr>
          <w:rFonts w:hint="eastAsia" w:ascii="宋体" w:hAnsi="宋体" w:cs="宋体"/>
          <w:sz w:val="24"/>
          <w:szCs w:val="24"/>
          <w:highlight w:val="none"/>
        </w:rPr>
        <w:t>竞争性磋商小组</w:t>
      </w:r>
    </w:p>
    <w:p>
      <w:pPr>
        <w:spacing w:line="360" w:lineRule="auto"/>
        <w:ind w:left="900" w:hanging="900"/>
        <w:rPr>
          <w:rFonts w:ascii="宋体" w:cs="宋体"/>
          <w:sz w:val="24"/>
          <w:szCs w:val="24"/>
          <w:highlight w:val="none"/>
        </w:rPr>
      </w:pPr>
      <w:r>
        <w:rPr>
          <w:rFonts w:ascii="宋体" w:hAnsi="宋体" w:cs="宋体"/>
          <w:sz w:val="24"/>
          <w:szCs w:val="24"/>
          <w:highlight w:val="none"/>
        </w:rPr>
        <w:t>18.1</w:t>
      </w:r>
      <w:r>
        <w:rPr>
          <w:rFonts w:ascii="宋体" w:hAnsi="宋体" w:cs="宋体"/>
          <w:sz w:val="24"/>
          <w:szCs w:val="24"/>
          <w:highlight w:val="none"/>
        </w:rPr>
        <w:tab/>
      </w:r>
      <w:r>
        <w:rPr>
          <w:rFonts w:hint="eastAsia" w:ascii="宋体" w:hAnsi="宋体" w:cs="宋体"/>
          <w:sz w:val="24"/>
          <w:szCs w:val="24"/>
          <w:highlight w:val="none"/>
        </w:rPr>
        <w:t>磋商小组由采购人代表和评审专家共</w:t>
      </w:r>
      <w:r>
        <w:rPr>
          <w:rFonts w:ascii="宋体" w:hAnsi="宋体" w:cs="宋体"/>
          <w:sz w:val="24"/>
          <w:szCs w:val="24"/>
          <w:highlight w:val="none"/>
        </w:rPr>
        <w:t>3</w:t>
      </w:r>
      <w:r>
        <w:rPr>
          <w:rFonts w:hint="eastAsia" w:ascii="宋体" w:hAnsi="宋体" w:cs="宋体"/>
          <w:sz w:val="24"/>
          <w:szCs w:val="24"/>
          <w:highlight w:val="none"/>
        </w:rPr>
        <w:t>人（含）以上单数组成，其中评审专家人数不得少于磋商小组成员总数的</w:t>
      </w:r>
      <w:r>
        <w:rPr>
          <w:rFonts w:ascii="宋体" w:hAnsi="宋体" w:cs="宋体"/>
          <w:sz w:val="24"/>
          <w:szCs w:val="24"/>
          <w:highlight w:val="none"/>
        </w:rPr>
        <w:t>2/3</w:t>
      </w:r>
      <w:r>
        <w:rPr>
          <w:rFonts w:hint="eastAsia" w:ascii="宋体" w:hAnsi="宋体" w:cs="宋体"/>
          <w:sz w:val="24"/>
          <w:szCs w:val="24"/>
          <w:highlight w:val="none"/>
        </w:rPr>
        <w:t>。采购代理机构人员不得参加本机构代理的采购项目的评审。采用竞争性磋商方式的政府采购项目，磋商小组应当从政府采购评审专家库内相关专业的专家名单中随机抽取。</w:t>
      </w:r>
    </w:p>
    <w:bookmarkEnd w:id="37"/>
    <w:p>
      <w:pPr>
        <w:pStyle w:val="4"/>
        <w:spacing w:before="0" w:after="0" w:line="360" w:lineRule="auto"/>
        <w:ind w:left="899" w:hanging="899"/>
        <w:rPr>
          <w:rFonts w:ascii="宋体" w:cs="宋体"/>
          <w:sz w:val="24"/>
          <w:szCs w:val="24"/>
          <w:highlight w:val="none"/>
        </w:rPr>
      </w:pPr>
      <w:bookmarkStart w:id="41" w:name="_Toc163893406"/>
      <w:bookmarkStart w:id="42" w:name="_Toc520356164"/>
      <w:bookmarkStart w:id="43" w:name="_Toc134857292"/>
      <w:bookmarkStart w:id="44" w:name="_Toc73427803"/>
      <w:r>
        <w:rPr>
          <w:rFonts w:ascii="宋体" w:hAnsi="宋体" w:cs="宋体"/>
          <w:sz w:val="24"/>
          <w:szCs w:val="24"/>
          <w:highlight w:val="none"/>
        </w:rPr>
        <w:t>19</w:t>
      </w:r>
      <w:r>
        <w:rPr>
          <w:rFonts w:hint="eastAsia" w:ascii="宋体" w:hAnsi="宋体" w:cs="宋体"/>
          <w:sz w:val="24"/>
          <w:szCs w:val="24"/>
          <w:highlight w:val="none"/>
        </w:rPr>
        <w:t>．</w:t>
      </w:r>
      <w:bookmarkEnd w:id="41"/>
      <w:bookmarkEnd w:id="42"/>
      <w:bookmarkEnd w:id="43"/>
      <w:r>
        <w:rPr>
          <w:rFonts w:hint="eastAsia" w:ascii="宋体" w:hAnsi="宋体" w:cs="宋体"/>
          <w:sz w:val="24"/>
          <w:szCs w:val="24"/>
          <w:highlight w:val="none"/>
        </w:rPr>
        <w:t>响应文件的初审</w:t>
      </w:r>
    </w:p>
    <w:p>
      <w:pPr>
        <w:spacing w:line="360" w:lineRule="auto"/>
        <w:ind w:left="898" w:hanging="898"/>
        <w:rPr>
          <w:rFonts w:ascii="宋体" w:cs="宋体"/>
          <w:sz w:val="24"/>
          <w:szCs w:val="24"/>
          <w:highlight w:val="none"/>
        </w:rPr>
      </w:pPr>
      <w:r>
        <w:rPr>
          <w:rFonts w:ascii="宋体" w:hAnsi="宋体" w:cs="宋体"/>
          <w:sz w:val="24"/>
          <w:szCs w:val="24"/>
          <w:highlight w:val="none"/>
        </w:rPr>
        <w:t>19.1</w:t>
      </w:r>
      <w:r>
        <w:rPr>
          <w:rFonts w:ascii="宋体" w:hAnsi="宋体" w:cs="宋体"/>
          <w:sz w:val="24"/>
          <w:szCs w:val="24"/>
          <w:highlight w:val="none"/>
        </w:rPr>
        <w:tab/>
      </w:r>
      <w:r>
        <w:rPr>
          <w:rFonts w:hint="eastAsia" w:ascii="宋体" w:hAnsi="宋体" w:cs="宋体"/>
          <w:sz w:val="24"/>
          <w:szCs w:val="24"/>
          <w:highlight w:val="none"/>
        </w:rPr>
        <w:t>响应文件的初审分为符合性检查和资格性检查。符合性检查指依据竞争性磋商文件的规定，从响应文件的有效性、完整性和对竞争性磋商文件的响应程度进行审查，以确定是否对竞争性磋商文件的实质性要求做出响应。资格性检查指依据法律、法规和竞争性磋商文件的规定，对响应文件中的资格证明文件等进行审查，以确定报价人是否具备响应资格。</w:t>
      </w:r>
    </w:p>
    <w:p>
      <w:pPr>
        <w:tabs>
          <w:tab w:val="left" w:pos="900"/>
        </w:tabs>
        <w:spacing w:line="360" w:lineRule="auto"/>
        <w:ind w:left="31680" w:hanging="840" w:hangingChars="350"/>
        <w:rPr>
          <w:rFonts w:ascii="宋体" w:cs="宋体"/>
          <w:sz w:val="24"/>
          <w:szCs w:val="24"/>
          <w:highlight w:val="none"/>
        </w:rPr>
      </w:pPr>
      <w:r>
        <w:rPr>
          <w:rFonts w:ascii="宋体" w:hAnsi="宋体" w:cs="宋体"/>
          <w:sz w:val="24"/>
          <w:szCs w:val="24"/>
          <w:highlight w:val="none"/>
        </w:rPr>
        <w:t xml:space="preserve">19.2   </w:t>
      </w:r>
      <w:r>
        <w:rPr>
          <w:rFonts w:hint="eastAsia" w:ascii="宋体" w:hAnsi="宋体" w:cs="宋体"/>
          <w:sz w:val="24"/>
          <w:szCs w:val="24"/>
          <w:highlight w:val="none"/>
        </w:rPr>
        <w:t>对于响应文件中不构成实质性偏差的不正规、不一致或不规则，磋商小组可以接受，但这种接受不能损害或影响任何人的相对排序。</w:t>
      </w:r>
    </w:p>
    <w:p>
      <w:pPr>
        <w:tabs>
          <w:tab w:val="left" w:pos="900"/>
        </w:tabs>
        <w:spacing w:line="360" w:lineRule="auto"/>
        <w:ind w:left="31680" w:hanging="840" w:hangingChars="350"/>
        <w:rPr>
          <w:rFonts w:ascii="宋体" w:cs="宋体"/>
          <w:sz w:val="24"/>
          <w:szCs w:val="24"/>
          <w:highlight w:val="none"/>
        </w:rPr>
      </w:pPr>
      <w:r>
        <w:rPr>
          <w:rFonts w:ascii="宋体" w:hAnsi="宋体" w:cs="宋体"/>
          <w:sz w:val="24"/>
          <w:szCs w:val="24"/>
          <w:highlight w:val="none"/>
        </w:rPr>
        <w:t xml:space="preserve">19.3   </w:t>
      </w:r>
      <w:r>
        <w:rPr>
          <w:rFonts w:hint="eastAsia" w:ascii="宋体" w:hAnsi="宋体" w:cs="宋体"/>
          <w:sz w:val="24"/>
          <w:szCs w:val="24"/>
          <w:highlight w:val="none"/>
        </w:rPr>
        <w:t>在详细评审之前，根据本须知第</w:t>
      </w:r>
      <w:r>
        <w:rPr>
          <w:rFonts w:ascii="宋体" w:hAnsi="宋体" w:cs="宋体"/>
          <w:sz w:val="24"/>
          <w:szCs w:val="24"/>
          <w:highlight w:val="none"/>
        </w:rPr>
        <w:t>19</w:t>
      </w:r>
      <w:r>
        <w:rPr>
          <w:rFonts w:hint="eastAsia" w:ascii="宋体" w:hAnsi="宋体" w:cs="宋体"/>
          <w:sz w:val="24"/>
          <w:szCs w:val="24"/>
          <w:highlight w:val="none"/>
        </w:rPr>
        <w:t>条的规定，磋商小组要审查每份响应文件是否实质上响应了竞争性磋商文件的要求。实质上响应的应该是与竞争性磋商文件要求的全部条款、条件和规格相符，没有重大偏离的响应。对关键条文的偏离、保留或反对，将被认为是实质上的偏离。磋商小组决定响应文件的响应性只根据响应文件本身的内容，而不寻求外部的证据。</w:t>
      </w:r>
    </w:p>
    <w:p>
      <w:pPr>
        <w:tabs>
          <w:tab w:val="left" w:pos="900"/>
        </w:tabs>
        <w:spacing w:line="360" w:lineRule="auto"/>
        <w:ind w:left="31680" w:hanging="840" w:hangingChars="350"/>
        <w:rPr>
          <w:rFonts w:ascii="宋体" w:cs="宋体"/>
          <w:sz w:val="24"/>
          <w:szCs w:val="24"/>
          <w:highlight w:val="none"/>
        </w:rPr>
      </w:pPr>
      <w:r>
        <w:rPr>
          <w:rFonts w:ascii="宋体" w:hAnsi="宋体" w:cs="宋体"/>
          <w:sz w:val="24"/>
          <w:szCs w:val="24"/>
          <w:highlight w:val="none"/>
        </w:rPr>
        <w:t xml:space="preserve">19.4   </w:t>
      </w:r>
      <w:r>
        <w:rPr>
          <w:rFonts w:hint="eastAsia" w:ascii="宋体" w:hAnsi="宋体" w:cs="宋体"/>
          <w:b/>
          <w:bCs/>
          <w:sz w:val="24"/>
          <w:szCs w:val="24"/>
          <w:highlight w:val="none"/>
          <w:u w:val="single"/>
        </w:rPr>
        <w:t>报价人自主报价，在磋商评审期间可进行二次报价：第一次报价必须按照磋商文件的报价格式（报价格式见附表）填报，第二次报价在磋商后填报，第二次报价将作为最终报价。</w:t>
      </w:r>
    </w:p>
    <w:bookmarkEnd w:id="44"/>
    <w:p>
      <w:pPr>
        <w:spacing w:line="360" w:lineRule="auto"/>
        <w:rPr>
          <w:rFonts w:ascii="宋体" w:cs="宋体"/>
          <w:b/>
          <w:sz w:val="24"/>
          <w:szCs w:val="24"/>
          <w:highlight w:val="none"/>
        </w:rPr>
      </w:pPr>
      <w:bookmarkStart w:id="45" w:name="_Toc73427805"/>
      <w:r>
        <w:rPr>
          <w:rFonts w:ascii="宋体" w:hAnsi="宋体" w:cs="宋体"/>
          <w:b/>
          <w:sz w:val="24"/>
          <w:szCs w:val="24"/>
          <w:highlight w:val="none"/>
        </w:rPr>
        <w:t>20.</w:t>
      </w:r>
      <w:r>
        <w:rPr>
          <w:rFonts w:hint="eastAsia" w:ascii="宋体" w:hAnsi="宋体" w:cs="宋体"/>
          <w:b/>
          <w:sz w:val="24"/>
          <w:szCs w:val="24"/>
          <w:highlight w:val="none"/>
        </w:rPr>
        <w:t>　</w:t>
      </w:r>
      <w:bookmarkEnd w:id="45"/>
      <w:r>
        <w:rPr>
          <w:rFonts w:hint="eastAsia" w:ascii="宋体" w:hAnsi="宋体" w:cs="宋体"/>
          <w:b/>
          <w:sz w:val="24"/>
          <w:szCs w:val="24"/>
          <w:highlight w:val="none"/>
        </w:rPr>
        <w:t>响应文件的评价</w:t>
      </w:r>
    </w:p>
    <w:p>
      <w:pPr>
        <w:spacing w:line="360" w:lineRule="auto"/>
        <w:ind w:left="31680" w:hanging="900" w:hangingChars="375"/>
        <w:rPr>
          <w:rFonts w:ascii="宋体" w:cs="宋体"/>
          <w:sz w:val="24"/>
          <w:szCs w:val="24"/>
          <w:highlight w:val="none"/>
        </w:rPr>
      </w:pPr>
      <w:bookmarkStart w:id="46" w:name="_Toc73427806"/>
      <w:r>
        <w:rPr>
          <w:rFonts w:ascii="宋体" w:hAnsi="宋体" w:cs="宋体"/>
          <w:sz w:val="24"/>
          <w:szCs w:val="24"/>
          <w:highlight w:val="none"/>
        </w:rPr>
        <w:t xml:space="preserve">20.1  </w:t>
      </w:r>
      <w:r>
        <w:rPr>
          <w:rFonts w:hint="eastAsia" w:ascii="宋体" w:hAnsi="宋体" w:cs="宋体"/>
          <w:sz w:val="24"/>
          <w:szCs w:val="24"/>
          <w:highlight w:val="none"/>
        </w:rPr>
        <w:t>磋商小组将按照本须知规定，只对确定为实质上响应竞争性磋商文件要求的响应进行评价和比较。对响应文件的评价采用综合评分法。</w:t>
      </w:r>
    </w:p>
    <w:p>
      <w:pPr>
        <w:spacing w:line="360" w:lineRule="auto"/>
        <w:rPr>
          <w:rFonts w:ascii="宋体" w:cs="宋体"/>
          <w:b/>
          <w:sz w:val="24"/>
          <w:szCs w:val="24"/>
          <w:highlight w:val="none"/>
        </w:rPr>
      </w:pPr>
      <w:r>
        <w:rPr>
          <w:rFonts w:ascii="宋体" w:hAnsi="宋体" w:cs="宋体"/>
          <w:b/>
          <w:sz w:val="24"/>
          <w:szCs w:val="24"/>
          <w:highlight w:val="none"/>
        </w:rPr>
        <w:t>21.</w:t>
      </w:r>
      <w:bookmarkEnd w:id="46"/>
      <w:r>
        <w:rPr>
          <w:rFonts w:hint="eastAsia" w:ascii="宋体" w:hAnsi="宋体" w:cs="宋体"/>
          <w:b/>
          <w:sz w:val="24"/>
          <w:szCs w:val="24"/>
          <w:highlight w:val="none"/>
        </w:rPr>
        <w:t>与采购人的接触</w:t>
      </w:r>
    </w:p>
    <w:p>
      <w:pPr>
        <w:pStyle w:val="17"/>
        <w:spacing w:line="360" w:lineRule="auto"/>
        <w:ind w:left="31680" w:hanging="960" w:hangingChars="400"/>
        <w:rPr>
          <w:rFonts w:ascii="宋体" w:cs="宋体"/>
          <w:szCs w:val="24"/>
          <w:highlight w:val="none"/>
        </w:rPr>
      </w:pPr>
      <w:r>
        <w:rPr>
          <w:rFonts w:ascii="宋体" w:hAnsi="宋体" w:cs="宋体"/>
          <w:szCs w:val="24"/>
          <w:highlight w:val="none"/>
        </w:rPr>
        <w:t xml:space="preserve">21.1  </w:t>
      </w:r>
      <w:r>
        <w:rPr>
          <w:rFonts w:hint="eastAsia" w:ascii="宋体" w:hAnsi="宋体" w:cs="宋体"/>
          <w:szCs w:val="24"/>
          <w:highlight w:val="none"/>
        </w:rPr>
        <w:t>除本须知的规定外，从递交响应文件之日起至确定成交结果期间，报价人不得就</w:t>
      </w:r>
    </w:p>
    <w:p>
      <w:pPr>
        <w:pStyle w:val="17"/>
        <w:spacing w:line="360" w:lineRule="auto"/>
        <w:ind w:firstLine="720" w:firstLineChars="300"/>
        <w:rPr>
          <w:rFonts w:ascii="宋体" w:cs="宋体"/>
          <w:szCs w:val="24"/>
          <w:highlight w:val="none"/>
        </w:rPr>
      </w:pPr>
      <w:r>
        <w:rPr>
          <w:rFonts w:hint="eastAsia" w:ascii="宋体" w:hAnsi="宋体" w:cs="宋体"/>
          <w:szCs w:val="24"/>
          <w:highlight w:val="none"/>
        </w:rPr>
        <w:t>与其响应有关的事项与采购人接触。</w:t>
      </w:r>
    </w:p>
    <w:p>
      <w:pPr>
        <w:pStyle w:val="17"/>
        <w:spacing w:line="360" w:lineRule="auto"/>
        <w:ind w:left="31680" w:hanging="960" w:hangingChars="400"/>
        <w:rPr>
          <w:rFonts w:ascii="宋体" w:cs="宋体"/>
          <w:szCs w:val="24"/>
          <w:highlight w:val="none"/>
        </w:rPr>
      </w:pPr>
      <w:r>
        <w:rPr>
          <w:rFonts w:ascii="宋体" w:hAnsi="宋体" w:cs="宋体"/>
          <w:szCs w:val="24"/>
          <w:highlight w:val="none"/>
        </w:rPr>
        <w:t xml:space="preserve">21.2  </w:t>
      </w:r>
      <w:r>
        <w:rPr>
          <w:rFonts w:hint="eastAsia" w:ascii="宋体" w:hAnsi="宋体" w:cs="宋体"/>
          <w:szCs w:val="24"/>
          <w:highlight w:val="none"/>
        </w:rPr>
        <w:t>报价人试图对磋商小组的评审、比较或确定成交结果的决定进行影响，都可能</w:t>
      </w:r>
    </w:p>
    <w:p>
      <w:pPr>
        <w:pStyle w:val="17"/>
        <w:spacing w:line="360" w:lineRule="auto"/>
        <w:ind w:left="958" w:leftChars="342" w:hanging="240" w:hangingChars="100"/>
        <w:rPr>
          <w:rFonts w:ascii="宋体" w:cs="宋体"/>
          <w:szCs w:val="24"/>
          <w:highlight w:val="none"/>
        </w:rPr>
      </w:pPr>
      <w:r>
        <w:rPr>
          <w:rFonts w:hint="eastAsia" w:ascii="宋体" w:hAnsi="宋体" w:cs="宋体"/>
          <w:szCs w:val="24"/>
          <w:highlight w:val="none"/>
        </w:rPr>
        <w:t>导致其响应被拒绝。</w:t>
      </w:r>
    </w:p>
    <w:p>
      <w:pPr>
        <w:spacing w:line="360" w:lineRule="auto"/>
        <w:jc w:val="center"/>
        <w:rPr>
          <w:rFonts w:ascii="宋体" w:cs="宋体"/>
          <w:b/>
          <w:sz w:val="24"/>
          <w:szCs w:val="24"/>
          <w:highlight w:val="none"/>
        </w:rPr>
      </w:pPr>
    </w:p>
    <w:p>
      <w:pPr>
        <w:spacing w:line="360" w:lineRule="auto"/>
        <w:jc w:val="center"/>
        <w:rPr>
          <w:rFonts w:ascii="宋体" w:cs="宋体"/>
          <w:b/>
          <w:sz w:val="28"/>
          <w:szCs w:val="28"/>
          <w:highlight w:val="none"/>
        </w:rPr>
      </w:pPr>
      <w:r>
        <w:rPr>
          <w:rFonts w:hint="eastAsia" w:ascii="宋体" w:hAnsi="宋体" w:cs="宋体"/>
          <w:b/>
          <w:sz w:val="28"/>
          <w:szCs w:val="28"/>
          <w:highlight w:val="none"/>
        </w:rPr>
        <w:t>六</w:t>
      </w:r>
      <w:r>
        <w:rPr>
          <w:rFonts w:ascii="宋体" w:hAnsi="宋体" w:cs="宋体"/>
          <w:b/>
          <w:sz w:val="28"/>
          <w:szCs w:val="28"/>
          <w:highlight w:val="none"/>
        </w:rPr>
        <w:t xml:space="preserve">   </w:t>
      </w:r>
      <w:r>
        <w:rPr>
          <w:rFonts w:hint="eastAsia" w:ascii="宋体" w:hAnsi="宋体" w:cs="宋体"/>
          <w:b/>
          <w:sz w:val="28"/>
          <w:szCs w:val="28"/>
          <w:highlight w:val="none"/>
        </w:rPr>
        <w:t>确</w:t>
      </w:r>
      <w:r>
        <w:rPr>
          <w:rFonts w:ascii="宋体" w:hAnsi="宋体" w:cs="宋体"/>
          <w:b/>
          <w:sz w:val="28"/>
          <w:szCs w:val="28"/>
          <w:highlight w:val="none"/>
        </w:rPr>
        <w:t xml:space="preserve"> </w:t>
      </w:r>
      <w:r>
        <w:rPr>
          <w:rFonts w:hint="eastAsia" w:ascii="宋体" w:hAnsi="宋体" w:cs="宋体"/>
          <w:b/>
          <w:sz w:val="28"/>
          <w:szCs w:val="28"/>
          <w:highlight w:val="none"/>
        </w:rPr>
        <w:t>定</w:t>
      </w:r>
      <w:r>
        <w:rPr>
          <w:rFonts w:ascii="宋体" w:hAnsi="宋体" w:cs="宋体"/>
          <w:b/>
          <w:sz w:val="28"/>
          <w:szCs w:val="28"/>
          <w:highlight w:val="none"/>
        </w:rPr>
        <w:t xml:space="preserve"> </w:t>
      </w:r>
      <w:r>
        <w:rPr>
          <w:rFonts w:hint="eastAsia" w:ascii="宋体" w:hAnsi="宋体" w:cs="宋体"/>
          <w:b/>
          <w:sz w:val="28"/>
          <w:szCs w:val="28"/>
          <w:highlight w:val="none"/>
        </w:rPr>
        <w:t>成</w:t>
      </w:r>
      <w:r>
        <w:rPr>
          <w:rFonts w:ascii="宋体" w:hAnsi="宋体" w:cs="宋体"/>
          <w:b/>
          <w:sz w:val="28"/>
          <w:szCs w:val="28"/>
          <w:highlight w:val="none"/>
        </w:rPr>
        <w:t xml:space="preserve"> </w:t>
      </w:r>
      <w:r>
        <w:rPr>
          <w:rFonts w:hint="eastAsia" w:ascii="宋体" w:hAnsi="宋体" w:cs="宋体"/>
          <w:b/>
          <w:sz w:val="28"/>
          <w:szCs w:val="28"/>
          <w:highlight w:val="none"/>
        </w:rPr>
        <w:t>交</w:t>
      </w:r>
      <w:r>
        <w:rPr>
          <w:rFonts w:ascii="宋体" w:hAnsi="宋体" w:cs="宋体"/>
          <w:b/>
          <w:sz w:val="28"/>
          <w:szCs w:val="28"/>
          <w:highlight w:val="none"/>
        </w:rPr>
        <w:t xml:space="preserve"> </w:t>
      </w:r>
      <w:r>
        <w:rPr>
          <w:rFonts w:hint="eastAsia" w:ascii="宋体" w:hAnsi="宋体" w:cs="宋体"/>
          <w:b/>
          <w:sz w:val="28"/>
          <w:szCs w:val="28"/>
          <w:highlight w:val="none"/>
        </w:rPr>
        <w:t>人</w:t>
      </w:r>
    </w:p>
    <w:p>
      <w:pPr>
        <w:spacing w:line="360" w:lineRule="auto"/>
        <w:rPr>
          <w:rFonts w:ascii="宋体" w:cs="宋体"/>
          <w:b/>
          <w:sz w:val="24"/>
          <w:szCs w:val="24"/>
          <w:highlight w:val="none"/>
        </w:rPr>
      </w:pPr>
      <w:r>
        <w:rPr>
          <w:rFonts w:ascii="宋体" w:hAnsi="宋体" w:cs="宋体"/>
          <w:b/>
          <w:sz w:val="24"/>
          <w:szCs w:val="24"/>
          <w:highlight w:val="none"/>
        </w:rPr>
        <w:t>22.</w:t>
      </w:r>
      <w:r>
        <w:rPr>
          <w:rFonts w:hint="eastAsia" w:ascii="宋体" w:hAnsi="宋体" w:cs="宋体"/>
          <w:b/>
          <w:sz w:val="24"/>
          <w:szCs w:val="24"/>
          <w:highlight w:val="none"/>
        </w:rPr>
        <w:t>成交人确定标准</w:t>
      </w:r>
    </w:p>
    <w:p>
      <w:pPr>
        <w:spacing w:line="360" w:lineRule="auto"/>
        <w:jc w:val="left"/>
        <w:rPr>
          <w:rFonts w:ascii="宋体" w:cs="宋体"/>
          <w:sz w:val="24"/>
          <w:szCs w:val="24"/>
          <w:highlight w:val="none"/>
        </w:rPr>
      </w:pPr>
      <w:bookmarkStart w:id="47" w:name="_Toc73427807"/>
      <w:r>
        <w:rPr>
          <w:rFonts w:ascii="宋体" w:hAnsi="宋体" w:cs="宋体"/>
          <w:sz w:val="24"/>
          <w:szCs w:val="24"/>
          <w:highlight w:val="none"/>
        </w:rPr>
        <w:t xml:space="preserve">22.1  </w:t>
      </w:r>
      <w:r>
        <w:rPr>
          <w:rFonts w:hint="eastAsia" w:ascii="宋体" w:hAnsi="宋体" w:cs="宋体"/>
          <w:sz w:val="24"/>
          <w:szCs w:val="24"/>
          <w:highlight w:val="none"/>
        </w:rPr>
        <w:t>除本须知规定之外，采购人将把实质上响应竞争性磋商文件的要求并根据综合评分由高到低的顺序依次确定成交人。</w:t>
      </w:r>
    </w:p>
    <w:p>
      <w:pPr>
        <w:spacing w:line="360" w:lineRule="auto"/>
        <w:jc w:val="left"/>
        <w:rPr>
          <w:rFonts w:ascii="宋体" w:cs="宋体"/>
          <w:sz w:val="24"/>
          <w:szCs w:val="24"/>
          <w:highlight w:val="none"/>
        </w:rPr>
      </w:pPr>
      <w:r>
        <w:rPr>
          <w:rFonts w:ascii="宋体" w:hAnsi="宋体" w:cs="宋体"/>
          <w:sz w:val="24"/>
          <w:szCs w:val="24"/>
          <w:highlight w:val="none"/>
        </w:rPr>
        <w:t>22.2</w:t>
      </w:r>
      <w:r>
        <w:rPr>
          <w:rFonts w:hint="eastAsia" w:ascii="宋体" w:hAnsi="宋体" w:cs="宋体"/>
          <w:sz w:val="24"/>
          <w:szCs w:val="24"/>
          <w:highlight w:val="none"/>
        </w:rPr>
        <w:t>磋商小组推荐本项目成交候选人顺序，由采购人按顺序确定最终的成交单位。（成交单位为</w:t>
      </w:r>
      <w:r>
        <w:rPr>
          <w:rFonts w:ascii="宋体" w:hAnsi="宋体" w:cs="宋体"/>
          <w:sz w:val="24"/>
          <w:szCs w:val="24"/>
          <w:highlight w:val="none"/>
        </w:rPr>
        <w:t>1</w:t>
      </w:r>
      <w:r>
        <w:rPr>
          <w:rFonts w:hint="eastAsia" w:ascii="宋体" w:hAnsi="宋体" w:cs="宋体"/>
          <w:sz w:val="24"/>
          <w:szCs w:val="24"/>
          <w:highlight w:val="none"/>
        </w:rPr>
        <w:t>家）。</w:t>
      </w:r>
    </w:p>
    <w:p>
      <w:pPr>
        <w:pStyle w:val="4"/>
        <w:spacing w:before="0" w:after="0" w:line="360" w:lineRule="auto"/>
        <w:ind w:left="899" w:hanging="899"/>
        <w:rPr>
          <w:rFonts w:ascii="宋体" w:cs="宋体"/>
          <w:sz w:val="24"/>
          <w:szCs w:val="24"/>
          <w:highlight w:val="none"/>
        </w:rPr>
      </w:pPr>
      <w:r>
        <w:rPr>
          <w:rFonts w:ascii="宋体" w:hAnsi="宋体" w:cs="宋体"/>
          <w:sz w:val="24"/>
          <w:szCs w:val="24"/>
          <w:highlight w:val="none"/>
        </w:rPr>
        <w:t>23</w:t>
      </w:r>
      <w:r>
        <w:rPr>
          <w:rFonts w:hint="eastAsia" w:ascii="宋体" w:hAnsi="宋体" w:cs="宋体"/>
          <w:sz w:val="24"/>
          <w:szCs w:val="24"/>
          <w:highlight w:val="none"/>
        </w:rPr>
        <w:t>．接受和拒绝任何或所有响应的权力</w:t>
      </w:r>
    </w:p>
    <w:p>
      <w:pPr>
        <w:spacing w:before="120" w:line="360" w:lineRule="auto"/>
        <w:ind w:left="900" w:hanging="900"/>
        <w:rPr>
          <w:rFonts w:ascii="宋体" w:cs="宋体"/>
          <w:sz w:val="24"/>
          <w:szCs w:val="24"/>
          <w:highlight w:val="none"/>
        </w:rPr>
      </w:pPr>
      <w:r>
        <w:rPr>
          <w:rFonts w:ascii="宋体" w:hAnsi="宋体" w:cs="宋体"/>
          <w:sz w:val="24"/>
          <w:szCs w:val="24"/>
          <w:highlight w:val="none"/>
        </w:rPr>
        <w:t xml:space="preserve">23.1  </w:t>
      </w:r>
      <w:r>
        <w:rPr>
          <w:rFonts w:hint="eastAsia" w:ascii="宋体" w:hAnsi="宋体" w:cs="宋体"/>
          <w:sz w:val="24"/>
          <w:szCs w:val="24"/>
          <w:highlight w:val="none"/>
        </w:rPr>
        <w:t>为维护国家和社会公共利益，采购人保留在确定成交结果之前任何时候接受或拒绝任何响应的权力，且对受影响的报价人不承担任何责任。</w:t>
      </w:r>
    </w:p>
    <w:p>
      <w:pPr>
        <w:spacing w:line="360" w:lineRule="auto"/>
        <w:ind w:left="900" w:hanging="900"/>
        <w:rPr>
          <w:rFonts w:ascii="宋体" w:cs="宋体"/>
          <w:sz w:val="24"/>
          <w:szCs w:val="24"/>
          <w:highlight w:val="none"/>
        </w:rPr>
      </w:pPr>
      <w:r>
        <w:rPr>
          <w:rFonts w:ascii="宋体" w:hAnsi="宋体" w:cs="宋体"/>
          <w:sz w:val="24"/>
          <w:szCs w:val="24"/>
          <w:highlight w:val="none"/>
        </w:rPr>
        <w:t xml:space="preserve">23.2  </w:t>
      </w:r>
      <w:r>
        <w:rPr>
          <w:rFonts w:hint="eastAsia" w:ascii="宋体" w:hAnsi="宋体" w:cs="宋体"/>
          <w:sz w:val="24"/>
          <w:szCs w:val="24"/>
          <w:highlight w:val="none"/>
        </w:rPr>
        <w:t>因不可抗力或成交人拒绝与采购人签订合同或成交人不能履约等情形，采购人可以选择其他入围单位签订合同。</w:t>
      </w:r>
    </w:p>
    <w:bookmarkEnd w:id="47"/>
    <w:p>
      <w:pPr>
        <w:pStyle w:val="4"/>
        <w:spacing w:before="0" w:after="0" w:line="360" w:lineRule="auto"/>
        <w:rPr>
          <w:rFonts w:ascii="宋体" w:cs="宋体"/>
          <w:sz w:val="24"/>
          <w:szCs w:val="24"/>
          <w:highlight w:val="none"/>
        </w:rPr>
      </w:pPr>
      <w:bookmarkStart w:id="48" w:name="_Toc163893411"/>
      <w:bookmarkStart w:id="49" w:name="_Toc134857296"/>
      <w:bookmarkStart w:id="50" w:name="_Toc520356168"/>
      <w:bookmarkStart w:id="51" w:name="_Toc73427809"/>
      <w:r>
        <w:rPr>
          <w:rFonts w:ascii="宋体" w:hAnsi="宋体" w:cs="宋体"/>
          <w:sz w:val="24"/>
          <w:szCs w:val="24"/>
          <w:highlight w:val="none"/>
        </w:rPr>
        <w:t>24</w:t>
      </w:r>
      <w:r>
        <w:rPr>
          <w:rFonts w:hint="eastAsia" w:ascii="宋体" w:hAnsi="宋体" w:cs="宋体"/>
          <w:sz w:val="24"/>
          <w:szCs w:val="24"/>
          <w:highlight w:val="none"/>
        </w:rPr>
        <w:t>．</w:t>
      </w:r>
      <w:bookmarkEnd w:id="48"/>
      <w:bookmarkEnd w:id="49"/>
      <w:bookmarkEnd w:id="50"/>
      <w:r>
        <w:rPr>
          <w:rFonts w:hint="eastAsia" w:ascii="宋体" w:hAnsi="宋体" w:cs="宋体"/>
          <w:sz w:val="24"/>
          <w:szCs w:val="24"/>
          <w:highlight w:val="none"/>
        </w:rPr>
        <w:t>成交通知书</w:t>
      </w:r>
    </w:p>
    <w:p>
      <w:pPr>
        <w:spacing w:line="360" w:lineRule="auto"/>
        <w:ind w:left="900" w:hanging="900"/>
        <w:rPr>
          <w:rFonts w:ascii="宋体" w:cs="宋体"/>
          <w:sz w:val="24"/>
          <w:szCs w:val="24"/>
          <w:highlight w:val="none"/>
        </w:rPr>
      </w:pPr>
      <w:r>
        <w:rPr>
          <w:rFonts w:ascii="宋体" w:hAnsi="宋体" w:cs="宋体"/>
          <w:sz w:val="24"/>
          <w:szCs w:val="24"/>
          <w:highlight w:val="none"/>
        </w:rPr>
        <w:t>24.1</w:t>
      </w:r>
      <w:r>
        <w:rPr>
          <w:rFonts w:ascii="宋体" w:hAnsi="宋体" w:cs="宋体"/>
          <w:sz w:val="24"/>
          <w:szCs w:val="24"/>
          <w:highlight w:val="none"/>
        </w:rPr>
        <w:tab/>
      </w:r>
      <w:r>
        <w:rPr>
          <w:rFonts w:hint="eastAsia" w:ascii="宋体" w:hAnsi="宋体" w:cs="宋体"/>
          <w:sz w:val="24"/>
          <w:szCs w:val="24"/>
          <w:highlight w:val="none"/>
        </w:rPr>
        <w:t>成交人确定后，采购代理机构在政府采购指定媒体进行成交结果公告，并同时向成交人发出成交通知书。</w:t>
      </w:r>
    </w:p>
    <w:p>
      <w:pPr>
        <w:pStyle w:val="4"/>
        <w:spacing w:before="0" w:after="0" w:line="360" w:lineRule="auto"/>
        <w:rPr>
          <w:rFonts w:ascii="宋体" w:cs="宋体"/>
          <w:sz w:val="24"/>
          <w:szCs w:val="24"/>
          <w:highlight w:val="none"/>
        </w:rPr>
      </w:pPr>
      <w:bookmarkStart w:id="52" w:name="_Toc520356170"/>
      <w:bookmarkStart w:id="53" w:name="_Ref467307010"/>
      <w:bookmarkStart w:id="54" w:name="_Toc163893413"/>
      <w:bookmarkStart w:id="55" w:name="_Toc134857298"/>
      <w:r>
        <w:rPr>
          <w:rFonts w:ascii="宋体" w:hAnsi="宋体" w:cs="宋体"/>
          <w:sz w:val="24"/>
          <w:szCs w:val="24"/>
          <w:highlight w:val="none"/>
        </w:rPr>
        <w:t>25</w:t>
      </w:r>
      <w:r>
        <w:rPr>
          <w:rFonts w:hint="eastAsia" w:ascii="宋体" w:hAnsi="宋体" w:cs="宋体"/>
          <w:sz w:val="24"/>
          <w:szCs w:val="24"/>
          <w:highlight w:val="none"/>
        </w:rPr>
        <w:t>．</w:t>
      </w:r>
      <w:bookmarkEnd w:id="52"/>
      <w:bookmarkEnd w:id="53"/>
      <w:bookmarkEnd w:id="54"/>
      <w:bookmarkEnd w:id="55"/>
      <w:r>
        <w:rPr>
          <w:rFonts w:hint="eastAsia" w:ascii="宋体" w:hAnsi="宋体" w:cs="宋体"/>
          <w:sz w:val="24"/>
          <w:szCs w:val="24"/>
          <w:highlight w:val="none"/>
        </w:rPr>
        <w:t>签订合同</w:t>
      </w:r>
    </w:p>
    <w:p>
      <w:pPr>
        <w:spacing w:line="360" w:lineRule="auto"/>
        <w:ind w:left="902" w:hanging="902"/>
        <w:rPr>
          <w:rFonts w:ascii="宋体" w:cs="宋体"/>
          <w:sz w:val="24"/>
          <w:szCs w:val="24"/>
          <w:highlight w:val="none"/>
        </w:rPr>
      </w:pPr>
      <w:r>
        <w:rPr>
          <w:rFonts w:ascii="宋体" w:hAnsi="宋体" w:cs="宋体"/>
          <w:sz w:val="24"/>
          <w:szCs w:val="24"/>
          <w:highlight w:val="none"/>
        </w:rPr>
        <w:t>25.1</w:t>
      </w:r>
      <w:r>
        <w:rPr>
          <w:rFonts w:ascii="宋体" w:hAnsi="宋体" w:cs="宋体"/>
          <w:sz w:val="24"/>
          <w:szCs w:val="24"/>
          <w:highlight w:val="none"/>
        </w:rPr>
        <w:tab/>
      </w:r>
      <w:r>
        <w:rPr>
          <w:rFonts w:hint="eastAsia" w:ascii="宋体" w:hAnsi="宋体" w:cs="宋体"/>
          <w:sz w:val="24"/>
          <w:szCs w:val="24"/>
          <w:highlight w:val="none"/>
        </w:rPr>
        <w:t>采购人或者采购代理机构、成交供应商应当自成交结果通知书发出之日起三十日内，按照磋商文件和成交供应商响应文件的约定，签订书面合同。所签订的合同不得对磋商文件和成交供应商响应文件作实质性修改。</w:t>
      </w:r>
    </w:p>
    <w:p>
      <w:pPr>
        <w:spacing w:line="360" w:lineRule="auto"/>
        <w:ind w:left="902" w:hanging="902"/>
        <w:rPr>
          <w:rFonts w:ascii="宋体" w:cs="宋体"/>
          <w:sz w:val="24"/>
          <w:szCs w:val="24"/>
          <w:highlight w:val="none"/>
        </w:rPr>
      </w:pPr>
      <w:r>
        <w:rPr>
          <w:rFonts w:ascii="宋体" w:hAnsi="宋体" w:cs="宋体"/>
          <w:sz w:val="24"/>
          <w:szCs w:val="24"/>
          <w:highlight w:val="none"/>
        </w:rPr>
        <w:t>25.2</w:t>
      </w:r>
      <w:r>
        <w:rPr>
          <w:rFonts w:ascii="宋体" w:hAnsi="宋体" w:cs="宋体"/>
          <w:sz w:val="24"/>
          <w:szCs w:val="24"/>
          <w:highlight w:val="none"/>
        </w:rPr>
        <w:tab/>
      </w:r>
      <w:bookmarkStart w:id="56" w:name="_Toc520356176"/>
      <w:bookmarkStart w:id="57" w:name="_Ref467306425"/>
      <w:bookmarkStart w:id="58" w:name="_Ref467307090"/>
      <w:r>
        <w:rPr>
          <w:rFonts w:hint="eastAsia" w:ascii="宋体" w:hAnsi="宋体" w:cs="宋体"/>
          <w:sz w:val="24"/>
          <w:szCs w:val="24"/>
          <w:highlight w:val="none"/>
        </w:rPr>
        <w:t>磋商文件、中标供应商的投标文件及其澄清文件等，均为签订合同的依据。</w:t>
      </w:r>
      <w:bookmarkEnd w:id="56"/>
      <w:bookmarkEnd w:id="57"/>
      <w:bookmarkEnd w:id="58"/>
    </w:p>
    <w:p>
      <w:pPr>
        <w:spacing w:line="360" w:lineRule="auto"/>
        <w:jc w:val="center"/>
        <w:rPr>
          <w:rFonts w:ascii="宋体" w:cs="宋体"/>
          <w:b/>
          <w:sz w:val="28"/>
          <w:szCs w:val="28"/>
          <w:highlight w:val="none"/>
        </w:rPr>
      </w:pPr>
      <w:bookmarkStart w:id="59" w:name="_Toc134857299"/>
      <w:bookmarkStart w:id="60" w:name="_Toc163893414"/>
      <w:r>
        <w:rPr>
          <w:rFonts w:hint="eastAsia" w:ascii="宋体" w:hAnsi="宋体" w:cs="宋体"/>
          <w:b/>
          <w:sz w:val="28"/>
          <w:szCs w:val="28"/>
          <w:highlight w:val="none"/>
        </w:rPr>
        <w:t>七</w:t>
      </w:r>
      <w:r>
        <w:rPr>
          <w:rFonts w:ascii="宋体" w:hAnsi="宋体" w:cs="宋体"/>
          <w:b/>
          <w:sz w:val="28"/>
          <w:szCs w:val="28"/>
          <w:highlight w:val="none"/>
        </w:rPr>
        <w:t xml:space="preserve">  </w:t>
      </w:r>
      <w:r>
        <w:rPr>
          <w:rFonts w:hint="eastAsia" w:ascii="宋体" w:hAnsi="宋体" w:cs="宋体"/>
          <w:b/>
          <w:sz w:val="28"/>
          <w:szCs w:val="28"/>
          <w:highlight w:val="none"/>
        </w:rPr>
        <w:t>其它</w:t>
      </w:r>
    </w:p>
    <w:p>
      <w:pPr>
        <w:pStyle w:val="4"/>
        <w:spacing w:before="0" w:after="0" w:line="360" w:lineRule="auto"/>
        <w:rPr>
          <w:rFonts w:ascii="宋体" w:cs="宋体"/>
          <w:b w:val="0"/>
          <w:bCs w:val="0"/>
          <w:sz w:val="24"/>
          <w:szCs w:val="24"/>
          <w:highlight w:val="none"/>
        </w:rPr>
      </w:pPr>
      <w:r>
        <w:rPr>
          <w:rFonts w:ascii="宋体" w:hAnsi="宋体" w:cs="宋体"/>
          <w:b w:val="0"/>
          <w:bCs w:val="0"/>
          <w:sz w:val="24"/>
          <w:szCs w:val="24"/>
          <w:highlight w:val="none"/>
        </w:rPr>
        <w:t>26</w:t>
      </w:r>
      <w:r>
        <w:rPr>
          <w:rFonts w:hint="eastAsia" w:ascii="宋体" w:hAnsi="宋体" w:cs="宋体"/>
          <w:b w:val="0"/>
          <w:bCs w:val="0"/>
          <w:sz w:val="24"/>
          <w:szCs w:val="24"/>
          <w:highlight w:val="none"/>
        </w:rPr>
        <w:t>．</w:t>
      </w:r>
      <w:bookmarkEnd w:id="59"/>
      <w:bookmarkEnd w:id="60"/>
      <w:r>
        <w:rPr>
          <w:rFonts w:hint="eastAsia" w:ascii="宋体" w:hAnsi="宋体" w:cs="宋体"/>
          <w:b w:val="0"/>
          <w:bCs w:val="0"/>
          <w:sz w:val="24"/>
          <w:szCs w:val="24"/>
          <w:highlight w:val="none"/>
        </w:rPr>
        <w:t>其他</w:t>
      </w:r>
    </w:p>
    <w:p>
      <w:pPr>
        <w:spacing w:line="360" w:lineRule="auto"/>
        <w:ind w:left="31680" w:hanging="900" w:hangingChars="375"/>
        <w:rPr>
          <w:rFonts w:ascii="宋体" w:cs="宋体"/>
          <w:sz w:val="24"/>
          <w:szCs w:val="24"/>
          <w:highlight w:val="none"/>
        </w:rPr>
      </w:pPr>
      <w:r>
        <w:rPr>
          <w:rFonts w:ascii="宋体" w:hAnsi="宋体" w:cs="宋体"/>
          <w:sz w:val="24"/>
          <w:szCs w:val="24"/>
          <w:highlight w:val="none"/>
        </w:rPr>
        <w:t xml:space="preserve">26.1    </w:t>
      </w:r>
      <w:r>
        <w:rPr>
          <w:rFonts w:hint="eastAsia" w:ascii="宋体" w:hAnsi="宋体" w:cs="宋体"/>
          <w:sz w:val="24"/>
          <w:szCs w:val="24"/>
          <w:highlight w:val="none"/>
        </w:rPr>
        <w:t>在磋商过程中，出现下列情形之一的，磋商终止：</w:t>
      </w:r>
    </w:p>
    <w:p>
      <w:pPr>
        <w:spacing w:line="360" w:lineRule="auto"/>
        <w:ind w:left="855" w:leftChars="350" w:hanging="120" w:hangingChars="50"/>
        <w:rPr>
          <w:rFonts w:ascii="宋体" w:cs="宋体"/>
          <w:sz w:val="24"/>
          <w:szCs w:val="24"/>
          <w:highlight w:val="none"/>
        </w:rPr>
      </w:pPr>
      <w:r>
        <w:rPr>
          <w:rFonts w:hint="eastAsia" w:ascii="宋体" w:hAnsi="宋体" w:cs="宋体"/>
          <w:sz w:val="24"/>
          <w:szCs w:val="24"/>
          <w:highlight w:val="none"/>
        </w:rPr>
        <w:t>●符合专业条件的报价人或者对竞争性磋商文件作实质响应的报价人不足三家的；</w:t>
      </w:r>
    </w:p>
    <w:p>
      <w:pPr>
        <w:spacing w:line="360" w:lineRule="auto"/>
        <w:ind w:firstLine="840" w:firstLineChars="350"/>
        <w:rPr>
          <w:rFonts w:ascii="宋体" w:cs="宋体"/>
          <w:sz w:val="24"/>
          <w:szCs w:val="24"/>
          <w:highlight w:val="none"/>
        </w:rPr>
      </w:pPr>
      <w:r>
        <w:rPr>
          <w:rFonts w:hint="eastAsia" w:ascii="宋体" w:hAnsi="宋体" w:cs="宋体"/>
          <w:sz w:val="24"/>
          <w:szCs w:val="24"/>
          <w:highlight w:val="none"/>
        </w:rPr>
        <w:t>●出现影响评标公正的违法、违规行为的；</w:t>
      </w:r>
    </w:p>
    <w:p>
      <w:pPr>
        <w:spacing w:line="360" w:lineRule="auto"/>
        <w:ind w:firstLine="840" w:firstLineChars="350"/>
        <w:rPr>
          <w:rFonts w:ascii="宋体" w:cs="宋体"/>
          <w:sz w:val="24"/>
          <w:szCs w:val="24"/>
          <w:highlight w:val="none"/>
        </w:rPr>
      </w:pPr>
      <w:r>
        <w:rPr>
          <w:rFonts w:hint="eastAsia" w:ascii="宋体" w:hAnsi="宋体" w:cs="宋体"/>
          <w:sz w:val="24"/>
          <w:szCs w:val="24"/>
          <w:highlight w:val="none"/>
        </w:rPr>
        <w:t>●因重大变故，本次采购任务取消的；</w:t>
      </w:r>
    </w:p>
    <w:p>
      <w:pPr>
        <w:pStyle w:val="4"/>
        <w:spacing w:before="0" w:after="0" w:line="360" w:lineRule="auto"/>
        <w:rPr>
          <w:rFonts w:ascii="宋体" w:cs="宋体"/>
          <w:b w:val="0"/>
          <w:bCs w:val="0"/>
          <w:sz w:val="24"/>
          <w:szCs w:val="24"/>
          <w:highlight w:val="none"/>
        </w:rPr>
      </w:pPr>
      <w:bookmarkStart w:id="61" w:name="_Toc520356174"/>
      <w:bookmarkStart w:id="62" w:name="_Toc163893416"/>
      <w:bookmarkStart w:id="63" w:name="_Toc134857302"/>
      <w:r>
        <w:rPr>
          <w:rFonts w:ascii="宋体" w:hAnsi="宋体" w:cs="宋体"/>
          <w:b w:val="0"/>
          <w:bCs w:val="0"/>
          <w:sz w:val="24"/>
          <w:szCs w:val="24"/>
          <w:highlight w:val="none"/>
        </w:rPr>
        <w:t>27</w:t>
      </w:r>
      <w:r>
        <w:rPr>
          <w:rFonts w:hint="eastAsia" w:ascii="宋体" w:hAnsi="宋体" w:cs="宋体"/>
          <w:b w:val="0"/>
          <w:bCs w:val="0"/>
          <w:sz w:val="24"/>
          <w:szCs w:val="24"/>
          <w:highlight w:val="none"/>
        </w:rPr>
        <w:t>．成交</w:t>
      </w:r>
      <w:bookmarkEnd w:id="61"/>
      <w:bookmarkEnd w:id="62"/>
      <w:bookmarkEnd w:id="63"/>
      <w:r>
        <w:rPr>
          <w:rFonts w:hint="eastAsia" w:ascii="宋体" w:hAnsi="宋体" w:cs="宋体"/>
          <w:b w:val="0"/>
          <w:bCs w:val="0"/>
          <w:sz w:val="24"/>
          <w:szCs w:val="24"/>
          <w:highlight w:val="none"/>
        </w:rPr>
        <w:t>服务费</w:t>
      </w:r>
    </w:p>
    <w:p>
      <w:pPr>
        <w:spacing w:line="360" w:lineRule="auto"/>
        <w:ind w:left="900" w:hanging="900"/>
        <w:rPr>
          <w:rFonts w:ascii="宋体" w:cs="宋体"/>
          <w:sz w:val="24"/>
          <w:szCs w:val="24"/>
          <w:highlight w:val="none"/>
        </w:rPr>
      </w:pPr>
      <w:r>
        <w:rPr>
          <w:rFonts w:ascii="宋体" w:hAnsi="宋体" w:cs="宋体"/>
          <w:sz w:val="24"/>
          <w:szCs w:val="24"/>
          <w:highlight w:val="none"/>
        </w:rPr>
        <w:t>27.1</w:t>
      </w:r>
      <w:r>
        <w:rPr>
          <w:rFonts w:ascii="宋体" w:hAnsi="宋体" w:cs="宋体"/>
          <w:sz w:val="24"/>
          <w:szCs w:val="24"/>
          <w:highlight w:val="none"/>
        </w:rPr>
        <w:tab/>
      </w:r>
      <w:r>
        <w:rPr>
          <w:rFonts w:hint="eastAsia" w:ascii="宋体" w:hAnsi="宋体" w:cs="宋体"/>
          <w:sz w:val="24"/>
          <w:szCs w:val="24"/>
          <w:highlight w:val="none"/>
        </w:rPr>
        <w:t>详见报价人须知前附表。</w:t>
      </w:r>
    </w:p>
    <w:bookmarkEnd w:id="51"/>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jc w:val="both"/>
        <w:rPr>
          <w:highlight w:val="none"/>
        </w:rPr>
      </w:pPr>
    </w:p>
    <w:p>
      <w:pPr>
        <w:pStyle w:val="2"/>
        <w:jc w:val="center"/>
        <w:rPr>
          <w:highlight w:val="none"/>
        </w:rPr>
      </w:pPr>
      <w:bookmarkStart w:id="64" w:name="_Toc508871664"/>
      <w:r>
        <w:rPr>
          <w:rFonts w:hint="eastAsia"/>
          <w:highlight w:val="none"/>
        </w:rPr>
        <w:t>第四章服务内容说明</w:t>
      </w:r>
      <w:bookmarkEnd w:id="64"/>
    </w:p>
    <w:p>
      <w:pPr>
        <w:jc w:val="center"/>
        <w:rPr>
          <w:kern w:val="44"/>
          <w:sz w:val="44"/>
          <w:szCs w:val="44"/>
          <w:highlight w:val="none"/>
        </w:rPr>
      </w:pPr>
      <w:r>
        <w:rPr>
          <w:highlight w:val="none"/>
        </w:rPr>
        <w:br w:type="page"/>
      </w:r>
      <w:r>
        <w:rPr>
          <w:rFonts w:hint="eastAsia"/>
          <w:b/>
          <w:sz w:val="32"/>
          <w:szCs w:val="32"/>
          <w:highlight w:val="none"/>
        </w:rPr>
        <w:t>服务内容说明</w:t>
      </w:r>
    </w:p>
    <w:p>
      <w:pPr>
        <w:pStyle w:val="145"/>
        <w:rPr>
          <w:color w:val="auto"/>
          <w:szCs w:val="21"/>
          <w:highlight w:val="none"/>
        </w:rPr>
      </w:pPr>
      <w:r>
        <w:rPr>
          <w:rFonts w:hint="eastAsia"/>
          <w:color w:val="auto"/>
          <w:szCs w:val="21"/>
          <w:highlight w:val="none"/>
        </w:rPr>
        <w:t>一、项目概况</w:t>
      </w:r>
    </w:p>
    <w:p>
      <w:pPr>
        <w:spacing w:line="440" w:lineRule="exact"/>
        <w:ind w:firstLine="435"/>
        <w:rPr>
          <w:rFonts w:ascii="宋体"/>
          <w:szCs w:val="21"/>
          <w:highlight w:val="none"/>
        </w:rPr>
      </w:pPr>
      <w:r>
        <w:rPr>
          <w:rFonts w:hint="eastAsia"/>
          <w:kern w:val="0"/>
          <w:szCs w:val="21"/>
          <w:highlight w:val="none"/>
        </w:rPr>
        <w:t>项目名称：中央财经大学学院南路校区水塔拆除</w:t>
      </w:r>
    </w:p>
    <w:p>
      <w:pPr>
        <w:spacing w:line="440" w:lineRule="exact"/>
        <w:ind w:firstLine="435"/>
        <w:rPr>
          <w:kern w:val="0"/>
          <w:szCs w:val="21"/>
          <w:highlight w:val="none"/>
        </w:rPr>
      </w:pPr>
      <w:r>
        <w:rPr>
          <w:rFonts w:hint="eastAsia"/>
          <w:kern w:val="0"/>
          <w:szCs w:val="21"/>
          <w:highlight w:val="none"/>
        </w:rPr>
        <w:t>采购单位：中央财经大学</w:t>
      </w:r>
    </w:p>
    <w:p>
      <w:pPr>
        <w:spacing w:line="440" w:lineRule="exact"/>
        <w:rPr>
          <w:kern w:val="0"/>
          <w:szCs w:val="21"/>
          <w:highlight w:val="none"/>
        </w:rPr>
      </w:pPr>
      <w:r>
        <w:rPr>
          <w:kern w:val="0"/>
          <w:szCs w:val="21"/>
          <w:highlight w:val="none"/>
        </w:rPr>
        <w:t xml:space="preserve">    </w:t>
      </w:r>
      <w:r>
        <w:rPr>
          <w:rFonts w:hint="eastAsia"/>
          <w:kern w:val="0"/>
          <w:szCs w:val="21"/>
          <w:highlight w:val="none"/>
        </w:rPr>
        <w:t>项目地址：</w:t>
      </w:r>
      <w:r>
        <w:rPr>
          <w:rFonts w:hint="eastAsia"/>
          <w:kern w:val="0"/>
          <w:szCs w:val="21"/>
          <w:highlight w:val="none"/>
          <w:u w:val="single"/>
        </w:rPr>
        <w:t>中央财经大学学院南路校区</w:t>
      </w:r>
      <w:r>
        <w:rPr>
          <w:kern w:val="0"/>
          <w:szCs w:val="21"/>
          <w:highlight w:val="none"/>
          <w:u w:val="single"/>
        </w:rPr>
        <w:t xml:space="preserve"> </w:t>
      </w:r>
      <w:r>
        <w:rPr>
          <w:rFonts w:hint="eastAsia"/>
          <w:kern w:val="0"/>
          <w:szCs w:val="21"/>
          <w:highlight w:val="none"/>
          <w:u w:val="single"/>
        </w:rPr>
        <w:t>北京市海淀区学院南路</w:t>
      </w:r>
      <w:r>
        <w:rPr>
          <w:kern w:val="0"/>
          <w:szCs w:val="21"/>
          <w:highlight w:val="none"/>
          <w:u w:val="single"/>
        </w:rPr>
        <w:t>39</w:t>
      </w:r>
      <w:r>
        <w:rPr>
          <w:rFonts w:hint="eastAsia"/>
          <w:kern w:val="0"/>
          <w:szCs w:val="21"/>
          <w:highlight w:val="none"/>
          <w:u w:val="single"/>
        </w:rPr>
        <w:t>号</w:t>
      </w:r>
    </w:p>
    <w:p>
      <w:pPr>
        <w:pStyle w:val="145"/>
        <w:rPr>
          <w:rFonts w:ascii="Times New Roman" w:hAnsi="Times New Roman"/>
          <w:bCs w:val="0"/>
          <w:color w:val="auto"/>
          <w:szCs w:val="21"/>
          <w:highlight w:val="none"/>
        </w:rPr>
      </w:pPr>
      <w:r>
        <w:rPr>
          <w:rFonts w:hint="eastAsia" w:ascii="Times New Roman" w:hAnsi="Times New Roman"/>
          <w:bCs w:val="0"/>
          <w:color w:val="auto"/>
          <w:szCs w:val="21"/>
          <w:highlight w:val="none"/>
        </w:rPr>
        <w:t>二、项目内容</w:t>
      </w:r>
    </w:p>
    <w:p>
      <w:pPr>
        <w:spacing w:line="440" w:lineRule="exact"/>
        <w:ind w:firstLine="315" w:firstLineChars="150"/>
        <w:rPr>
          <w:kern w:val="0"/>
          <w:szCs w:val="21"/>
          <w:highlight w:val="none"/>
        </w:rPr>
      </w:pPr>
      <w:r>
        <w:rPr>
          <w:rFonts w:hint="eastAsia"/>
          <w:kern w:val="0"/>
          <w:szCs w:val="21"/>
          <w:highlight w:val="none"/>
        </w:rPr>
        <w:t>中央财经大学学院南路校区水塔拆除至与室外地面</w:t>
      </w:r>
      <w:r>
        <w:rPr>
          <w:kern w:val="0"/>
          <w:szCs w:val="21"/>
          <w:highlight w:val="none"/>
        </w:rPr>
        <w:t>-1m</w:t>
      </w:r>
      <w:r>
        <w:rPr>
          <w:rFonts w:hint="eastAsia"/>
          <w:kern w:val="0"/>
          <w:szCs w:val="21"/>
          <w:highlight w:val="none"/>
        </w:rPr>
        <w:t>，采用种植土回填到室外齐平具体修缮内容：</w:t>
      </w:r>
      <w:r>
        <w:rPr>
          <w:rFonts w:hint="eastAsia"/>
          <w:kern w:val="0"/>
          <w:szCs w:val="21"/>
          <w:highlight w:val="none"/>
          <w:u w:val="single"/>
        </w:rPr>
        <w:t>详见项目概况和内容、工程量清单</w:t>
      </w:r>
      <w:r>
        <w:rPr>
          <w:rFonts w:hint="eastAsia"/>
          <w:kern w:val="0"/>
          <w:szCs w:val="21"/>
          <w:highlight w:val="none"/>
        </w:rPr>
        <w:t>。</w:t>
      </w:r>
    </w:p>
    <w:p>
      <w:pPr>
        <w:spacing w:line="440" w:lineRule="exact"/>
        <w:ind w:firstLine="316" w:firstLineChars="150"/>
        <w:rPr>
          <w:b/>
          <w:kern w:val="0"/>
          <w:szCs w:val="21"/>
          <w:highlight w:val="none"/>
          <w:shd w:val="pct10" w:color="auto" w:fill="FFFFFF"/>
        </w:rPr>
      </w:pPr>
      <w:r>
        <w:rPr>
          <w:rFonts w:hint="eastAsia"/>
          <w:b/>
          <w:kern w:val="0"/>
          <w:szCs w:val="21"/>
          <w:highlight w:val="none"/>
          <w:shd w:val="pct10" w:color="auto" w:fill="FFFFFF"/>
        </w:rPr>
        <w:t>我校根据实际情况，有权决定相关项目的实施与否。</w:t>
      </w:r>
    </w:p>
    <w:p>
      <w:pPr>
        <w:pStyle w:val="145"/>
        <w:rPr>
          <w:color w:val="auto"/>
          <w:szCs w:val="21"/>
          <w:highlight w:val="none"/>
        </w:rPr>
      </w:pPr>
      <w:r>
        <w:rPr>
          <w:rFonts w:hint="eastAsia"/>
          <w:color w:val="auto"/>
          <w:szCs w:val="21"/>
          <w:highlight w:val="none"/>
        </w:rPr>
        <w:t>三、其他要求</w:t>
      </w:r>
    </w:p>
    <w:p>
      <w:pPr>
        <w:pStyle w:val="145"/>
        <w:ind w:left="0" w:firstLine="413" w:firstLineChars="196"/>
        <w:rPr>
          <w:color w:val="auto"/>
          <w:szCs w:val="21"/>
          <w:highlight w:val="none"/>
        </w:rPr>
      </w:pPr>
      <w:r>
        <w:rPr>
          <w:rFonts w:hint="eastAsia"/>
          <w:color w:val="auto"/>
          <w:szCs w:val="21"/>
          <w:highlight w:val="none"/>
        </w:rPr>
        <w:t>工程质量要求为合格。工程施工期限</w:t>
      </w:r>
      <w:r>
        <w:rPr>
          <w:color w:val="auto"/>
          <w:szCs w:val="21"/>
          <w:highlight w:val="none"/>
        </w:rPr>
        <w:t>30</w:t>
      </w:r>
      <w:r>
        <w:rPr>
          <w:rFonts w:hint="eastAsia"/>
          <w:color w:val="auto"/>
          <w:szCs w:val="21"/>
          <w:highlight w:val="none"/>
        </w:rPr>
        <w:t>个日历天。完工后需提供工程竣工图纸。</w:t>
      </w:r>
    </w:p>
    <w:p>
      <w:pPr>
        <w:spacing w:line="360" w:lineRule="auto"/>
        <w:rPr>
          <w:b/>
          <w:szCs w:val="21"/>
          <w:highlight w:val="none"/>
        </w:rPr>
      </w:pPr>
      <w:r>
        <w:rPr>
          <w:b/>
          <w:szCs w:val="21"/>
          <w:highlight w:val="none"/>
        </w:rPr>
        <w:t xml:space="preserve">    </w:t>
      </w:r>
      <w:r>
        <w:rPr>
          <w:rFonts w:hint="eastAsia"/>
          <w:b/>
          <w:szCs w:val="21"/>
          <w:highlight w:val="none"/>
        </w:rPr>
        <w:t>本工程适用现行国家、行业和地方规范、标准和规程，须按国家和行业相关标准、规范设计、施工和验收。包括但不限于：</w:t>
      </w:r>
    </w:p>
    <w:p>
      <w:pPr>
        <w:tabs>
          <w:tab w:val="left" w:pos="420"/>
        </w:tabs>
        <w:spacing w:line="440" w:lineRule="exact"/>
        <w:ind w:left="420"/>
        <w:rPr>
          <w:b/>
          <w:kern w:val="0"/>
          <w:szCs w:val="21"/>
          <w:highlight w:val="none"/>
        </w:rPr>
      </w:pPr>
      <w:r>
        <w:rPr>
          <w:b/>
          <w:kern w:val="0"/>
          <w:szCs w:val="21"/>
          <w:highlight w:val="none"/>
        </w:rPr>
        <w:t>1</w:t>
      </w:r>
      <w:r>
        <w:rPr>
          <w:rFonts w:hint="eastAsia"/>
          <w:b/>
          <w:kern w:val="0"/>
          <w:szCs w:val="21"/>
          <w:highlight w:val="none"/>
        </w:rPr>
        <w:t>、设备</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建筑给水排水及采暖工程施工质量验收规范</w:t>
      </w:r>
      <w:r>
        <w:rPr>
          <w:kern w:val="0"/>
          <w:szCs w:val="21"/>
          <w:highlight w:val="none"/>
        </w:rPr>
        <w:t xml:space="preserve"> GB50242-2002</w:t>
      </w:r>
    </w:p>
    <w:p>
      <w:pPr>
        <w:spacing w:line="440" w:lineRule="exact"/>
        <w:rPr>
          <w:kern w:val="0"/>
          <w:szCs w:val="21"/>
          <w:highlight w:val="none"/>
        </w:rPr>
      </w:pPr>
      <w:r>
        <w:rPr>
          <w:kern w:val="0"/>
          <w:szCs w:val="21"/>
          <w:highlight w:val="none"/>
        </w:rPr>
        <w:t xml:space="preserve">    </w:t>
      </w:r>
      <w:r>
        <w:rPr>
          <w:rFonts w:hint="eastAsia"/>
          <w:kern w:val="0"/>
          <w:szCs w:val="21"/>
          <w:highlight w:val="none"/>
        </w:rPr>
        <w:t>通风与空调工程施工质量验收规范</w:t>
      </w:r>
      <w:r>
        <w:rPr>
          <w:kern w:val="0"/>
          <w:szCs w:val="21"/>
          <w:highlight w:val="none"/>
        </w:rPr>
        <w:t xml:space="preserve"> GB50243-2002(GB50243-2016</w:t>
      </w:r>
      <w:r>
        <w:rPr>
          <w:rFonts w:hint="eastAsia"/>
          <w:kern w:val="0"/>
          <w:szCs w:val="21"/>
          <w:highlight w:val="none"/>
        </w:rPr>
        <w:t>自</w:t>
      </w:r>
      <w:r>
        <w:rPr>
          <w:kern w:val="0"/>
          <w:szCs w:val="21"/>
          <w:highlight w:val="none"/>
        </w:rPr>
        <w:t>7</w:t>
      </w:r>
      <w:r>
        <w:rPr>
          <w:rFonts w:hint="eastAsia"/>
          <w:kern w:val="0"/>
          <w:szCs w:val="21"/>
          <w:highlight w:val="none"/>
        </w:rPr>
        <w:t>月</w:t>
      </w:r>
      <w:r>
        <w:rPr>
          <w:kern w:val="0"/>
          <w:szCs w:val="21"/>
          <w:highlight w:val="none"/>
        </w:rPr>
        <w:t>1</w:t>
      </w:r>
      <w:r>
        <w:rPr>
          <w:rFonts w:hint="eastAsia"/>
          <w:kern w:val="0"/>
          <w:szCs w:val="21"/>
          <w:highlight w:val="none"/>
        </w:rPr>
        <w:t>日起实施</w:t>
      </w:r>
      <w:r>
        <w:rPr>
          <w:kern w:val="0"/>
          <w:szCs w:val="21"/>
          <w:highlight w:val="none"/>
        </w:rPr>
        <w:t>)</w:t>
      </w:r>
    </w:p>
    <w:p>
      <w:pPr>
        <w:spacing w:line="440" w:lineRule="exact"/>
        <w:rPr>
          <w:kern w:val="0"/>
          <w:szCs w:val="21"/>
          <w:highlight w:val="none"/>
        </w:rPr>
      </w:pPr>
      <w:r>
        <w:rPr>
          <w:kern w:val="0"/>
          <w:szCs w:val="21"/>
          <w:highlight w:val="none"/>
        </w:rPr>
        <w:t xml:space="preserve">    </w:t>
      </w:r>
      <w:r>
        <w:rPr>
          <w:rFonts w:hint="eastAsia"/>
          <w:kern w:val="0"/>
          <w:szCs w:val="21"/>
          <w:highlight w:val="none"/>
        </w:rPr>
        <w:t>自动喷水灭火系统施工及验收规范</w:t>
      </w:r>
      <w:r>
        <w:rPr>
          <w:kern w:val="0"/>
          <w:szCs w:val="21"/>
          <w:highlight w:val="none"/>
        </w:rPr>
        <w:t xml:space="preserve"> GB50261-2005</w:t>
      </w:r>
    </w:p>
    <w:p>
      <w:pPr>
        <w:spacing w:line="440" w:lineRule="exact"/>
        <w:rPr>
          <w:kern w:val="0"/>
          <w:szCs w:val="21"/>
          <w:highlight w:val="none"/>
        </w:rPr>
      </w:pPr>
      <w:r>
        <w:rPr>
          <w:kern w:val="0"/>
          <w:szCs w:val="21"/>
          <w:highlight w:val="none"/>
        </w:rPr>
        <w:t xml:space="preserve">    </w:t>
      </w:r>
      <w:r>
        <w:rPr>
          <w:rFonts w:hint="eastAsia"/>
          <w:kern w:val="0"/>
          <w:szCs w:val="21"/>
          <w:highlight w:val="none"/>
        </w:rPr>
        <w:t>自动喷水灭火系统设计规范</w:t>
      </w:r>
      <w:r>
        <w:rPr>
          <w:kern w:val="0"/>
          <w:szCs w:val="21"/>
          <w:highlight w:val="none"/>
        </w:rPr>
        <w:t xml:space="preserve"> GB50084-2005</w:t>
      </w:r>
    </w:p>
    <w:p>
      <w:pPr>
        <w:spacing w:line="440" w:lineRule="exact"/>
        <w:rPr>
          <w:kern w:val="0"/>
          <w:szCs w:val="21"/>
          <w:highlight w:val="none"/>
        </w:rPr>
      </w:pPr>
      <w:r>
        <w:rPr>
          <w:kern w:val="0"/>
          <w:szCs w:val="21"/>
          <w:highlight w:val="none"/>
        </w:rPr>
        <w:t xml:space="preserve">    </w:t>
      </w:r>
      <w:r>
        <w:rPr>
          <w:rFonts w:hint="eastAsia"/>
          <w:kern w:val="0"/>
          <w:szCs w:val="21"/>
          <w:highlight w:val="none"/>
        </w:rPr>
        <w:t>给水排水管道工程施工及验收规范</w:t>
      </w:r>
      <w:r>
        <w:rPr>
          <w:kern w:val="0"/>
          <w:szCs w:val="21"/>
          <w:highlight w:val="none"/>
        </w:rPr>
        <w:t xml:space="preserve"> GB50268-2008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制冷设备、空气分离设备安装工程施工及验收规范</w:t>
      </w:r>
      <w:r>
        <w:rPr>
          <w:kern w:val="0"/>
          <w:szCs w:val="21"/>
          <w:highlight w:val="none"/>
        </w:rPr>
        <w:t xml:space="preserve"> GB50274-2010</w:t>
      </w:r>
    </w:p>
    <w:p>
      <w:pPr>
        <w:spacing w:line="440" w:lineRule="exact"/>
        <w:rPr>
          <w:kern w:val="0"/>
          <w:szCs w:val="21"/>
          <w:highlight w:val="none"/>
        </w:rPr>
      </w:pPr>
      <w:r>
        <w:rPr>
          <w:kern w:val="0"/>
          <w:szCs w:val="21"/>
          <w:highlight w:val="none"/>
        </w:rPr>
        <w:t xml:space="preserve">    </w:t>
      </w:r>
      <w:r>
        <w:rPr>
          <w:rFonts w:hint="eastAsia"/>
          <w:kern w:val="0"/>
          <w:szCs w:val="21"/>
          <w:highlight w:val="none"/>
        </w:rPr>
        <w:t>风机、压缩机、泵安装工程施工及验收规范</w:t>
      </w:r>
      <w:r>
        <w:rPr>
          <w:kern w:val="0"/>
          <w:szCs w:val="21"/>
          <w:highlight w:val="none"/>
        </w:rPr>
        <w:t xml:space="preserve"> GB50275-2010</w:t>
      </w:r>
    </w:p>
    <w:p>
      <w:pPr>
        <w:spacing w:line="440" w:lineRule="exact"/>
        <w:rPr>
          <w:kern w:val="0"/>
          <w:szCs w:val="21"/>
          <w:highlight w:val="none"/>
        </w:rPr>
      </w:pPr>
      <w:r>
        <w:rPr>
          <w:kern w:val="0"/>
          <w:szCs w:val="21"/>
          <w:highlight w:val="none"/>
        </w:rPr>
        <w:t xml:space="preserve">    </w:t>
      </w:r>
      <w:r>
        <w:rPr>
          <w:rFonts w:hint="eastAsia"/>
          <w:kern w:val="0"/>
          <w:szCs w:val="21"/>
          <w:highlight w:val="none"/>
        </w:rPr>
        <w:t>工业阀门压力试验</w:t>
      </w:r>
      <w:r>
        <w:rPr>
          <w:kern w:val="0"/>
          <w:szCs w:val="21"/>
          <w:highlight w:val="none"/>
        </w:rPr>
        <w:t xml:space="preserve"> GB/T13927-2008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通风管道技术规程</w:t>
      </w:r>
      <w:r>
        <w:rPr>
          <w:kern w:val="0"/>
          <w:szCs w:val="21"/>
          <w:highlight w:val="none"/>
        </w:rPr>
        <w:t xml:space="preserve"> JGJ141-2004</w:t>
      </w:r>
      <w:r>
        <w:rPr>
          <w:rFonts w:hint="eastAsia"/>
          <w:kern w:val="0"/>
          <w:szCs w:val="21"/>
          <w:highlight w:val="none"/>
        </w:rPr>
        <w:t>（</w:t>
      </w:r>
      <w:r>
        <w:rPr>
          <w:kern w:val="0"/>
          <w:szCs w:val="21"/>
          <w:highlight w:val="none"/>
        </w:rPr>
        <w:t>JGJ/141-2017</w:t>
      </w:r>
      <w:r>
        <w:rPr>
          <w:rFonts w:hint="eastAsia"/>
          <w:kern w:val="0"/>
          <w:szCs w:val="21"/>
          <w:highlight w:val="none"/>
        </w:rPr>
        <w:t>）</w:t>
      </w:r>
    </w:p>
    <w:p>
      <w:pPr>
        <w:spacing w:line="440" w:lineRule="exact"/>
        <w:ind w:left="420"/>
        <w:rPr>
          <w:b/>
          <w:kern w:val="0"/>
          <w:szCs w:val="21"/>
          <w:highlight w:val="none"/>
        </w:rPr>
      </w:pPr>
      <w:r>
        <w:rPr>
          <w:b/>
          <w:kern w:val="0"/>
          <w:szCs w:val="21"/>
          <w:highlight w:val="none"/>
        </w:rPr>
        <w:t>2</w:t>
      </w:r>
      <w:r>
        <w:rPr>
          <w:rFonts w:hint="eastAsia"/>
          <w:b/>
          <w:kern w:val="0"/>
          <w:szCs w:val="21"/>
          <w:highlight w:val="none"/>
        </w:rPr>
        <w:t>、电气</w:t>
      </w:r>
    </w:p>
    <w:p>
      <w:pPr>
        <w:spacing w:line="440" w:lineRule="exact"/>
        <w:rPr>
          <w:bCs/>
          <w:kern w:val="0"/>
          <w:szCs w:val="21"/>
          <w:highlight w:val="none"/>
        </w:rPr>
      </w:pPr>
      <w:r>
        <w:rPr>
          <w:bCs/>
          <w:kern w:val="0"/>
          <w:szCs w:val="21"/>
          <w:highlight w:val="none"/>
        </w:rPr>
        <w:t xml:space="preserve">    </w:t>
      </w:r>
      <w:r>
        <w:rPr>
          <w:rFonts w:hint="eastAsia"/>
          <w:bCs/>
          <w:kern w:val="0"/>
          <w:szCs w:val="21"/>
          <w:highlight w:val="none"/>
        </w:rPr>
        <w:t>建筑设计防火规范</w:t>
      </w:r>
      <w:r>
        <w:rPr>
          <w:bCs/>
          <w:kern w:val="0"/>
          <w:szCs w:val="21"/>
          <w:highlight w:val="none"/>
        </w:rPr>
        <w:t xml:space="preserve"> GB50016-2014</w:t>
      </w:r>
    </w:p>
    <w:p>
      <w:pPr>
        <w:spacing w:line="440" w:lineRule="exact"/>
        <w:rPr>
          <w:bCs/>
          <w:kern w:val="0"/>
          <w:szCs w:val="21"/>
          <w:highlight w:val="none"/>
        </w:rPr>
      </w:pPr>
      <w:r>
        <w:rPr>
          <w:bCs/>
          <w:kern w:val="0"/>
          <w:szCs w:val="21"/>
          <w:highlight w:val="none"/>
        </w:rPr>
        <w:t xml:space="preserve">    </w:t>
      </w:r>
      <w:r>
        <w:rPr>
          <w:rFonts w:hint="eastAsia"/>
          <w:bCs/>
          <w:kern w:val="0"/>
          <w:szCs w:val="21"/>
          <w:highlight w:val="none"/>
        </w:rPr>
        <w:t>火灾自动报警系统设计规范</w:t>
      </w:r>
      <w:r>
        <w:rPr>
          <w:bCs/>
          <w:kern w:val="0"/>
          <w:szCs w:val="21"/>
          <w:highlight w:val="none"/>
        </w:rPr>
        <w:t xml:space="preserve"> GB50166-2013</w:t>
      </w:r>
    </w:p>
    <w:p>
      <w:pPr>
        <w:spacing w:line="440" w:lineRule="exact"/>
        <w:rPr>
          <w:kern w:val="0"/>
          <w:szCs w:val="21"/>
          <w:highlight w:val="none"/>
        </w:rPr>
      </w:pPr>
      <w:r>
        <w:rPr>
          <w:kern w:val="0"/>
          <w:szCs w:val="21"/>
          <w:highlight w:val="none"/>
        </w:rPr>
        <w:t xml:space="preserve">    </w:t>
      </w:r>
      <w:r>
        <w:rPr>
          <w:rFonts w:hint="eastAsia"/>
          <w:kern w:val="0"/>
          <w:szCs w:val="21"/>
          <w:highlight w:val="none"/>
        </w:rPr>
        <w:t>火灾自动报警系统施工及验收规范</w:t>
      </w:r>
      <w:r>
        <w:rPr>
          <w:kern w:val="0"/>
          <w:szCs w:val="21"/>
          <w:highlight w:val="none"/>
        </w:rPr>
        <w:t xml:space="preserve"> GB50166-2007</w:t>
      </w:r>
    </w:p>
    <w:p>
      <w:pPr>
        <w:spacing w:line="440" w:lineRule="exact"/>
        <w:rPr>
          <w:kern w:val="0"/>
          <w:szCs w:val="21"/>
          <w:highlight w:val="none"/>
        </w:rPr>
      </w:pPr>
      <w:r>
        <w:rPr>
          <w:kern w:val="0"/>
          <w:szCs w:val="21"/>
          <w:highlight w:val="none"/>
        </w:rPr>
        <w:t xml:space="preserve">    </w:t>
      </w:r>
      <w:r>
        <w:rPr>
          <w:rFonts w:hint="eastAsia"/>
          <w:kern w:val="0"/>
          <w:szCs w:val="21"/>
          <w:highlight w:val="none"/>
        </w:rPr>
        <w:t>火灾报警器通用技术条件</w:t>
      </w:r>
      <w:r>
        <w:rPr>
          <w:kern w:val="0"/>
          <w:szCs w:val="21"/>
          <w:highlight w:val="none"/>
        </w:rPr>
        <w:t xml:space="preserve"> GB4717-2005</w:t>
      </w:r>
    </w:p>
    <w:p>
      <w:pPr>
        <w:spacing w:line="440" w:lineRule="exact"/>
        <w:rPr>
          <w:kern w:val="0"/>
          <w:szCs w:val="21"/>
          <w:highlight w:val="none"/>
        </w:rPr>
      </w:pPr>
      <w:r>
        <w:rPr>
          <w:kern w:val="0"/>
          <w:szCs w:val="21"/>
          <w:highlight w:val="none"/>
        </w:rPr>
        <w:t xml:space="preserve">    </w:t>
      </w:r>
      <w:r>
        <w:rPr>
          <w:rFonts w:hint="eastAsia"/>
          <w:kern w:val="0"/>
          <w:szCs w:val="21"/>
          <w:highlight w:val="none"/>
        </w:rPr>
        <w:t>公共广播系统工程技术规范</w:t>
      </w:r>
      <w:r>
        <w:rPr>
          <w:kern w:val="0"/>
          <w:szCs w:val="21"/>
          <w:highlight w:val="none"/>
        </w:rPr>
        <w:t xml:space="preserve"> GB50526-2010</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建筑电气安装工程施工质量验收规范</w:t>
      </w:r>
      <w:r>
        <w:rPr>
          <w:kern w:val="0"/>
          <w:szCs w:val="21"/>
          <w:highlight w:val="none"/>
        </w:rPr>
        <w:t xml:space="preserve"> GB50303-2002</w:t>
      </w:r>
    </w:p>
    <w:p>
      <w:pPr>
        <w:spacing w:line="440" w:lineRule="exact"/>
        <w:rPr>
          <w:kern w:val="0"/>
          <w:szCs w:val="21"/>
          <w:highlight w:val="none"/>
        </w:rPr>
      </w:pPr>
      <w:r>
        <w:rPr>
          <w:kern w:val="0"/>
          <w:szCs w:val="21"/>
          <w:highlight w:val="none"/>
        </w:rPr>
        <w:t xml:space="preserve">    </w:t>
      </w:r>
      <w:r>
        <w:rPr>
          <w:rFonts w:hint="eastAsia"/>
          <w:kern w:val="0"/>
          <w:szCs w:val="21"/>
          <w:highlight w:val="none"/>
        </w:rPr>
        <w:t>电气装置安装工程电缆线路施工及验收规范</w:t>
      </w:r>
      <w:r>
        <w:rPr>
          <w:kern w:val="0"/>
          <w:szCs w:val="21"/>
          <w:highlight w:val="none"/>
        </w:rPr>
        <w:t xml:space="preserve"> GB50168-2006</w:t>
      </w:r>
    </w:p>
    <w:p>
      <w:pPr>
        <w:spacing w:line="440" w:lineRule="exact"/>
        <w:rPr>
          <w:kern w:val="0"/>
          <w:szCs w:val="21"/>
          <w:highlight w:val="none"/>
        </w:rPr>
      </w:pPr>
      <w:r>
        <w:rPr>
          <w:kern w:val="0"/>
          <w:szCs w:val="21"/>
          <w:highlight w:val="none"/>
        </w:rPr>
        <w:t xml:space="preserve">    </w:t>
      </w:r>
      <w:r>
        <w:rPr>
          <w:rFonts w:hint="eastAsia"/>
          <w:kern w:val="0"/>
          <w:szCs w:val="21"/>
          <w:highlight w:val="none"/>
        </w:rPr>
        <w:t>电气装置安装工程</w:t>
      </w:r>
      <w:r>
        <w:rPr>
          <w:kern w:val="0"/>
          <w:szCs w:val="21"/>
          <w:highlight w:val="none"/>
        </w:rPr>
        <w:t xml:space="preserve"> </w:t>
      </w:r>
      <w:r>
        <w:rPr>
          <w:rFonts w:hint="eastAsia"/>
          <w:kern w:val="0"/>
          <w:szCs w:val="21"/>
          <w:highlight w:val="none"/>
        </w:rPr>
        <w:t>接地装置施工及验收规范</w:t>
      </w:r>
      <w:r>
        <w:rPr>
          <w:kern w:val="0"/>
          <w:szCs w:val="21"/>
          <w:highlight w:val="none"/>
        </w:rPr>
        <w:t xml:space="preserve"> GB50169-2016</w:t>
      </w:r>
    </w:p>
    <w:p>
      <w:pPr>
        <w:spacing w:line="440" w:lineRule="exact"/>
        <w:rPr>
          <w:kern w:val="0"/>
          <w:szCs w:val="21"/>
          <w:highlight w:val="none"/>
        </w:rPr>
      </w:pPr>
      <w:r>
        <w:rPr>
          <w:kern w:val="0"/>
          <w:szCs w:val="21"/>
          <w:highlight w:val="none"/>
        </w:rPr>
        <w:t xml:space="preserve">    </w:t>
      </w:r>
      <w:r>
        <w:rPr>
          <w:rFonts w:hint="eastAsia"/>
          <w:kern w:val="0"/>
          <w:szCs w:val="21"/>
          <w:highlight w:val="none"/>
        </w:rPr>
        <w:t>建设工程施工现场供用电安全规范</w:t>
      </w:r>
      <w:r>
        <w:rPr>
          <w:kern w:val="0"/>
          <w:szCs w:val="21"/>
          <w:highlight w:val="none"/>
        </w:rPr>
        <w:t xml:space="preserve"> GB50194-2014</w:t>
      </w:r>
    </w:p>
    <w:p>
      <w:pPr>
        <w:spacing w:line="440" w:lineRule="exact"/>
        <w:rPr>
          <w:kern w:val="0"/>
          <w:szCs w:val="21"/>
          <w:highlight w:val="none"/>
        </w:rPr>
      </w:pPr>
      <w:r>
        <w:rPr>
          <w:kern w:val="0"/>
          <w:szCs w:val="21"/>
          <w:highlight w:val="none"/>
        </w:rPr>
        <w:t xml:space="preserve">    </w:t>
      </w:r>
      <w:r>
        <w:rPr>
          <w:rFonts w:hint="eastAsia"/>
          <w:kern w:val="0"/>
          <w:szCs w:val="21"/>
          <w:highlight w:val="none"/>
        </w:rPr>
        <w:t>民用闭路监视电视系统工程技术规范</w:t>
      </w:r>
      <w:r>
        <w:rPr>
          <w:kern w:val="0"/>
          <w:szCs w:val="21"/>
          <w:highlight w:val="none"/>
        </w:rPr>
        <w:t xml:space="preserve"> GB50198-2011</w:t>
      </w:r>
    </w:p>
    <w:p>
      <w:pPr>
        <w:spacing w:line="440" w:lineRule="exact"/>
        <w:rPr>
          <w:kern w:val="0"/>
          <w:szCs w:val="21"/>
          <w:highlight w:val="none"/>
        </w:rPr>
      </w:pPr>
      <w:r>
        <w:rPr>
          <w:kern w:val="0"/>
          <w:szCs w:val="21"/>
          <w:highlight w:val="none"/>
        </w:rPr>
        <w:t xml:space="preserve">    </w:t>
      </w:r>
      <w:r>
        <w:rPr>
          <w:rFonts w:hint="eastAsia"/>
          <w:kern w:val="0"/>
          <w:szCs w:val="21"/>
          <w:highlight w:val="none"/>
        </w:rPr>
        <w:t>有线电视系统工程技术规范</w:t>
      </w:r>
      <w:r>
        <w:rPr>
          <w:kern w:val="0"/>
          <w:szCs w:val="21"/>
          <w:highlight w:val="none"/>
        </w:rPr>
        <w:t xml:space="preserve"> GB50200-1994</w:t>
      </w:r>
    </w:p>
    <w:p>
      <w:pPr>
        <w:spacing w:line="440" w:lineRule="exact"/>
        <w:rPr>
          <w:kern w:val="0"/>
          <w:szCs w:val="21"/>
          <w:highlight w:val="none"/>
        </w:rPr>
      </w:pPr>
      <w:r>
        <w:rPr>
          <w:kern w:val="0"/>
          <w:szCs w:val="21"/>
          <w:highlight w:val="none"/>
        </w:rPr>
        <w:t xml:space="preserve">    </w:t>
      </w:r>
      <w:r>
        <w:rPr>
          <w:rFonts w:hint="eastAsia"/>
          <w:kern w:val="0"/>
          <w:szCs w:val="21"/>
          <w:highlight w:val="none"/>
        </w:rPr>
        <w:t>电气装置安装工程</w:t>
      </w:r>
      <w:r>
        <w:rPr>
          <w:kern w:val="0"/>
          <w:szCs w:val="21"/>
          <w:highlight w:val="none"/>
        </w:rPr>
        <w:t xml:space="preserve"> </w:t>
      </w:r>
      <w:r>
        <w:rPr>
          <w:rFonts w:hint="eastAsia"/>
          <w:kern w:val="0"/>
          <w:szCs w:val="21"/>
          <w:highlight w:val="none"/>
        </w:rPr>
        <w:t>低压电器施工及验收规范</w:t>
      </w:r>
      <w:r>
        <w:rPr>
          <w:kern w:val="0"/>
          <w:szCs w:val="21"/>
          <w:highlight w:val="none"/>
        </w:rPr>
        <w:t xml:space="preserve"> GB50254-2014 </w:t>
      </w:r>
    </w:p>
    <w:p>
      <w:pPr>
        <w:spacing w:line="440" w:lineRule="exact"/>
        <w:rPr>
          <w:kern w:val="0"/>
          <w:szCs w:val="21"/>
          <w:highlight w:val="none"/>
        </w:rPr>
      </w:pPr>
      <w:r>
        <w:rPr>
          <w:kern w:val="0"/>
          <w:szCs w:val="21"/>
          <w:highlight w:val="none"/>
        </w:rPr>
        <w:t xml:space="preserve">    </w:t>
      </w:r>
      <w:r>
        <w:rPr>
          <w:rFonts w:hint="eastAsia"/>
          <w:kern w:val="0"/>
          <w:szCs w:val="21"/>
          <w:highlight w:val="none"/>
        </w:rPr>
        <w:t>电气装置安装工程</w:t>
      </w:r>
      <w:r>
        <w:rPr>
          <w:kern w:val="0"/>
          <w:szCs w:val="21"/>
          <w:highlight w:val="none"/>
        </w:rPr>
        <w:t xml:space="preserve"> </w:t>
      </w:r>
      <w:r>
        <w:rPr>
          <w:rFonts w:hint="eastAsia"/>
          <w:kern w:val="0"/>
          <w:szCs w:val="21"/>
          <w:highlight w:val="none"/>
        </w:rPr>
        <w:t>电力变流设备施工及验收规范</w:t>
      </w:r>
      <w:r>
        <w:rPr>
          <w:kern w:val="0"/>
          <w:szCs w:val="21"/>
          <w:highlight w:val="none"/>
        </w:rPr>
        <w:t xml:space="preserve"> GB50255-2014</w:t>
      </w:r>
    </w:p>
    <w:p>
      <w:pPr>
        <w:spacing w:line="440" w:lineRule="exact"/>
        <w:rPr>
          <w:kern w:val="0"/>
          <w:szCs w:val="21"/>
          <w:highlight w:val="none"/>
        </w:rPr>
      </w:pPr>
      <w:r>
        <w:rPr>
          <w:kern w:val="0"/>
          <w:szCs w:val="21"/>
          <w:highlight w:val="none"/>
        </w:rPr>
        <w:t xml:space="preserve">    </w:t>
      </w:r>
      <w:r>
        <w:rPr>
          <w:rFonts w:hint="eastAsia"/>
          <w:kern w:val="0"/>
          <w:szCs w:val="21"/>
          <w:highlight w:val="none"/>
        </w:rPr>
        <w:t>电气装置安装工程</w:t>
      </w:r>
      <w:r>
        <w:rPr>
          <w:kern w:val="0"/>
          <w:szCs w:val="21"/>
          <w:highlight w:val="none"/>
        </w:rPr>
        <w:t xml:space="preserve"> </w:t>
      </w:r>
      <w:r>
        <w:rPr>
          <w:rFonts w:hint="eastAsia"/>
          <w:kern w:val="0"/>
          <w:szCs w:val="21"/>
          <w:highlight w:val="none"/>
        </w:rPr>
        <w:t>起重机电器装置施工及验收规范</w:t>
      </w:r>
      <w:r>
        <w:rPr>
          <w:kern w:val="0"/>
          <w:szCs w:val="21"/>
          <w:highlight w:val="none"/>
        </w:rPr>
        <w:t xml:space="preserve"> GB50256-2014</w:t>
      </w:r>
    </w:p>
    <w:p>
      <w:pPr>
        <w:spacing w:line="440" w:lineRule="exact"/>
        <w:rPr>
          <w:kern w:val="0"/>
          <w:szCs w:val="21"/>
          <w:highlight w:val="none"/>
        </w:rPr>
      </w:pPr>
      <w:r>
        <w:rPr>
          <w:kern w:val="0"/>
          <w:szCs w:val="21"/>
          <w:highlight w:val="none"/>
        </w:rPr>
        <w:t xml:space="preserve">    </w:t>
      </w:r>
      <w:r>
        <w:rPr>
          <w:rFonts w:hint="eastAsia"/>
          <w:kern w:val="0"/>
          <w:szCs w:val="21"/>
          <w:highlight w:val="none"/>
        </w:rPr>
        <w:t>电气装置安装工程</w:t>
      </w:r>
      <w:r>
        <w:rPr>
          <w:kern w:val="0"/>
          <w:szCs w:val="21"/>
          <w:highlight w:val="none"/>
        </w:rPr>
        <w:t xml:space="preserve"> </w:t>
      </w:r>
      <w:r>
        <w:rPr>
          <w:rFonts w:hint="eastAsia"/>
          <w:kern w:val="0"/>
          <w:szCs w:val="21"/>
          <w:highlight w:val="none"/>
        </w:rPr>
        <w:t>爆炸和火灾危险环境电气装置施工及验收规范</w:t>
      </w:r>
      <w:r>
        <w:rPr>
          <w:kern w:val="0"/>
          <w:szCs w:val="21"/>
          <w:highlight w:val="none"/>
        </w:rPr>
        <w:t xml:space="preserve"> GB50257-2014</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建筑电气工程施工质量验收规范</w:t>
      </w:r>
      <w:r>
        <w:rPr>
          <w:kern w:val="0"/>
          <w:szCs w:val="21"/>
          <w:highlight w:val="none"/>
        </w:rPr>
        <w:t xml:space="preserve"> GB50303-2015</w:t>
      </w:r>
    </w:p>
    <w:p>
      <w:pPr>
        <w:spacing w:line="440" w:lineRule="exact"/>
        <w:rPr>
          <w:kern w:val="0"/>
          <w:szCs w:val="21"/>
          <w:highlight w:val="none"/>
        </w:rPr>
      </w:pPr>
      <w:r>
        <w:rPr>
          <w:kern w:val="0"/>
          <w:szCs w:val="21"/>
          <w:highlight w:val="none"/>
        </w:rPr>
        <w:t xml:space="preserve">    </w:t>
      </w:r>
      <w:r>
        <w:rPr>
          <w:rFonts w:hint="eastAsia"/>
          <w:kern w:val="0"/>
          <w:szCs w:val="21"/>
          <w:highlight w:val="none"/>
        </w:rPr>
        <w:t>综合布线系统工程验收规范</w:t>
      </w:r>
      <w:r>
        <w:rPr>
          <w:kern w:val="0"/>
          <w:szCs w:val="21"/>
          <w:highlight w:val="none"/>
        </w:rPr>
        <w:t xml:space="preserve"> GB/T50312-2016</w:t>
      </w:r>
    </w:p>
    <w:p>
      <w:pPr>
        <w:spacing w:line="440" w:lineRule="exact"/>
        <w:rPr>
          <w:kern w:val="0"/>
          <w:szCs w:val="21"/>
          <w:highlight w:val="none"/>
        </w:rPr>
      </w:pPr>
      <w:r>
        <w:rPr>
          <w:kern w:val="0"/>
          <w:szCs w:val="21"/>
          <w:highlight w:val="none"/>
        </w:rPr>
        <w:t xml:space="preserve">    </w:t>
      </w:r>
      <w:r>
        <w:rPr>
          <w:rFonts w:hint="eastAsia"/>
          <w:kern w:val="0"/>
          <w:szCs w:val="21"/>
          <w:highlight w:val="none"/>
        </w:rPr>
        <w:t>智能建筑工程质量验收规范</w:t>
      </w:r>
      <w:r>
        <w:rPr>
          <w:kern w:val="0"/>
          <w:szCs w:val="21"/>
          <w:highlight w:val="none"/>
        </w:rPr>
        <w:t xml:space="preserve"> GB50339-2013  </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建筑物电子信息系统防雷技术规范</w:t>
      </w:r>
      <w:r>
        <w:rPr>
          <w:kern w:val="0"/>
          <w:szCs w:val="21"/>
          <w:highlight w:val="none"/>
        </w:rPr>
        <w:t xml:space="preserve"> GB50343-2012</w:t>
      </w:r>
    </w:p>
    <w:p>
      <w:pPr>
        <w:spacing w:line="440" w:lineRule="exact"/>
        <w:rPr>
          <w:kern w:val="0"/>
          <w:szCs w:val="21"/>
          <w:highlight w:val="none"/>
        </w:rPr>
      </w:pPr>
      <w:r>
        <w:rPr>
          <w:kern w:val="0"/>
          <w:szCs w:val="21"/>
          <w:highlight w:val="none"/>
        </w:rPr>
        <w:t xml:space="preserve">    </w:t>
      </w:r>
      <w:r>
        <w:rPr>
          <w:rFonts w:hint="eastAsia"/>
          <w:kern w:val="0"/>
          <w:szCs w:val="21"/>
          <w:highlight w:val="none"/>
        </w:rPr>
        <w:t>灯具</w:t>
      </w:r>
      <w:r>
        <w:rPr>
          <w:kern w:val="0"/>
          <w:szCs w:val="21"/>
          <w:highlight w:val="none"/>
        </w:rPr>
        <w:t xml:space="preserve"> </w:t>
      </w:r>
      <w:r>
        <w:rPr>
          <w:rFonts w:hint="eastAsia"/>
          <w:kern w:val="0"/>
          <w:szCs w:val="21"/>
          <w:highlight w:val="none"/>
        </w:rPr>
        <w:t>第</w:t>
      </w:r>
      <w:r>
        <w:rPr>
          <w:kern w:val="0"/>
          <w:szCs w:val="21"/>
          <w:highlight w:val="none"/>
        </w:rPr>
        <w:t>1</w:t>
      </w:r>
      <w:r>
        <w:rPr>
          <w:rFonts w:hint="eastAsia"/>
          <w:kern w:val="0"/>
          <w:szCs w:val="21"/>
          <w:highlight w:val="none"/>
        </w:rPr>
        <w:t>部分：一般要求与试验</w:t>
      </w:r>
      <w:r>
        <w:rPr>
          <w:kern w:val="0"/>
          <w:szCs w:val="21"/>
          <w:highlight w:val="none"/>
        </w:rPr>
        <w:t xml:space="preserve"> GB7000.1-2015</w:t>
      </w:r>
    </w:p>
    <w:p>
      <w:pPr>
        <w:spacing w:line="440" w:lineRule="exact"/>
        <w:rPr>
          <w:kern w:val="0"/>
          <w:szCs w:val="21"/>
          <w:highlight w:val="none"/>
        </w:rPr>
      </w:pPr>
      <w:r>
        <w:rPr>
          <w:kern w:val="0"/>
          <w:szCs w:val="21"/>
          <w:highlight w:val="none"/>
        </w:rPr>
        <w:t xml:space="preserve">    </w:t>
      </w:r>
      <w:r>
        <w:rPr>
          <w:rFonts w:hint="eastAsia"/>
          <w:kern w:val="0"/>
          <w:szCs w:val="21"/>
          <w:highlight w:val="none"/>
        </w:rPr>
        <w:t>灯具</w:t>
      </w:r>
      <w:r>
        <w:rPr>
          <w:kern w:val="0"/>
          <w:szCs w:val="21"/>
          <w:highlight w:val="none"/>
        </w:rPr>
        <w:t xml:space="preserve"> </w:t>
      </w:r>
      <w:r>
        <w:rPr>
          <w:rFonts w:hint="eastAsia"/>
          <w:kern w:val="0"/>
          <w:szCs w:val="21"/>
          <w:highlight w:val="none"/>
        </w:rPr>
        <w:t>第</w:t>
      </w:r>
      <w:r>
        <w:rPr>
          <w:kern w:val="0"/>
          <w:szCs w:val="21"/>
          <w:highlight w:val="none"/>
        </w:rPr>
        <w:t>2-22</w:t>
      </w:r>
      <w:r>
        <w:rPr>
          <w:rFonts w:hint="eastAsia"/>
          <w:kern w:val="0"/>
          <w:szCs w:val="21"/>
          <w:highlight w:val="none"/>
        </w:rPr>
        <w:t>部分：特殊要求</w:t>
      </w:r>
      <w:r>
        <w:rPr>
          <w:kern w:val="0"/>
          <w:szCs w:val="21"/>
          <w:highlight w:val="none"/>
        </w:rPr>
        <w:t xml:space="preserve"> </w:t>
      </w:r>
      <w:r>
        <w:rPr>
          <w:rFonts w:hint="eastAsia"/>
          <w:kern w:val="0"/>
          <w:szCs w:val="21"/>
          <w:highlight w:val="none"/>
        </w:rPr>
        <w:t>应急照明灯具</w:t>
      </w:r>
      <w:r>
        <w:rPr>
          <w:kern w:val="0"/>
          <w:szCs w:val="21"/>
          <w:highlight w:val="none"/>
        </w:rPr>
        <w:t>GB7000.2-2008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灯具</w:t>
      </w:r>
      <w:r>
        <w:rPr>
          <w:kern w:val="0"/>
          <w:szCs w:val="21"/>
          <w:highlight w:val="none"/>
        </w:rPr>
        <w:t xml:space="preserve"> </w:t>
      </w:r>
      <w:r>
        <w:rPr>
          <w:rFonts w:hint="eastAsia"/>
          <w:kern w:val="0"/>
          <w:szCs w:val="21"/>
          <w:highlight w:val="none"/>
        </w:rPr>
        <w:t>第</w:t>
      </w:r>
      <w:r>
        <w:rPr>
          <w:kern w:val="0"/>
          <w:szCs w:val="21"/>
          <w:highlight w:val="none"/>
        </w:rPr>
        <w:t>2-10</w:t>
      </w:r>
      <w:r>
        <w:rPr>
          <w:rFonts w:hint="eastAsia"/>
          <w:kern w:val="0"/>
          <w:szCs w:val="21"/>
          <w:highlight w:val="none"/>
        </w:rPr>
        <w:t>部分：特殊要求</w:t>
      </w:r>
      <w:r>
        <w:rPr>
          <w:kern w:val="0"/>
          <w:szCs w:val="21"/>
          <w:highlight w:val="none"/>
        </w:rPr>
        <w:t xml:space="preserve"> </w:t>
      </w:r>
      <w:r>
        <w:rPr>
          <w:rFonts w:hint="eastAsia"/>
          <w:kern w:val="0"/>
          <w:szCs w:val="21"/>
          <w:highlight w:val="none"/>
        </w:rPr>
        <w:t>儿童用可移式灯具</w:t>
      </w:r>
      <w:r>
        <w:rPr>
          <w:kern w:val="0"/>
          <w:szCs w:val="21"/>
          <w:highlight w:val="none"/>
        </w:rPr>
        <w:t>GB 7000.4-2007</w:t>
      </w:r>
    </w:p>
    <w:p>
      <w:pPr>
        <w:spacing w:line="440" w:lineRule="exact"/>
        <w:rPr>
          <w:kern w:val="0"/>
          <w:szCs w:val="21"/>
          <w:highlight w:val="none"/>
        </w:rPr>
      </w:pPr>
      <w:r>
        <w:rPr>
          <w:kern w:val="0"/>
          <w:szCs w:val="21"/>
          <w:highlight w:val="none"/>
        </w:rPr>
        <w:t xml:space="preserve">    </w:t>
      </w:r>
      <w:r>
        <w:rPr>
          <w:rFonts w:hint="eastAsia"/>
          <w:kern w:val="0"/>
          <w:szCs w:val="21"/>
          <w:highlight w:val="none"/>
        </w:rPr>
        <w:t>灯具</w:t>
      </w:r>
      <w:r>
        <w:rPr>
          <w:kern w:val="0"/>
          <w:szCs w:val="21"/>
          <w:highlight w:val="none"/>
        </w:rPr>
        <w:t xml:space="preserve"> </w:t>
      </w:r>
      <w:r>
        <w:rPr>
          <w:rFonts w:hint="eastAsia"/>
          <w:kern w:val="0"/>
          <w:szCs w:val="21"/>
          <w:highlight w:val="none"/>
        </w:rPr>
        <w:t>第</w:t>
      </w:r>
      <w:r>
        <w:rPr>
          <w:kern w:val="0"/>
          <w:szCs w:val="21"/>
          <w:highlight w:val="none"/>
        </w:rPr>
        <w:t>2-6</w:t>
      </w:r>
      <w:r>
        <w:rPr>
          <w:rFonts w:hint="eastAsia"/>
          <w:kern w:val="0"/>
          <w:szCs w:val="21"/>
          <w:highlight w:val="none"/>
        </w:rPr>
        <w:t>部分：特殊要求</w:t>
      </w:r>
      <w:r>
        <w:rPr>
          <w:kern w:val="0"/>
          <w:szCs w:val="21"/>
          <w:highlight w:val="none"/>
        </w:rPr>
        <w:t xml:space="preserve"> </w:t>
      </w:r>
      <w:r>
        <w:rPr>
          <w:rFonts w:hint="eastAsia"/>
          <w:kern w:val="0"/>
          <w:szCs w:val="21"/>
          <w:highlight w:val="none"/>
        </w:rPr>
        <w:t>带内装式钨丝灯变压器或转换器的灯具</w:t>
      </w:r>
      <w:r>
        <w:rPr>
          <w:kern w:val="0"/>
          <w:szCs w:val="21"/>
          <w:highlight w:val="none"/>
        </w:rPr>
        <w:t>GB 7000.4-2008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消防应急照明和疏散指示系统</w:t>
      </w:r>
      <w:r>
        <w:rPr>
          <w:kern w:val="0"/>
          <w:szCs w:val="21"/>
          <w:highlight w:val="none"/>
        </w:rPr>
        <w:t xml:space="preserve"> GB17945-2010</w:t>
      </w:r>
    </w:p>
    <w:p>
      <w:pPr>
        <w:spacing w:line="440" w:lineRule="exact"/>
        <w:rPr>
          <w:kern w:val="0"/>
          <w:szCs w:val="21"/>
          <w:highlight w:val="none"/>
        </w:rPr>
      </w:pPr>
      <w:r>
        <w:rPr>
          <w:kern w:val="0"/>
          <w:szCs w:val="21"/>
          <w:highlight w:val="none"/>
        </w:rPr>
        <w:t xml:space="preserve">    </w:t>
      </w:r>
      <w:r>
        <w:rPr>
          <w:rFonts w:hint="eastAsia"/>
          <w:kern w:val="0"/>
          <w:szCs w:val="21"/>
          <w:highlight w:val="none"/>
        </w:rPr>
        <w:t>施工现场临时用电安全技术规范</w:t>
      </w:r>
      <w:r>
        <w:rPr>
          <w:kern w:val="0"/>
          <w:szCs w:val="21"/>
          <w:highlight w:val="none"/>
        </w:rPr>
        <w:t xml:space="preserve"> JGJ46-2005</w:t>
      </w:r>
    </w:p>
    <w:p>
      <w:pPr>
        <w:spacing w:line="440" w:lineRule="exact"/>
        <w:rPr>
          <w:b/>
          <w:kern w:val="0"/>
          <w:szCs w:val="21"/>
          <w:highlight w:val="none"/>
        </w:rPr>
      </w:pPr>
      <w:r>
        <w:rPr>
          <w:b/>
          <w:kern w:val="0"/>
          <w:szCs w:val="21"/>
          <w:highlight w:val="none"/>
        </w:rPr>
        <w:t xml:space="preserve">    3</w:t>
      </w:r>
      <w:r>
        <w:rPr>
          <w:rFonts w:hint="eastAsia"/>
          <w:b/>
          <w:kern w:val="0"/>
          <w:szCs w:val="21"/>
          <w:highlight w:val="none"/>
        </w:rPr>
        <w:t>、土建</w:t>
      </w:r>
    </w:p>
    <w:p>
      <w:pPr>
        <w:spacing w:line="440" w:lineRule="exact"/>
        <w:rPr>
          <w:kern w:val="0"/>
          <w:szCs w:val="21"/>
          <w:highlight w:val="none"/>
        </w:rPr>
      </w:pPr>
      <w:r>
        <w:rPr>
          <w:kern w:val="0"/>
          <w:szCs w:val="21"/>
          <w:highlight w:val="none"/>
        </w:rPr>
        <w:t xml:space="preserve">    </w:t>
      </w:r>
      <w:r>
        <w:rPr>
          <w:rFonts w:hint="eastAsia"/>
          <w:kern w:val="0"/>
          <w:szCs w:val="21"/>
          <w:highlight w:val="none"/>
        </w:rPr>
        <w:t>砌体结构工程施工质量验收规范</w:t>
      </w:r>
      <w:r>
        <w:rPr>
          <w:kern w:val="0"/>
          <w:szCs w:val="21"/>
          <w:highlight w:val="none"/>
        </w:rPr>
        <w:t xml:space="preserve"> GB50203-2011</w:t>
      </w:r>
    </w:p>
    <w:p>
      <w:pPr>
        <w:spacing w:line="440" w:lineRule="exact"/>
        <w:rPr>
          <w:kern w:val="0"/>
          <w:szCs w:val="21"/>
          <w:highlight w:val="none"/>
        </w:rPr>
      </w:pPr>
      <w:r>
        <w:rPr>
          <w:kern w:val="0"/>
          <w:szCs w:val="21"/>
          <w:highlight w:val="none"/>
        </w:rPr>
        <w:t xml:space="preserve">    </w:t>
      </w:r>
      <w:r>
        <w:rPr>
          <w:rFonts w:hint="eastAsia"/>
          <w:kern w:val="0"/>
          <w:szCs w:val="21"/>
          <w:highlight w:val="none"/>
        </w:rPr>
        <w:t>屋面工程质量验收规范</w:t>
      </w:r>
      <w:r>
        <w:rPr>
          <w:kern w:val="0"/>
          <w:szCs w:val="21"/>
          <w:highlight w:val="none"/>
        </w:rPr>
        <w:t xml:space="preserve"> GB50207-2012</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建筑地面工程施工质量验收规范</w:t>
      </w:r>
      <w:r>
        <w:rPr>
          <w:kern w:val="0"/>
          <w:szCs w:val="21"/>
          <w:highlight w:val="none"/>
        </w:rPr>
        <w:t xml:space="preserve"> GB50209-2010</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建筑装饰装修工程质量验收规范</w:t>
      </w:r>
      <w:r>
        <w:rPr>
          <w:kern w:val="0"/>
          <w:szCs w:val="21"/>
          <w:highlight w:val="none"/>
        </w:rPr>
        <w:t xml:space="preserve"> GB50210-2001</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建筑防腐蚀工程施工</w:t>
      </w:r>
      <w:r>
        <w:rPr>
          <w:kern w:val="0"/>
          <w:szCs w:val="21"/>
          <w:highlight w:val="none"/>
        </w:rPr>
        <w:t>GB50212-2014</w:t>
      </w:r>
    </w:p>
    <w:p>
      <w:pPr>
        <w:spacing w:line="440" w:lineRule="exact"/>
        <w:rPr>
          <w:kern w:val="0"/>
          <w:szCs w:val="21"/>
          <w:highlight w:val="none"/>
        </w:rPr>
      </w:pPr>
      <w:r>
        <w:rPr>
          <w:kern w:val="0"/>
          <w:szCs w:val="21"/>
          <w:highlight w:val="none"/>
        </w:rPr>
        <w:t xml:space="preserve">    </w:t>
      </w:r>
      <w:r>
        <w:rPr>
          <w:rFonts w:hint="eastAsia"/>
          <w:kern w:val="0"/>
          <w:szCs w:val="21"/>
          <w:highlight w:val="none"/>
        </w:rPr>
        <w:t>砌体工程现场检测技术标准</w:t>
      </w:r>
      <w:r>
        <w:rPr>
          <w:kern w:val="0"/>
          <w:szCs w:val="21"/>
          <w:highlight w:val="none"/>
        </w:rPr>
        <w:t xml:space="preserve"> GB/T 50315-2011</w:t>
      </w:r>
    </w:p>
    <w:p>
      <w:pPr>
        <w:spacing w:line="440" w:lineRule="exact"/>
        <w:rPr>
          <w:kern w:val="0"/>
          <w:szCs w:val="21"/>
          <w:highlight w:val="none"/>
        </w:rPr>
      </w:pPr>
      <w:r>
        <w:rPr>
          <w:kern w:val="0"/>
          <w:szCs w:val="21"/>
          <w:highlight w:val="none"/>
        </w:rPr>
        <w:t xml:space="preserve">    </w:t>
      </w:r>
      <w:r>
        <w:rPr>
          <w:rFonts w:hint="eastAsia"/>
          <w:kern w:val="0"/>
          <w:szCs w:val="21"/>
          <w:highlight w:val="none"/>
        </w:rPr>
        <w:t>民用建筑工程室内环境污染控制规范（</w:t>
      </w:r>
      <w:r>
        <w:rPr>
          <w:kern w:val="0"/>
          <w:szCs w:val="21"/>
          <w:highlight w:val="none"/>
        </w:rPr>
        <w:t>2013</w:t>
      </w:r>
      <w:r>
        <w:rPr>
          <w:rFonts w:hint="eastAsia"/>
          <w:kern w:val="0"/>
          <w:szCs w:val="21"/>
          <w:highlight w:val="none"/>
        </w:rPr>
        <w:t>版）</w:t>
      </w:r>
      <w:r>
        <w:rPr>
          <w:kern w:val="0"/>
          <w:szCs w:val="21"/>
          <w:highlight w:val="none"/>
        </w:rPr>
        <w:t xml:space="preserve"> GB50325-2010</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建筑内部装修防火施工及验收规范</w:t>
      </w:r>
      <w:r>
        <w:rPr>
          <w:kern w:val="0"/>
          <w:szCs w:val="21"/>
          <w:highlight w:val="none"/>
        </w:rPr>
        <w:t xml:space="preserve"> GB50354-2005</w:t>
      </w:r>
    </w:p>
    <w:p>
      <w:pPr>
        <w:spacing w:line="440" w:lineRule="exact"/>
        <w:rPr>
          <w:kern w:val="0"/>
          <w:szCs w:val="21"/>
          <w:highlight w:val="none"/>
        </w:rPr>
      </w:pPr>
      <w:r>
        <w:rPr>
          <w:kern w:val="0"/>
          <w:szCs w:val="21"/>
          <w:highlight w:val="none"/>
        </w:rPr>
        <w:t xml:space="preserve">    </w:t>
      </w:r>
      <w:r>
        <w:rPr>
          <w:rFonts w:hint="eastAsia"/>
          <w:kern w:val="0"/>
          <w:szCs w:val="21"/>
          <w:highlight w:val="none"/>
        </w:rPr>
        <w:t>混凝土结构加固设计规范</w:t>
      </w:r>
      <w:r>
        <w:rPr>
          <w:kern w:val="0"/>
          <w:szCs w:val="21"/>
          <w:highlight w:val="none"/>
        </w:rPr>
        <w:t xml:space="preserve"> GB50367-2013</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建筑工程施工质量评价标准</w:t>
      </w:r>
      <w:r>
        <w:rPr>
          <w:kern w:val="0"/>
          <w:szCs w:val="21"/>
          <w:highlight w:val="none"/>
        </w:rPr>
        <w:t xml:space="preserve"> GB/T50375-2016</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建筑外门窗气密、水密、抗风压性能分级及检测方法</w:t>
      </w:r>
      <w:r>
        <w:rPr>
          <w:kern w:val="0"/>
          <w:szCs w:val="21"/>
          <w:highlight w:val="none"/>
        </w:rPr>
        <w:t xml:space="preserve"> GB/T7106-2008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铝合金门窗</w:t>
      </w:r>
      <w:r>
        <w:rPr>
          <w:kern w:val="0"/>
          <w:szCs w:val="21"/>
          <w:highlight w:val="none"/>
        </w:rPr>
        <w:t xml:space="preserve"> GB/T8478-2003</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建筑外门窗保温性能分级及检测方法</w:t>
      </w:r>
      <w:r>
        <w:rPr>
          <w:kern w:val="0"/>
          <w:szCs w:val="21"/>
          <w:highlight w:val="none"/>
        </w:rPr>
        <w:t xml:space="preserve"> GB/T8484-2008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建筑门窗空气声隔声性能分级及检测方法</w:t>
      </w:r>
      <w:r>
        <w:rPr>
          <w:kern w:val="0"/>
          <w:szCs w:val="21"/>
          <w:highlight w:val="none"/>
        </w:rPr>
        <w:t xml:space="preserve"> GB/T8485-2008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实木复合地板</w:t>
      </w:r>
      <w:r>
        <w:rPr>
          <w:kern w:val="0"/>
          <w:szCs w:val="21"/>
          <w:highlight w:val="none"/>
        </w:rPr>
        <w:t xml:space="preserve"> GB/T 18103-2013</w:t>
      </w:r>
    </w:p>
    <w:p>
      <w:pPr>
        <w:spacing w:line="440" w:lineRule="exact"/>
        <w:rPr>
          <w:kern w:val="0"/>
          <w:szCs w:val="21"/>
          <w:highlight w:val="none"/>
        </w:rPr>
      </w:pPr>
      <w:r>
        <w:rPr>
          <w:kern w:val="0"/>
          <w:szCs w:val="21"/>
          <w:highlight w:val="none"/>
        </w:rPr>
        <w:t xml:space="preserve">    </w:t>
      </w:r>
      <w:r>
        <w:rPr>
          <w:rFonts w:hint="eastAsia"/>
          <w:kern w:val="0"/>
          <w:szCs w:val="21"/>
          <w:highlight w:val="none"/>
        </w:rPr>
        <w:t>高分子防水材料第一部分：片材</w:t>
      </w:r>
      <w:r>
        <w:rPr>
          <w:kern w:val="0"/>
          <w:szCs w:val="21"/>
          <w:highlight w:val="none"/>
        </w:rPr>
        <w:t xml:space="preserve"> GB18173.1-2012</w:t>
      </w:r>
    </w:p>
    <w:p>
      <w:pPr>
        <w:spacing w:line="440" w:lineRule="exact"/>
        <w:rPr>
          <w:kern w:val="0"/>
          <w:szCs w:val="21"/>
          <w:highlight w:val="none"/>
        </w:rPr>
      </w:pPr>
      <w:r>
        <w:rPr>
          <w:kern w:val="0"/>
          <w:szCs w:val="21"/>
          <w:highlight w:val="none"/>
        </w:rPr>
        <w:t xml:space="preserve">    </w:t>
      </w:r>
      <w:r>
        <w:rPr>
          <w:rFonts w:hint="eastAsia"/>
          <w:kern w:val="0"/>
          <w:szCs w:val="21"/>
          <w:highlight w:val="none"/>
        </w:rPr>
        <w:t>弹性体改性沥青防水卷材</w:t>
      </w:r>
      <w:r>
        <w:rPr>
          <w:kern w:val="0"/>
          <w:szCs w:val="21"/>
          <w:highlight w:val="none"/>
        </w:rPr>
        <w:t xml:space="preserve"> GB18242-2008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塑性体改性沥青防水卷材</w:t>
      </w:r>
      <w:r>
        <w:rPr>
          <w:kern w:val="0"/>
          <w:szCs w:val="21"/>
          <w:highlight w:val="none"/>
        </w:rPr>
        <w:t xml:space="preserve"> GB18243-2008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水泥基渗透结晶型防水材料</w:t>
      </w:r>
      <w:r>
        <w:rPr>
          <w:kern w:val="0"/>
          <w:szCs w:val="21"/>
          <w:highlight w:val="none"/>
        </w:rPr>
        <w:t xml:space="preserve"> GB18445-2012</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室内装饰装修材料人造板及其制品中甲醛释放限量</w:t>
      </w:r>
      <w:r>
        <w:rPr>
          <w:kern w:val="0"/>
          <w:szCs w:val="21"/>
          <w:highlight w:val="none"/>
        </w:rPr>
        <w:t xml:space="preserve"> GB18580-2017</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室内装饰装修材料溶剂型木器涂料中有害物质限量</w:t>
      </w:r>
      <w:r>
        <w:rPr>
          <w:kern w:val="0"/>
          <w:szCs w:val="21"/>
          <w:highlight w:val="none"/>
        </w:rPr>
        <w:t xml:space="preserve"> GB18581-2009</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室内装饰装修材料内墙涂料中有害物质限量</w:t>
      </w:r>
      <w:r>
        <w:rPr>
          <w:kern w:val="0"/>
          <w:szCs w:val="21"/>
          <w:highlight w:val="none"/>
        </w:rPr>
        <w:t xml:space="preserve"> GB18582-2008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室内装饰装修材料胶粘剂中有害物质限量</w:t>
      </w:r>
      <w:r>
        <w:rPr>
          <w:kern w:val="0"/>
          <w:szCs w:val="21"/>
          <w:highlight w:val="none"/>
        </w:rPr>
        <w:t xml:space="preserve"> GB18583-2008</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室内装饰装修材料木家具中有害物质限量</w:t>
      </w:r>
      <w:r>
        <w:rPr>
          <w:kern w:val="0"/>
          <w:szCs w:val="21"/>
          <w:highlight w:val="none"/>
        </w:rPr>
        <w:t xml:space="preserve"> GB18584-2001</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室内装饰装修材料壁纸中有害物质限量</w:t>
      </w:r>
      <w:r>
        <w:rPr>
          <w:kern w:val="0"/>
          <w:szCs w:val="21"/>
          <w:highlight w:val="none"/>
        </w:rPr>
        <w:t xml:space="preserve"> GB18585-2001</w:t>
      </w:r>
    </w:p>
    <w:p>
      <w:pPr>
        <w:spacing w:line="440" w:lineRule="exact"/>
        <w:rPr>
          <w:kern w:val="0"/>
          <w:szCs w:val="21"/>
          <w:highlight w:val="none"/>
        </w:rPr>
      </w:pPr>
      <w:r>
        <w:rPr>
          <w:kern w:val="0"/>
          <w:szCs w:val="21"/>
          <w:highlight w:val="none"/>
        </w:rPr>
        <w:t xml:space="preserve">    </w:t>
      </w:r>
      <w:r>
        <w:rPr>
          <w:rFonts w:hint="eastAsia"/>
          <w:kern w:val="0"/>
          <w:szCs w:val="21"/>
          <w:highlight w:val="none"/>
        </w:rPr>
        <w:t>室内装饰装修材料聚氯乙烯卷材地板中有害物质限量</w:t>
      </w:r>
      <w:r>
        <w:rPr>
          <w:kern w:val="0"/>
          <w:szCs w:val="21"/>
          <w:highlight w:val="none"/>
        </w:rPr>
        <w:t xml:space="preserve"> GB18586-2001</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建筑工程冬期施工规程</w:t>
      </w:r>
      <w:r>
        <w:rPr>
          <w:kern w:val="0"/>
          <w:szCs w:val="21"/>
          <w:highlight w:val="none"/>
        </w:rPr>
        <w:t xml:space="preserve"> JGJ/T 104-2011</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建筑玻璃应用技术规程</w:t>
      </w:r>
      <w:r>
        <w:rPr>
          <w:kern w:val="0"/>
          <w:szCs w:val="21"/>
          <w:highlight w:val="none"/>
        </w:rPr>
        <w:t xml:space="preserve"> JGJ113-2015</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建筑抗震加固技术规程</w:t>
      </w:r>
      <w:r>
        <w:rPr>
          <w:kern w:val="0"/>
          <w:szCs w:val="21"/>
          <w:highlight w:val="none"/>
        </w:rPr>
        <w:t xml:space="preserve"> JGJ116-2009</w:t>
      </w:r>
    </w:p>
    <w:p>
      <w:pPr>
        <w:spacing w:line="440" w:lineRule="exact"/>
        <w:rPr>
          <w:kern w:val="0"/>
          <w:szCs w:val="21"/>
          <w:highlight w:val="none"/>
        </w:rPr>
      </w:pPr>
      <w:r>
        <w:rPr>
          <w:kern w:val="0"/>
          <w:szCs w:val="21"/>
          <w:highlight w:val="none"/>
        </w:rPr>
        <w:t xml:space="preserve">    </w:t>
      </w:r>
      <w:r>
        <w:rPr>
          <w:rFonts w:hint="eastAsia"/>
          <w:kern w:val="0"/>
          <w:szCs w:val="21"/>
          <w:highlight w:val="none"/>
        </w:rPr>
        <w:t>外墙饰面砖工程施工及验收规程</w:t>
      </w:r>
      <w:r>
        <w:rPr>
          <w:kern w:val="0"/>
          <w:szCs w:val="21"/>
          <w:highlight w:val="none"/>
        </w:rPr>
        <w:t xml:space="preserve"> JGJ 126-2015</w:t>
      </w:r>
    </w:p>
    <w:p>
      <w:pPr>
        <w:spacing w:line="440" w:lineRule="exact"/>
        <w:rPr>
          <w:kern w:val="0"/>
          <w:szCs w:val="21"/>
          <w:highlight w:val="none"/>
        </w:rPr>
      </w:pPr>
      <w:r>
        <w:rPr>
          <w:kern w:val="0"/>
          <w:szCs w:val="21"/>
          <w:highlight w:val="none"/>
        </w:rPr>
        <w:t xml:space="preserve">    </w:t>
      </w:r>
      <w:r>
        <w:rPr>
          <w:rFonts w:hint="eastAsia"/>
          <w:kern w:val="0"/>
          <w:szCs w:val="21"/>
          <w:highlight w:val="none"/>
        </w:rPr>
        <w:t>金属与石材幕墙工程技术规范</w:t>
      </w:r>
      <w:r>
        <w:rPr>
          <w:kern w:val="0"/>
          <w:szCs w:val="21"/>
          <w:highlight w:val="none"/>
        </w:rPr>
        <w:t xml:space="preserve"> JGJ133-2001</w:t>
      </w:r>
    </w:p>
    <w:p>
      <w:pPr>
        <w:spacing w:line="440" w:lineRule="exact"/>
        <w:rPr>
          <w:kern w:val="0"/>
          <w:szCs w:val="21"/>
          <w:highlight w:val="none"/>
        </w:rPr>
      </w:pPr>
      <w:r>
        <w:rPr>
          <w:kern w:val="0"/>
          <w:szCs w:val="21"/>
          <w:highlight w:val="none"/>
        </w:rPr>
        <w:t xml:space="preserve">    </w:t>
      </w:r>
      <w:r>
        <w:rPr>
          <w:rFonts w:hint="eastAsia"/>
          <w:kern w:val="0"/>
          <w:szCs w:val="21"/>
          <w:highlight w:val="none"/>
        </w:rPr>
        <w:t>玻璃幕墙工程质量检验标准</w:t>
      </w:r>
      <w:r>
        <w:rPr>
          <w:kern w:val="0"/>
          <w:szCs w:val="21"/>
          <w:highlight w:val="none"/>
        </w:rPr>
        <w:t xml:space="preserve"> JGJ/T139-2001</w:t>
      </w:r>
    </w:p>
    <w:p>
      <w:pPr>
        <w:spacing w:line="440" w:lineRule="exact"/>
        <w:rPr>
          <w:kern w:val="0"/>
          <w:szCs w:val="21"/>
          <w:highlight w:val="none"/>
        </w:rPr>
      </w:pPr>
      <w:r>
        <w:rPr>
          <w:kern w:val="0"/>
          <w:szCs w:val="21"/>
          <w:highlight w:val="none"/>
        </w:rPr>
        <w:t xml:space="preserve">    </w:t>
      </w:r>
      <w:r>
        <w:rPr>
          <w:rFonts w:hint="eastAsia"/>
          <w:kern w:val="0"/>
          <w:szCs w:val="21"/>
          <w:highlight w:val="none"/>
        </w:rPr>
        <w:t>外墙外保温工程技术规程</w:t>
      </w:r>
      <w:r>
        <w:rPr>
          <w:kern w:val="0"/>
          <w:szCs w:val="21"/>
          <w:highlight w:val="none"/>
        </w:rPr>
        <w:t xml:space="preserve"> JGJ144-2004</w:t>
      </w:r>
    </w:p>
    <w:p>
      <w:pPr>
        <w:spacing w:line="440" w:lineRule="exact"/>
        <w:rPr>
          <w:kern w:val="0"/>
          <w:szCs w:val="21"/>
          <w:highlight w:val="none"/>
        </w:rPr>
      </w:pPr>
      <w:r>
        <w:rPr>
          <w:rFonts w:ascii="瀹嬩綋" w:eastAsia="瀹嬩綋"/>
          <w:color w:val="000000"/>
          <w:szCs w:val="21"/>
          <w:highlight w:val="none"/>
          <w:shd w:val="clear" w:color="auto" w:fill="FFFFFF"/>
        </w:rPr>
        <w:t xml:space="preserve">    </w:t>
      </w:r>
      <w:r>
        <w:rPr>
          <w:rFonts w:hint="eastAsia" w:ascii="瀹嬩綋" w:eastAsia="瀹嬩綋"/>
          <w:color w:val="000000"/>
          <w:szCs w:val="21"/>
          <w:highlight w:val="none"/>
          <w:shd w:val="clear" w:color="auto" w:fill="FFFFFF"/>
        </w:rPr>
        <w:t>建设工程施工现场环境与卫生标准</w:t>
      </w:r>
      <w:r>
        <w:rPr>
          <w:kern w:val="0"/>
          <w:szCs w:val="21"/>
          <w:highlight w:val="none"/>
        </w:rPr>
        <w:t xml:space="preserve"> JGJ146-2013</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建筑拆除工程安全技术规范</w:t>
      </w:r>
      <w:r>
        <w:rPr>
          <w:kern w:val="0"/>
          <w:szCs w:val="21"/>
          <w:highlight w:val="none"/>
        </w:rPr>
        <w:t xml:space="preserve"> JGJ147-2016</w:t>
      </w:r>
    </w:p>
    <w:p>
      <w:pPr>
        <w:spacing w:line="440" w:lineRule="exact"/>
        <w:rPr>
          <w:kern w:val="0"/>
          <w:szCs w:val="21"/>
          <w:highlight w:val="none"/>
        </w:rPr>
      </w:pPr>
      <w:r>
        <w:rPr>
          <w:kern w:val="0"/>
          <w:szCs w:val="21"/>
          <w:highlight w:val="none"/>
        </w:rPr>
        <w:t xml:space="preserve">    </w:t>
      </w:r>
      <w:r>
        <w:rPr>
          <w:rFonts w:hint="eastAsia"/>
          <w:kern w:val="0"/>
          <w:szCs w:val="21"/>
          <w:highlight w:val="none"/>
        </w:rPr>
        <w:t>点支式玻璃幕墙工程技术规程（附条文说明）</w:t>
      </w:r>
      <w:r>
        <w:rPr>
          <w:kern w:val="0"/>
          <w:szCs w:val="21"/>
          <w:highlight w:val="none"/>
        </w:rPr>
        <w:t xml:space="preserve"> CECS127</w:t>
      </w:r>
      <w:r>
        <w:rPr>
          <w:rFonts w:hint="eastAsia"/>
          <w:kern w:val="0"/>
          <w:szCs w:val="21"/>
          <w:highlight w:val="none"/>
        </w:rPr>
        <w:t>：</w:t>
      </w:r>
      <w:r>
        <w:rPr>
          <w:kern w:val="0"/>
          <w:szCs w:val="21"/>
          <w:highlight w:val="none"/>
        </w:rPr>
        <w:t>2001</w:t>
      </w:r>
    </w:p>
    <w:p>
      <w:pPr>
        <w:spacing w:line="440" w:lineRule="exact"/>
        <w:rPr>
          <w:kern w:val="0"/>
          <w:szCs w:val="21"/>
          <w:highlight w:val="none"/>
        </w:rPr>
      </w:pPr>
      <w:r>
        <w:rPr>
          <w:rFonts w:ascii="瀹嬩綋" w:eastAsia="瀹嬩綋"/>
          <w:color w:val="000000"/>
          <w:szCs w:val="21"/>
          <w:highlight w:val="none"/>
          <w:shd w:val="clear" w:color="auto" w:fill="FFFFFF"/>
        </w:rPr>
        <w:t xml:space="preserve">    </w:t>
      </w:r>
      <w:r>
        <w:rPr>
          <w:rFonts w:hint="eastAsia" w:ascii="瀹嬩綋" w:eastAsia="瀹嬩綋"/>
          <w:color w:val="000000"/>
          <w:szCs w:val="21"/>
          <w:highlight w:val="none"/>
          <w:shd w:val="clear" w:color="auto" w:fill="FFFFFF"/>
        </w:rPr>
        <w:t>碳纤维片材加固混凝土结构技术规程</w:t>
      </w:r>
      <w:r>
        <w:rPr>
          <w:rFonts w:ascii="瀹嬩綋" w:eastAsia="瀹嬩綋"/>
          <w:color w:val="000000"/>
          <w:szCs w:val="21"/>
          <w:highlight w:val="none"/>
          <w:shd w:val="clear" w:color="auto" w:fill="FFFFFF"/>
        </w:rPr>
        <w:t>(2007</w:t>
      </w:r>
      <w:r>
        <w:rPr>
          <w:rFonts w:hint="eastAsia" w:ascii="瀹嬩綋" w:eastAsia="瀹嬩綋"/>
          <w:color w:val="000000"/>
          <w:szCs w:val="21"/>
          <w:highlight w:val="none"/>
          <w:shd w:val="clear" w:color="auto" w:fill="FFFFFF"/>
        </w:rPr>
        <w:t>年版</w:t>
      </w:r>
      <w:r>
        <w:rPr>
          <w:rFonts w:ascii="瀹嬩綋" w:eastAsia="瀹嬩綋"/>
          <w:color w:val="000000"/>
          <w:szCs w:val="21"/>
          <w:highlight w:val="none"/>
          <w:shd w:val="clear" w:color="auto" w:fill="FFFFFF"/>
        </w:rPr>
        <w:t>)</w:t>
      </w:r>
      <w:r>
        <w:rPr>
          <w:kern w:val="0"/>
          <w:szCs w:val="21"/>
          <w:highlight w:val="none"/>
        </w:rPr>
        <w:t xml:space="preserve"> CECS146</w:t>
      </w:r>
      <w:r>
        <w:rPr>
          <w:rFonts w:hint="eastAsia"/>
          <w:kern w:val="0"/>
          <w:szCs w:val="21"/>
          <w:highlight w:val="none"/>
        </w:rPr>
        <w:t>：</w:t>
      </w:r>
      <w:r>
        <w:rPr>
          <w:kern w:val="0"/>
          <w:szCs w:val="21"/>
          <w:highlight w:val="none"/>
        </w:rPr>
        <w:t>2003</w:t>
      </w:r>
    </w:p>
    <w:p>
      <w:pPr>
        <w:spacing w:line="440" w:lineRule="exact"/>
        <w:rPr>
          <w:kern w:val="0"/>
          <w:szCs w:val="21"/>
          <w:highlight w:val="none"/>
        </w:rPr>
      </w:pPr>
      <w:r>
        <w:rPr>
          <w:kern w:val="0"/>
          <w:szCs w:val="21"/>
          <w:highlight w:val="none"/>
        </w:rPr>
        <w:t xml:space="preserve">    </w:t>
      </w:r>
      <w:r>
        <w:rPr>
          <w:rFonts w:hint="eastAsia"/>
          <w:kern w:val="0"/>
          <w:szCs w:val="21"/>
          <w:highlight w:val="none"/>
        </w:rPr>
        <w:t>建筑防火封堵应用技术规程（附条文说明）</w:t>
      </w:r>
      <w:r>
        <w:rPr>
          <w:kern w:val="0"/>
          <w:szCs w:val="21"/>
          <w:highlight w:val="none"/>
        </w:rPr>
        <w:t xml:space="preserve"> CECS154</w:t>
      </w:r>
      <w:r>
        <w:rPr>
          <w:rFonts w:hint="eastAsia"/>
          <w:kern w:val="0"/>
          <w:szCs w:val="21"/>
          <w:highlight w:val="none"/>
        </w:rPr>
        <w:t>：</w:t>
      </w:r>
      <w:r>
        <w:rPr>
          <w:kern w:val="0"/>
          <w:szCs w:val="21"/>
          <w:highlight w:val="none"/>
        </w:rPr>
        <w:t>2003</w:t>
      </w:r>
    </w:p>
    <w:p>
      <w:pPr>
        <w:spacing w:line="440" w:lineRule="exact"/>
        <w:rPr>
          <w:kern w:val="0"/>
          <w:szCs w:val="21"/>
          <w:highlight w:val="none"/>
        </w:rPr>
      </w:pPr>
      <w:r>
        <w:rPr>
          <w:kern w:val="0"/>
          <w:szCs w:val="21"/>
          <w:highlight w:val="none"/>
        </w:rPr>
        <w:t xml:space="preserve">    </w:t>
      </w:r>
      <w:r>
        <w:rPr>
          <w:rFonts w:hint="eastAsia"/>
          <w:kern w:val="0"/>
          <w:szCs w:val="21"/>
          <w:highlight w:val="none"/>
        </w:rPr>
        <w:t>智能建筑工程检测规程</w:t>
      </w:r>
      <w:r>
        <w:rPr>
          <w:kern w:val="0"/>
          <w:szCs w:val="21"/>
          <w:highlight w:val="none"/>
        </w:rPr>
        <w:t xml:space="preserve"> CECS182</w:t>
      </w:r>
      <w:r>
        <w:rPr>
          <w:rFonts w:hint="eastAsia"/>
          <w:kern w:val="0"/>
          <w:szCs w:val="21"/>
          <w:highlight w:val="none"/>
        </w:rPr>
        <w:t>：</w:t>
      </w:r>
      <w:r>
        <w:rPr>
          <w:kern w:val="0"/>
          <w:szCs w:val="21"/>
          <w:highlight w:val="none"/>
        </w:rPr>
        <w:t>2005</w:t>
      </w:r>
    </w:p>
    <w:p>
      <w:pPr>
        <w:spacing w:line="440" w:lineRule="exact"/>
        <w:rPr>
          <w:b/>
          <w:kern w:val="0"/>
          <w:szCs w:val="21"/>
          <w:highlight w:val="none"/>
        </w:rPr>
      </w:pPr>
      <w:r>
        <w:rPr>
          <w:b/>
          <w:kern w:val="0"/>
          <w:szCs w:val="21"/>
          <w:highlight w:val="none"/>
        </w:rPr>
        <w:t xml:space="preserve">    </w:t>
      </w:r>
      <w:r>
        <w:rPr>
          <w:rFonts w:hint="eastAsia"/>
          <w:b/>
          <w:kern w:val="0"/>
          <w:szCs w:val="21"/>
          <w:highlight w:val="none"/>
        </w:rPr>
        <w:t>注：</w:t>
      </w:r>
      <w:r>
        <w:rPr>
          <w:b/>
          <w:kern w:val="0"/>
          <w:szCs w:val="21"/>
          <w:highlight w:val="none"/>
        </w:rPr>
        <w:t xml:space="preserve"> </w:t>
      </w:r>
      <w:r>
        <w:rPr>
          <w:rFonts w:hint="eastAsia"/>
          <w:b/>
          <w:kern w:val="0"/>
          <w:szCs w:val="21"/>
          <w:highlight w:val="none"/>
        </w:rPr>
        <w:t>如施工中发生新的技术规范等，按新技术规范执行。</w:t>
      </w:r>
    </w:p>
    <w:p>
      <w:pPr>
        <w:pStyle w:val="145"/>
        <w:ind w:left="0"/>
        <w:rPr>
          <w:color w:val="auto"/>
          <w:szCs w:val="21"/>
          <w:highlight w:val="none"/>
        </w:rPr>
      </w:pPr>
      <w:r>
        <w:rPr>
          <w:rFonts w:hint="eastAsia"/>
          <w:color w:val="auto"/>
          <w:szCs w:val="21"/>
          <w:highlight w:val="none"/>
        </w:rPr>
        <w:t>（四）其他要求</w:t>
      </w:r>
    </w:p>
    <w:p>
      <w:pPr>
        <w:spacing w:line="440" w:lineRule="exact"/>
        <w:rPr>
          <w:kern w:val="0"/>
          <w:szCs w:val="21"/>
          <w:highlight w:val="none"/>
        </w:rPr>
      </w:pPr>
      <w:r>
        <w:rPr>
          <w:kern w:val="0"/>
          <w:szCs w:val="21"/>
          <w:highlight w:val="none"/>
        </w:rPr>
        <w:t xml:space="preserve">    1</w:t>
      </w:r>
      <w:r>
        <w:rPr>
          <w:rFonts w:hint="eastAsia"/>
          <w:kern w:val="0"/>
          <w:szCs w:val="21"/>
          <w:highlight w:val="none"/>
        </w:rPr>
        <w:t>、在工程施工、竣工、交付及修补任何缺陷的过程中，承包人应当始终遵守国家和地方有关安全生产的法律、法规、规范、标准和规程等，履行其安全施工职责。安全文明施工费用必须专款专用，承包人应对其由于安全文明施工费用和施工安全措施不到位而发生的安全事故承担全部责任。</w:t>
      </w:r>
    </w:p>
    <w:p>
      <w:pPr>
        <w:spacing w:line="440" w:lineRule="exact"/>
        <w:rPr>
          <w:kern w:val="0"/>
          <w:szCs w:val="21"/>
          <w:highlight w:val="none"/>
        </w:rPr>
      </w:pPr>
      <w:r>
        <w:rPr>
          <w:kern w:val="0"/>
          <w:szCs w:val="21"/>
          <w:highlight w:val="none"/>
        </w:rPr>
        <w:t xml:space="preserve">    2</w:t>
      </w:r>
      <w:r>
        <w:rPr>
          <w:rFonts w:hint="eastAsia"/>
          <w:kern w:val="0"/>
          <w:szCs w:val="21"/>
          <w:highlight w:val="none"/>
        </w:rPr>
        <w:t>、承包人应建立消防安全责任制度，制定用火、用电和使用易燃易爆等危险品的消防安全管理制度和操作规程。各项制度和规程等应满足相关法律法规和政府消防管理机构的要求。</w:t>
      </w:r>
    </w:p>
    <w:p>
      <w:pPr>
        <w:spacing w:line="440" w:lineRule="exact"/>
        <w:rPr>
          <w:kern w:val="0"/>
          <w:szCs w:val="21"/>
          <w:highlight w:val="none"/>
        </w:rPr>
      </w:pPr>
      <w:r>
        <w:rPr>
          <w:kern w:val="0"/>
          <w:szCs w:val="21"/>
          <w:highlight w:val="none"/>
        </w:rPr>
        <w:t xml:space="preserve">    3</w:t>
      </w:r>
      <w:r>
        <w:rPr>
          <w:rFonts w:hint="eastAsia"/>
          <w:kern w:val="0"/>
          <w:szCs w:val="21"/>
          <w:highlight w:val="none"/>
        </w:rPr>
        <w:t>、承包人应当根据《施工现场临时用电安全技术规范》（</w:t>
      </w:r>
      <w:r>
        <w:rPr>
          <w:kern w:val="0"/>
          <w:szCs w:val="21"/>
          <w:highlight w:val="none"/>
        </w:rPr>
        <w:t>JGJ46-2005</w:t>
      </w:r>
      <w:r>
        <w:rPr>
          <w:rFonts w:hint="eastAsia"/>
          <w:kern w:val="0"/>
          <w:szCs w:val="21"/>
          <w:highlight w:val="none"/>
        </w:rPr>
        <w:t>）及其适用的修订版本的规定和施工要求编制施工临时用电方案。</w:t>
      </w:r>
    </w:p>
    <w:p>
      <w:pPr>
        <w:spacing w:line="440" w:lineRule="exact"/>
        <w:rPr>
          <w:kern w:val="0"/>
          <w:szCs w:val="21"/>
          <w:highlight w:val="none"/>
        </w:rPr>
      </w:pPr>
      <w:r>
        <w:rPr>
          <w:kern w:val="0"/>
          <w:szCs w:val="21"/>
          <w:highlight w:val="none"/>
        </w:rPr>
        <w:t xml:space="preserve">    4</w:t>
      </w:r>
      <w:r>
        <w:rPr>
          <w:rFonts w:hint="eastAsia"/>
          <w:kern w:val="0"/>
          <w:szCs w:val="21"/>
          <w:highlight w:val="none"/>
        </w:rPr>
        <w:t>、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440" w:lineRule="exact"/>
        <w:rPr>
          <w:kern w:val="0"/>
          <w:szCs w:val="21"/>
          <w:highlight w:val="none"/>
        </w:rPr>
      </w:pPr>
      <w:r>
        <w:rPr>
          <w:kern w:val="0"/>
          <w:szCs w:val="21"/>
          <w:highlight w:val="none"/>
        </w:rPr>
        <w:t xml:space="preserve">    5</w:t>
      </w:r>
      <w:r>
        <w:rPr>
          <w:rFonts w:hint="eastAsia"/>
          <w:kern w:val="0"/>
          <w:szCs w:val="21"/>
          <w:highlight w:val="none"/>
        </w:rPr>
        <w:t>、承包人应搭设并维护一切必要的临时脚手架、挑平台并配以脚手板、安全网、护身栏杆、门架、马道、坡道、爬梯等等。脚手架和挑平台的搭设应满足有关安全生产的法律、法规、规范、标准和规程等的要求。</w:t>
      </w:r>
    </w:p>
    <w:p>
      <w:pPr>
        <w:spacing w:line="440" w:lineRule="exact"/>
        <w:rPr>
          <w:kern w:val="0"/>
          <w:szCs w:val="21"/>
          <w:highlight w:val="none"/>
        </w:rPr>
      </w:pPr>
      <w:r>
        <w:rPr>
          <w:kern w:val="0"/>
          <w:szCs w:val="21"/>
          <w:highlight w:val="none"/>
        </w:rPr>
        <w:t xml:space="preserve">    6</w:t>
      </w:r>
      <w:r>
        <w:rPr>
          <w:rFonts w:hint="eastAsia"/>
          <w:kern w:val="0"/>
          <w:szCs w:val="21"/>
          <w:highlight w:val="none"/>
        </w:rPr>
        <w:t>、承包人应根据《中华人民共和国安全生产法》、《职业健康安全管理体系规范》、《中华人民共和国消防法》、《中华人民共和国道路交通安全法》、《中华人民共和国传染病防治法实施办法》和地方有关的法规等，编制一份施工安全措施计划。</w:t>
      </w:r>
    </w:p>
    <w:p>
      <w:pPr>
        <w:spacing w:line="440" w:lineRule="exact"/>
        <w:rPr>
          <w:kern w:val="0"/>
          <w:szCs w:val="21"/>
          <w:highlight w:val="none"/>
        </w:rPr>
      </w:pPr>
      <w:r>
        <w:rPr>
          <w:kern w:val="0"/>
          <w:szCs w:val="21"/>
          <w:highlight w:val="none"/>
        </w:rPr>
        <w:t xml:space="preserve">    7</w:t>
      </w:r>
      <w:r>
        <w:rPr>
          <w:rFonts w:hint="eastAsia"/>
          <w:kern w:val="0"/>
          <w:szCs w:val="21"/>
          <w:highlight w:val="none"/>
        </w:rPr>
        <w:t>、承包人应遵守国家和工程所在地有关法规、规范、规程和标准的规定，</w:t>
      </w:r>
      <w:r>
        <w:rPr>
          <w:kern w:val="0"/>
          <w:szCs w:val="21"/>
          <w:highlight w:val="none"/>
        </w:rPr>
        <w:t xml:space="preserve"> </w:t>
      </w:r>
      <w:r>
        <w:rPr>
          <w:rFonts w:hint="eastAsia"/>
          <w:kern w:val="0"/>
          <w:szCs w:val="21"/>
          <w:highlight w:val="none"/>
        </w:rPr>
        <w:t>履行文明施工义务，确保文明施工专项费用专款专用。</w:t>
      </w:r>
    </w:p>
    <w:p>
      <w:pPr>
        <w:spacing w:line="440" w:lineRule="exact"/>
        <w:rPr>
          <w:kern w:val="0"/>
          <w:szCs w:val="21"/>
          <w:highlight w:val="none"/>
        </w:rPr>
      </w:pPr>
      <w:r>
        <w:rPr>
          <w:kern w:val="0"/>
          <w:szCs w:val="21"/>
          <w:highlight w:val="none"/>
        </w:rPr>
        <w:t xml:space="preserve">    8</w:t>
      </w:r>
      <w:r>
        <w:rPr>
          <w:rFonts w:hint="eastAsia"/>
          <w:kern w:val="0"/>
          <w:szCs w:val="21"/>
          <w:highlight w:val="none"/>
        </w:rPr>
        <w:t>、在工程施工、完工及修补任何缺陷的过程中，承包人应当始终遵守国家和工程所在地有关环境保护、水土保护和污染防治的法律、法规、规章、规范、标准和规程等，履行其环境与生态保护职责。</w:t>
      </w:r>
    </w:p>
    <w:p>
      <w:pPr>
        <w:spacing w:line="440" w:lineRule="exact"/>
        <w:ind w:firstLine="420"/>
        <w:rPr>
          <w:rFonts w:hint="eastAsia"/>
          <w:kern w:val="0"/>
          <w:szCs w:val="21"/>
          <w:highlight w:val="none"/>
        </w:rPr>
      </w:pPr>
      <w:r>
        <w:rPr>
          <w:kern w:val="0"/>
          <w:szCs w:val="21"/>
          <w:highlight w:val="none"/>
        </w:rPr>
        <w:t>9</w:t>
      </w:r>
      <w:r>
        <w:rPr>
          <w:rFonts w:hint="eastAsia"/>
          <w:kern w:val="0"/>
          <w:szCs w:val="21"/>
          <w:highlight w:val="none"/>
        </w:rPr>
        <w:t>、施工场地（现场）治安管理计划、突发治安事件紧急预案需要符合发包人相关要求。</w:t>
      </w:r>
      <w:r>
        <w:rPr>
          <w:kern w:val="0"/>
          <w:szCs w:val="21"/>
          <w:highlight w:val="none"/>
        </w:rPr>
        <w:br w:type="textWrapping"/>
      </w:r>
      <w:r>
        <w:rPr>
          <w:kern w:val="0"/>
          <w:szCs w:val="21"/>
          <w:highlight w:val="none"/>
        </w:rPr>
        <w:t xml:space="preserve">    10</w:t>
      </w:r>
      <w:r>
        <w:rPr>
          <w:rFonts w:hint="eastAsia"/>
          <w:kern w:val="0"/>
          <w:szCs w:val="21"/>
          <w:highlight w:val="none"/>
        </w:rPr>
        <w:t>、承包人应为施工场地及其周边现有的地上、地下设施和建筑物提供足够的临时保护设施，确保施</w:t>
      </w:r>
      <w:r>
        <w:rPr>
          <w:rFonts w:hint="eastAsia"/>
          <w:kern w:val="0"/>
          <w:szCs w:val="21"/>
          <w:highlight w:val="none"/>
        </w:rPr>
        <w:t>工过程中这些设施和建筑物不会受到干扰和破坏。</w:t>
      </w:r>
    </w:p>
    <w:p>
      <w:pPr>
        <w:spacing w:line="440" w:lineRule="exact"/>
        <w:ind w:firstLine="420"/>
        <w:rPr>
          <w:rFonts w:hint="eastAsia" w:eastAsia="宋体"/>
          <w:kern w:val="0"/>
          <w:szCs w:val="21"/>
          <w:highlight w:val="none"/>
          <w:lang w:val="en-US" w:eastAsia="zh-CN"/>
        </w:rPr>
      </w:pPr>
      <w:r>
        <w:rPr>
          <w:rFonts w:hint="eastAsia"/>
          <w:kern w:val="0"/>
          <w:szCs w:val="21"/>
          <w:highlight w:val="none"/>
          <w:lang w:val="en-US" w:eastAsia="zh-CN"/>
        </w:rPr>
        <w:t>11、因本项目水塔位置比较特殊，安全起见，承包人在施工时不允许对水塔进行爆破拆除，须进行手工手动拆除。承包人须制定详细的拆除方案，经发包人确认后进行拆除作业。</w:t>
      </w:r>
    </w:p>
    <w:p>
      <w:pPr>
        <w:pStyle w:val="145"/>
        <w:ind w:left="0"/>
        <w:rPr>
          <w:color w:val="auto"/>
          <w:szCs w:val="21"/>
          <w:highlight w:val="none"/>
        </w:rPr>
      </w:pPr>
      <w:r>
        <w:rPr>
          <w:rFonts w:hint="eastAsia"/>
          <w:color w:val="auto"/>
          <w:szCs w:val="21"/>
          <w:highlight w:val="none"/>
        </w:rPr>
        <w:t>（五）</w:t>
      </w:r>
      <w:bookmarkStart w:id="65" w:name="_Toc342296518"/>
      <w:bookmarkStart w:id="66" w:name="_Toc458086952"/>
      <w:bookmarkStart w:id="67" w:name="_Toc241459759"/>
      <w:bookmarkStart w:id="68" w:name="_Toc442365661"/>
      <w:r>
        <w:rPr>
          <w:rFonts w:hint="eastAsia"/>
          <w:color w:val="auto"/>
          <w:szCs w:val="21"/>
          <w:highlight w:val="none"/>
        </w:rPr>
        <w:t>工程量清单</w:t>
      </w:r>
      <w:bookmarkEnd w:id="65"/>
      <w:bookmarkEnd w:id="66"/>
      <w:bookmarkEnd w:id="67"/>
      <w:bookmarkEnd w:id="68"/>
      <w:r>
        <w:rPr>
          <w:rFonts w:hint="eastAsia"/>
          <w:color w:val="auto"/>
          <w:szCs w:val="21"/>
          <w:highlight w:val="none"/>
        </w:rPr>
        <w:t>附表</w:t>
      </w:r>
    </w:p>
    <w:p>
      <w:pPr>
        <w:ind w:firstLine="422" w:firstLineChars="200"/>
        <w:rPr>
          <w:rFonts w:ascii="宋体"/>
          <w:b/>
          <w:szCs w:val="21"/>
          <w:highlight w:val="none"/>
        </w:rPr>
      </w:pPr>
      <w:r>
        <w:rPr>
          <w:b/>
          <w:kern w:val="0"/>
          <w:szCs w:val="21"/>
          <w:highlight w:val="none"/>
        </w:rPr>
        <w:t>1</w:t>
      </w:r>
      <w:r>
        <w:rPr>
          <w:rFonts w:hint="eastAsia"/>
          <w:b/>
          <w:kern w:val="0"/>
          <w:szCs w:val="21"/>
          <w:highlight w:val="none"/>
        </w:rPr>
        <w:t>、</w:t>
      </w:r>
      <w:r>
        <w:rPr>
          <w:b/>
          <w:kern w:val="0"/>
          <w:szCs w:val="21"/>
          <w:highlight w:val="none"/>
        </w:rPr>
        <w:t xml:space="preserve"> </w:t>
      </w:r>
      <w:r>
        <w:rPr>
          <w:rFonts w:hint="eastAsia"/>
          <w:b/>
          <w:kern w:val="0"/>
          <w:szCs w:val="21"/>
          <w:highlight w:val="none"/>
        </w:rPr>
        <w:t>工程量清单说明</w:t>
      </w:r>
    </w:p>
    <w:p>
      <w:pPr>
        <w:spacing w:line="360" w:lineRule="auto"/>
        <w:ind w:firstLine="420" w:firstLineChars="200"/>
        <w:rPr>
          <w:rFonts w:ascii="宋体"/>
          <w:szCs w:val="21"/>
          <w:highlight w:val="none"/>
        </w:rPr>
      </w:pPr>
      <w:r>
        <w:rPr>
          <w:rFonts w:ascii="宋体" w:hAnsi="宋体"/>
          <w:szCs w:val="21"/>
          <w:highlight w:val="none"/>
        </w:rPr>
        <w:t xml:space="preserve">1.1 </w:t>
      </w:r>
      <w:r>
        <w:rPr>
          <w:rFonts w:hint="eastAsia" w:ascii="宋体" w:hAnsi="宋体"/>
          <w:szCs w:val="21"/>
          <w:highlight w:val="none"/>
        </w:rPr>
        <w:t>本工程量清单是根据招标文件中包括的、有合同约束力的图纸以及有关工程量清</w:t>
      </w:r>
      <w:r>
        <w:rPr>
          <w:rFonts w:hint="eastAsia" w:ascii="宋体" w:hAnsi="宋体"/>
          <w:szCs w:val="21"/>
          <w:highlight w:val="none"/>
        </w:rPr>
        <w:t>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ind w:firstLine="420" w:firstLineChars="200"/>
        <w:rPr>
          <w:rFonts w:ascii="宋体"/>
          <w:szCs w:val="21"/>
          <w:highlight w:val="none"/>
        </w:rPr>
      </w:pPr>
      <w:r>
        <w:rPr>
          <w:rFonts w:ascii="宋体" w:hAnsi="宋体"/>
          <w:szCs w:val="21"/>
          <w:highlight w:val="none"/>
        </w:rPr>
        <w:t xml:space="preserve">1.2 </w:t>
      </w:r>
      <w:r>
        <w:rPr>
          <w:rFonts w:hint="eastAsia" w:ascii="宋体" w:hAnsi="宋体"/>
          <w:szCs w:val="21"/>
          <w:highlight w:val="none"/>
        </w:rPr>
        <w:t>本工程量清单应与招标文件中的投标人须知、通用合同条款、专用合同条款、技术标准和要求及图纸等一起阅读和理解。</w:t>
      </w:r>
    </w:p>
    <w:p>
      <w:pPr>
        <w:spacing w:line="360" w:lineRule="auto"/>
        <w:ind w:firstLine="420" w:firstLineChars="200"/>
        <w:rPr>
          <w:rFonts w:ascii="宋体"/>
          <w:szCs w:val="21"/>
          <w:highlight w:val="none"/>
        </w:rPr>
      </w:pPr>
      <w:r>
        <w:rPr>
          <w:rFonts w:ascii="宋体" w:hAnsi="宋体"/>
          <w:szCs w:val="21"/>
          <w:highlight w:val="none"/>
        </w:rPr>
        <w:t xml:space="preserve">1.3 </w:t>
      </w:r>
      <w:r>
        <w:rPr>
          <w:rFonts w:hint="eastAsia" w:ascii="宋体" w:hAnsi="宋体"/>
          <w:szCs w:val="21"/>
          <w:highlight w:val="none"/>
        </w:rPr>
        <w:t>本工程量清单仅是投标报价的共同基础，实际工程计量和工程价款的支付应遵循合同条款的约定。</w:t>
      </w:r>
    </w:p>
    <w:p>
      <w:pPr>
        <w:spacing w:line="360" w:lineRule="auto"/>
        <w:ind w:firstLine="420" w:firstLineChars="200"/>
        <w:jc w:val="left"/>
        <w:rPr>
          <w:rFonts w:ascii="宋体"/>
          <w:szCs w:val="21"/>
          <w:highlight w:val="none"/>
        </w:rPr>
      </w:pPr>
      <w:r>
        <w:rPr>
          <w:rFonts w:ascii="宋体" w:hAnsi="宋体"/>
          <w:szCs w:val="21"/>
          <w:highlight w:val="none"/>
        </w:rPr>
        <w:t xml:space="preserve">1.4 </w:t>
      </w:r>
      <w:r>
        <w:rPr>
          <w:rFonts w:hint="eastAsia" w:ascii="宋体" w:hAnsi="宋体"/>
          <w:szCs w:val="21"/>
          <w:highlight w:val="none"/>
        </w:rPr>
        <w:t>补充子目工程量计算规则及子目工作内容说明：</w:t>
      </w:r>
      <w:r>
        <w:rPr>
          <w:rFonts w:ascii="宋体" w:hAnsi="宋体"/>
          <w:szCs w:val="21"/>
          <w:highlight w:val="none"/>
        </w:rPr>
        <w:t xml:space="preserve">  /  </w:t>
      </w:r>
      <w:r>
        <w:rPr>
          <w:rFonts w:hint="eastAsia" w:ascii="宋体" w:hAnsi="宋体"/>
          <w:szCs w:val="21"/>
          <w:highlight w:val="none"/>
        </w:rPr>
        <w:t>。</w:t>
      </w:r>
    </w:p>
    <w:p>
      <w:pPr>
        <w:ind w:firstLine="422" w:firstLineChars="200"/>
        <w:rPr>
          <w:b/>
          <w:kern w:val="0"/>
          <w:szCs w:val="21"/>
          <w:highlight w:val="none"/>
        </w:rPr>
      </w:pPr>
      <w:bookmarkStart w:id="69" w:name="_Toc144974836"/>
      <w:bookmarkStart w:id="70" w:name="_Toc152042556"/>
      <w:bookmarkStart w:id="71" w:name="_Toc152045774"/>
      <w:bookmarkStart w:id="72" w:name="_Toc179632791"/>
      <w:bookmarkStart w:id="73" w:name="_Toc246996342"/>
      <w:bookmarkStart w:id="74" w:name="_Toc246997085"/>
      <w:bookmarkStart w:id="75" w:name="_Toc247085857"/>
      <w:bookmarkStart w:id="76" w:name="_Toc409438518"/>
      <w:bookmarkStart w:id="77" w:name="_Toc435018038"/>
      <w:bookmarkStart w:id="78" w:name="_Toc22118"/>
      <w:r>
        <w:rPr>
          <w:b/>
          <w:kern w:val="0"/>
          <w:szCs w:val="21"/>
          <w:highlight w:val="none"/>
        </w:rPr>
        <w:t xml:space="preserve">2. </w:t>
      </w:r>
      <w:r>
        <w:rPr>
          <w:rFonts w:hint="eastAsia"/>
          <w:b/>
          <w:kern w:val="0"/>
          <w:szCs w:val="21"/>
          <w:highlight w:val="none"/>
        </w:rPr>
        <w:t>响应报价说明</w:t>
      </w:r>
      <w:bookmarkEnd w:id="69"/>
      <w:bookmarkEnd w:id="70"/>
      <w:bookmarkEnd w:id="71"/>
      <w:bookmarkEnd w:id="72"/>
      <w:bookmarkEnd w:id="73"/>
      <w:bookmarkEnd w:id="74"/>
      <w:bookmarkEnd w:id="75"/>
      <w:bookmarkEnd w:id="76"/>
      <w:bookmarkEnd w:id="77"/>
      <w:bookmarkEnd w:id="78"/>
    </w:p>
    <w:p>
      <w:pPr>
        <w:spacing w:line="360" w:lineRule="auto"/>
        <w:ind w:firstLine="420" w:firstLineChars="200"/>
        <w:rPr>
          <w:rFonts w:ascii="宋体"/>
          <w:szCs w:val="21"/>
          <w:highlight w:val="none"/>
        </w:rPr>
      </w:pPr>
      <w:r>
        <w:rPr>
          <w:rFonts w:ascii="宋体" w:hAnsi="宋体"/>
          <w:szCs w:val="21"/>
          <w:highlight w:val="none"/>
        </w:rPr>
        <w:t xml:space="preserve">2.1 </w:t>
      </w:r>
      <w:r>
        <w:rPr>
          <w:rFonts w:hint="eastAsia" w:ascii="宋体" w:hAnsi="宋体"/>
          <w:szCs w:val="21"/>
          <w:highlight w:val="none"/>
        </w:rPr>
        <w:t>工程量清单中的每一子目须填入单价或价格，且只允许有一个报价。</w:t>
      </w:r>
    </w:p>
    <w:p>
      <w:pPr>
        <w:spacing w:line="360" w:lineRule="auto"/>
        <w:ind w:firstLine="420" w:firstLineChars="200"/>
        <w:rPr>
          <w:rFonts w:ascii="宋体"/>
          <w:szCs w:val="21"/>
          <w:highlight w:val="none"/>
        </w:rPr>
      </w:pPr>
      <w:r>
        <w:rPr>
          <w:rFonts w:ascii="宋体" w:hAnsi="宋体"/>
          <w:szCs w:val="21"/>
          <w:highlight w:val="none"/>
        </w:rPr>
        <w:t xml:space="preserve">2.2 </w:t>
      </w:r>
      <w:r>
        <w:rPr>
          <w:rFonts w:hint="eastAsia" w:ascii="宋体" w:hAnsi="宋体"/>
          <w:szCs w:val="21"/>
          <w:highlight w:val="none"/>
        </w:rPr>
        <w:t>工程量清单中标价的单价或金额，应包括所需的人工费、材料和施工机具使用费和企业管理费、利润以及一定范围内的风险费用等。</w:t>
      </w:r>
    </w:p>
    <w:p>
      <w:pPr>
        <w:spacing w:line="360" w:lineRule="auto"/>
        <w:ind w:firstLine="420" w:firstLineChars="200"/>
        <w:rPr>
          <w:rFonts w:ascii="宋体"/>
          <w:szCs w:val="21"/>
          <w:highlight w:val="none"/>
        </w:rPr>
      </w:pPr>
      <w:r>
        <w:rPr>
          <w:rFonts w:ascii="宋体" w:hAnsi="宋体"/>
          <w:szCs w:val="21"/>
          <w:highlight w:val="none"/>
        </w:rPr>
        <w:t xml:space="preserve">2.3 </w:t>
      </w:r>
      <w:r>
        <w:rPr>
          <w:rFonts w:hint="eastAsia" w:ascii="宋体" w:hAnsi="宋体"/>
          <w:szCs w:val="21"/>
          <w:highlight w:val="none"/>
        </w:rPr>
        <w:t>工程量清单中投标人没有填入单价或价格的子目，其费用视为已分摊在工程量清单中其他相关子目的单价或价格之中。</w:t>
      </w:r>
    </w:p>
    <w:p>
      <w:pPr>
        <w:spacing w:line="360" w:lineRule="auto"/>
        <w:ind w:firstLine="420" w:firstLineChars="200"/>
        <w:rPr>
          <w:rFonts w:ascii="宋体"/>
          <w:szCs w:val="21"/>
          <w:highlight w:val="none"/>
        </w:rPr>
      </w:pPr>
      <w:r>
        <w:rPr>
          <w:rFonts w:ascii="宋体" w:hAnsi="宋体"/>
          <w:szCs w:val="21"/>
          <w:highlight w:val="none"/>
        </w:rPr>
        <w:t xml:space="preserve">2.4 </w:t>
      </w:r>
      <w:r>
        <w:rPr>
          <w:rFonts w:hint="eastAsia" w:ascii="宋体" w:hAnsi="宋体"/>
          <w:szCs w:val="21"/>
          <w:highlight w:val="none"/>
        </w:rPr>
        <w:t>暂列金额的数量及拟用子目的说明：无。</w:t>
      </w:r>
    </w:p>
    <w:p>
      <w:pPr>
        <w:ind w:firstLine="422" w:firstLineChars="200"/>
        <w:rPr>
          <w:b/>
          <w:kern w:val="0"/>
          <w:szCs w:val="21"/>
          <w:highlight w:val="none"/>
        </w:rPr>
      </w:pPr>
      <w:bookmarkStart w:id="79" w:name="_Toc179632792"/>
      <w:bookmarkStart w:id="80" w:name="_Toc246996343"/>
      <w:bookmarkStart w:id="81" w:name="_Toc246997086"/>
      <w:bookmarkStart w:id="82" w:name="_Toc247085858"/>
      <w:bookmarkStart w:id="83" w:name="_Toc409438519"/>
      <w:bookmarkStart w:id="84" w:name="_Toc435018039"/>
      <w:bookmarkStart w:id="85" w:name="_Toc22062"/>
      <w:r>
        <w:rPr>
          <w:b/>
          <w:kern w:val="0"/>
          <w:szCs w:val="21"/>
          <w:highlight w:val="none"/>
        </w:rPr>
        <w:t xml:space="preserve">3. </w:t>
      </w:r>
      <w:r>
        <w:rPr>
          <w:rFonts w:hint="eastAsia"/>
          <w:b/>
          <w:kern w:val="0"/>
          <w:szCs w:val="21"/>
          <w:highlight w:val="none"/>
        </w:rPr>
        <w:t>其他说明</w:t>
      </w:r>
      <w:bookmarkEnd w:id="79"/>
      <w:bookmarkEnd w:id="80"/>
      <w:bookmarkEnd w:id="81"/>
      <w:bookmarkEnd w:id="82"/>
      <w:bookmarkEnd w:id="83"/>
      <w:bookmarkEnd w:id="84"/>
      <w:bookmarkEnd w:id="85"/>
    </w:p>
    <w:p>
      <w:pPr>
        <w:spacing w:line="360" w:lineRule="auto"/>
        <w:ind w:firstLine="420" w:firstLineChars="200"/>
        <w:rPr>
          <w:rFonts w:ascii="宋体"/>
          <w:szCs w:val="21"/>
          <w:highlight w:val="none"/>
        </w:rPr>
      </w:pPr>
      <w:r>
        <w:rPr>
          <w:rFonts w:ascii="宋体" w:hAnsi="宋体"/>
          <w:szCs w:val="21"/>
          <w:highlight w:val="none"/>
        </w:rPr>
        <w:t xml:space="preserve"> </w:t>
      </w:r>
      <w:r>
        <w:rPr>
          <w:rFonts w:hint="eastAsia" w:ascii="宋体" w:hAnsi="宋体"/>
          <w:szCs w:val="21"/>
          <w:highlight w:val="none"/>
        </w:rPr>
        <w:t>投标报价应根据招标文件中的有关计价要求，并按照下列依据自主报价。</w:t>
      </w:r>
    </w:p>
    <w:p>
      <w:pPr>
        <w:spacing w:line="360" w:lineRule="auto"/>
        <w:ind w:firstLine="420" w:firstLineChars="200"/>
        <w:rPr>
          <w:rFonts w:ascii="宋体"/>
          <w:szCs w:val="21"/>
          <w:highlight w:val="none"/>
        </w:rPr>
      </w:pPr>
      <w:r>
        <w:rPr>
          <w:rFonts w:ascii="宋体" w:hAnsi="宋体"/>
          <w:szCs w:val="21"/>
          <w:highlight w:val="none"/>
        </w:rPr>
        <w:t>(1)</w:t>
      </w:r>
      <w:r>
        <w:rPr>
          <w:rFonts w:hint="eastAsia" w:ascii="宋体" w:hAnsi="宋体"/>
          <w:szCs w:val="21"/>
          <w:highlight w:val="none"/>
        </w:rPr>
        <w:t>本磋商文件；</w:t>
      </w:r>
    </w:p>
    <w:p>
      <w:pPr>
        <w:spacing w:line="360" w:lineRule="auto"/>
        <w:ind w:firstLine="420" w:firstLineChars="200"/>
        <w:rPr>
          <w:rFonts w:ascii="宋体"/>
          <w:szCs w:val="21"/>
          <w:highlight w:val="none"/>
        </w:rPr>
      </w:pPr>
      <w:r>
        <w:rPr>
          <w:rFonts w:ascii="宋体" w:hAnsi="宋体"/>
          <w:szCs w:val="21"/>
          <w:highlight w:val="none"/>
        </w:rPr>
        <w:t>(2)</w:t>
      </w:r>
      <w:r>
        <w:rPr>
          <w:rFonts w:hint="eastAsia" w:ascii="宋体" w:hAnsi="宋体"/>
          <w:szCs w:val="21"/>
          <w:highlight w:val="none"/>
        </w:rPr>
        <w:t>现行《建设工程工程量清单计价规范》</w:t>
      </w:r>
      <w:r>
        <w:rPr>
          <w:rFonts w:ascii="宋体" w:hAnsi="宋体"/>
          <w:szCs w:val="21"/>
          <w:highlight w:val="none"/>
        </w:rPr>
        <w:t>(GB50500-2013)</w:t>
      </w:r>
      <w:r>
        <w:rPr>
          <w:rFonts w:hint="eastAsia" w:ascii="宋体" w:hAnsi="宋体"/>
          <w:szCs w:val="21"/>
          <w:highlight w:val="none"/>
        </w:rPr>
        <w:t>和配套工程量计算规范</w:t>
      </w:r>
      <w:r>
        <w:rPr>
          <w:rFonts w:ascii="宋体" w:hAnsi="宋体"/>
          <w:szCs w:val="21"/>
          <w:highlight w:val="none"/>
        </w:rPr>
        <w:t>(GB50854-2013</w:t>
      </w:r>
      <w:r>
        <w:rPr>
          <w:rFonts w:hint="eastAsia" w:ascii="宋体" w:hAnsi="宋体"/>
          <w:szCs w:val="21"/>
          <w:highlight w:val="none"/>
        </w:rPr>
        <w:t>～</w:t>
      </w:r>
      <w:r>
        <w:rPr>
          <w:rFonts w:ascii="宋体" w:hAnsi="宋体"/>
          <w:szCs w:val="21"/>
          <w:highlight w:val="none"/>
        </w:rPr>
        <w:t>GB50862-2013)</w:t>
      </w:r>
      <w:r>
        <w:rPr>
          <w:rFonts w:hint="eastAsia" w:ascii="宋体" w:hAnsi="宋体"/>
          <w:szCs w:val="21"/>
          <w:highlight w:val="none"/>
        </w:rPr>
        <w:t>；</w:t>
      </w:r>
    </w:p>
    <w:p>
      <w:pPr>
        <w:spacing w:line="360" w:lineRule="auto"/>
        <w:ind w:firstLine="420" w:firstLineChars="200"/>
        <w:rPr>
          <w:rFonts w:ascii="宋体"/>
          <w:szCs w:val="21"/>
          <w:highlight w:val="none"/>
        </w:rPr>
      </w:pPr>
      <w:r>
        <w:rPr>
          <w:rFonts w:ascii="宋体" w:hAnsi="宋体"/>
          <w:szCs w:val="21"/>
          <w:highlight w:val="none"/>
        </w:rPr>
        <w:t>(3)</w:t>
      </w:r>
      <w:r>
        <w:rPr>
          <w:rFonts w:hint="eastAsia" w:ascii="宋体" w:hAnsi="宋体"/>
          <w:szCs w:val="21"/>
          <w:highlight w:val="none"/>
        </w:rPr>
        <w:t>国家或省级、行业建设主管部门颁发的计价办法；</w:t>
      </w:r>
    </w:p>
    <w:p>
      <w:pPr>
        <w:spacing w:line="360" w:lineRule="auto"/>
        <w:ind w:firstLine="420" w:firstLineChars="200"/>
        <w:rPr>
          <w:rFonts w:ascii="宋体"/>
          <w:szCs w:val="21"/>
          <w:highlight w:val="none"/>
        </w:rPr>
      </w:pPr>
      <w:r>
        <w:rPr>
          <w:rFonts w:ascii="宋体" w:hAnsi="宋体"/>
          <w:szCs w:val="21"/>
          <w:highlight w:val="none"/>
        </w:rPr>
        <w:t>(4)</w:t>
      </w:r>
      <w:r>
        <w:rPr>
          <w:rFonts w:hint="eastAsia" w:ascii="宋体" w:hAnsi="宋体"/>
          <w:szCs w:val="21"/>
          <w:highlight w:val="none"/>
        </w:rPr>
        <w:t>企业定额，国家或省级、行业建设主管部门颁发的计价定额；</w:t>
      </w:r>
    </w:p>
    <w:p>
      <w:pPr>
        <w:spacing w:line="360" w:lineRule="auto"/>
        <w:ind w:firstLine="420" w:firstLineChars="200"/>
        <w:rPr>
          <w:rFonts w:ascii="宋体"/>
          <w:szCs w:val="21"/>
          <w:highlight w:val="none"/>
        </w:rPr>
      </w:pPr>
      <w:r>
        <w:rPr>
          <w:rFonts w:ascii="宋体" w:hAnsi="宋体"/>
          <w:szCs w:val="21"/>
          <w:highlight w:val="none"/>
        </w:rPr>
        <w:t>(5)</w:t>
      </w:r>
      <w:r>
        <w:rPr>
          <w:rFonts w:hint="eastAsia" w:ascii="宋体" w:hAnsi="宋体"/>
          <w:szCs w:val="21"/>
          <w:highlight w:val="none"/>
        </w:rPr>
        <w:t>招标文件</w:t>
      </w:r>
      <w:r>
        <w:rPr>
          <w:rFonts w:ascii="宋体" w:hAnsi="宋体"/>
          <w:szCs w:val="21"/>
          <w:highlight w:val="none"/>
        </w:rPr>
        <w:t>(</w:t>
      </w:r>
      <w:r>
        <w:rPr>
          <w:rFonts w:hint="eastAsia" w:ascii="宋体" w:hAnsi="宋体"/>
          <w:szCs w:val="21"/>
          <w:highlight w:val="none"/>
        </w:rPr>
        <w:t>包括工程量清单</w:t>
      </w:r>
      <w:r>
        <w:rPr>
          <w:rFonts w:ascii="宋体" w:hAnsi="宋体"/>
          <w:szCs w:val="21"/>
          <w:highlight w:val="none"/>
        </w:rPr>
        <w:t>)</w:t>
      </w:r>
      <w:r>
        <w:rPr>
          <w:rFonts w:hint="eastAsia" w:ascii="宋体" w:hAnsi="宋体"/>
          <w:szCs w:val="21"/>
          <w:highlight w:val="none"/>
        </w:rPr>
        <w:t>的澄清、补充和修改文件；</w:t>
      </w:r>
    </w:p>
    <w:p>
      <w:pPr>
        <w:spacing w:line="360" w:lineRule="auto"/>
        <w:ind w:firstLine="420" w:firstLineChars="200"/>
        <w:rPr>
          <w:rFonts w:ascii="宋体"/>
          <w:szCs w:val="21"/>
          <w:highlight w:val="none"/>
        </w:rPr>
      </w:pPr>
      <w:r>
        <w:rPr>
          <w:rFonts w:ascii="宋体" w:hAnsi="宋体"/>
          <w:szCs w:val="21"/>
          <w:highlight w:val="none"/>
        </w:rPr>
        <w:t>(6)</w:t>
      </w:r>
      <w:r>
        <w:rPr>
          <w:rFonts w:hint="eastAsia" w:ascii="宋体" w:hAnsi="宋体"/>
          <w:szCs w:val="21"/>
          <w:highlight w:val="none"/>
        </w:rPr>
        <w:t>建设工程设计文件及相关资料；</w:t>
      </w:r>
    </w:p>
    <w:p>
      <w:pPr>
        <w:spacing w:line="360" w:lineRule="auto"/>
        <w:ind w:firstLine="420" w:firstLineChars="200"/>
        <w:rPr>
          <w:rFonts w:ascii="宋体"/>
          <w:szCs w:val="21"/>
          <w:highlight w:val="none"/>
        </w:rPr>
      </w:pPr>
      <w:r>
        <w:rPr>
          <w:rFonts w:ascii="宋体" w:hAnsi="宋体"/>
          <w:szCs w:val="21"/>
          <w:highlight w:val="none"/>
        </w:rPr>
        <w:t>(7)</w:t>
      </w:r>
      <w:r>
        <w:rPr>
          <w:rFonts w:hint="eastAsia" w:ascii="宋体" w:hAnsi="宋体"/>
          <w:szCs w:val="21"/>
          <w:highlight w:val="none"/>
        </w:rPr>
        <w:t>施工现场情况、工程特点及拟定的投标施工组织设计或施工方案；</w:t>
      </w:r>
    </w:p>
    <w:p>
      <w:pPr>
        <w:spacing w:line="360" w:lineRule="auto"/>
        <w:ind w:firstLine="420" w:firstLineChars="200"/>
        <w:rPr>
          <w:rFonts w:ascii="宋体"/>
          <w:szCs w:val="21"/>
          <w:highlight w:val="none"/>
        </w:rPr>
      </w:pPr>
      <w:r>
        <w:rPr>
          <w:rFonts w:ascii="宋体" w:hAnsi="宋体"/>
          <w:szCs w:val="21"/>
          <w:highlight w:val="none"/>
        </w:rPr>
        <w:t>(8)</w:t>
      </w:r>
      <w:r>
        <w:rPr>
          <w:rFonts w:hint="eastAsia" w:ascii="宋体" w:hAnsi="宋体"/>
          <w:szCs w:val="21"/>
          <w:highlight w:val="none"/>
        </w:rPr>
        <w:t>与建设项目相关的标准、规定等技术资料；</w:t>
      </w:r>
    </w:p>
    <w:p>
      <w:pPr>
        <w:spacing w:line="360" w:lineRule="auto"/>
        <w:ind w:firstLine="420" w:firstLineChars="200"/>
        <w:rPr>
          <w:rFonts w:ascii="宋体"/>
          <w:szCs w:val="21"/>
          <w:highlight w:val="none"/>
        </w:rPr>
      </w:pPr>
      <w:r>
        <w:rPr>
          <w:rFonts w:ascii="宋体" w:hAnsi="宋体"/>
          <w:szCs w:val="21"/>
          <w:highlight w:val="none"/>
        </w:rPr>
        <w:t>(9)</w:t>
      </w:r>
      <w:r>
        <w:rPr>
          <w:rFonts w:hint="eastAsia" w:ascii="宋体" w:hAnsi="宋体"/>
          <w:szCs w:val="21"/>
          <w:highlight w:val="none"/>
        </w:rPr>
        <w:t>市场价格信息或工程造价管理机构发布的工程造价信息；</w:t>
      </w:r>
    </w:p>
    <w:p>
      <w:pPr>
        <w:spacing w:line="360" w:lineRule="auto"/>
        <w:ind w:firstLine="420" w:firstLineChars="200"/>
        <w:rPr>
          <w:rFonts w:ascii="宋体"/>
          <w:szCs w:val="21"/>
          <w:highlight w:val="none"/>
        </w:rPr>
      </w:pPr>
      <w:r>
        <w:rPr>
          <w:rFonts w:ascii="宋体" w:hAnsi="宋体"/>
          <w:szCs w:val="21"/>
          <w:highlight w:val="none"/>
        </w:rPr>
        <w:t>(10)</w:t>
      </w:r>
      <w:r>
        <w:rPr>
          <w:rFonts w:hint="eastAsia" w:ascii="宋体" w:hAnsi="宋体"/>
          <w:szCs w:val="21"/>
          <w:highlight w:val="none"/>
        </w:rPr>
        <w:t>其他的相关资料。</w:t>
      </w:r>
    </w:p>
    <w:p>
      <w:pPr>
        <w:spacing w:line="360" w:lineRule="auto"/>
        <w:ind w:firstLine="420" w:firstLineChars="200"/>
        <w:rPr>
          <w:rFonts w:ascii="宋体"/>
          <w:szCs w:val="21"/>
          <w:highlight w:val="none"/>
        </w:rPr>
      </w:pPr>
      <w:r>
        <w:rPr>
          <w:rFonts w:hint="eastAsia" w:ascii="宋体" w:hAnsi="宋体"/>
          <w:szCs w:val="21"/>
          <w:highlight w:val="none"/>
        </w:rPr>
        <w:t>响应人应按照建设部《建办〔</w:t>
      </w:r>
      <w:r>
        <w:rPr>
          <w:rFonts w:ascii="宋体" w:hAnsi="宋体"/>
          <w:szCs w:val="21"/>
          <w:highlight w:val="none"/>
        </w:rPr>
        <w:t>2005</w:t>
      </w:r>
      <w:r>
        <w:rPr>
          <w:rFonts w:hint="eastAsia" w:ascii="宋体" w:hAnsi="宋体"/>
          <w:szCs w:val="21"/>
          <w:highlight w:val="none"/>
        </w:rPr>
        <w:t>〕</w:t>
      </w:r>
      <w:r>
        <w:rPr>
          <w:rFonts w:ascii="宋体" w:hAnsi="宋体"/>
          <w:szCs w:val="21"/>
          <w:highlight w:val="none"/>
        </w:rPr>
        <w:t>89</w:t>
      </w:r>
      <w:r>
        <w:rPr>
          <w:rFonts w:hint="eastAsia" w:ascii="宋体" w:hAnsi="宋体"/>
          <w:szCs w:val="21"/>
          <w:highlight w:val="none"/>
        </w:rPr>
        <w:t>号文件》及北京市施工安全管理处《京建施〔</w:t>
      </w:r>
      <w:r>
        <w:rPr>
          <w:rFonts w:ascii="宋体" w:hAnsi="宋体"/>
          <w:szCs w:val="21"/>
          <w:highlight w:val="none"/>
        </w:rPr>
        <w:t>2005</w:t>
      </w:r>
      <w:r>
        <w:rPr>
          <w:rFonts w:hint="eastAsia" w:ascii="宋体" w:hAnsi="宋体"/>
          <w:szCs w:val="21"/>
          <w:highlight w:val="none"/>
        </w:rPr>
        <w:t>〕</w:t>
      </w:r>
      <w:r>
        <w:rPr>
          <w:rFonts w:ascii="宋体" w:hAnsi="宋体"/>
          <w:szCs w:val="21"/>
          <w:highlight w:val="none"/>
        </w:rPr>
        <w:t>802</w:t>
      </w:r>
      <w:r>
        <w:rPr>
          <w:rFonts w:hint="eastAsia" w:ascii="宋体" w:hAnsi="宋体"/>
          <w:szCs w:val="21"/>
          <w:highlight w:val="none"/>
        </w:rPr>
        <w:t>号文件》的规定，针对安全生产、文明施工、现场周边环境、消防安全等的措施计取“安全防护、文明施工措施费”，单独列项并计入响应总价。取费费率不得低于文件规定的费率范围，并不得作为让利因素参与竞标。同时在施工组织设计中应详细说明安全防护及文明施工所采取的各项措施。</w:t>
      </w:r>
    </w:p>
    <w:p>
      <w:pPr>
        <w:spacing w:line="360" w:lineRule="auto"/>
        <w:ind w:firstLine="420" w:firstLineChars="200"/>
        <w:rPr>
          <w:rFonts w:ascii="宋体"/>
          <w:szCs w:val="21"/>
          <w:highlight w:val="none"/>
        </w:rPr>
      </w:pPr>
      <w:r>
        <w:rPr>
          <w:rFonts w:hint="eastAsia" w:ascii="宋体" w:hAnsi="宋体"/>
          <w:szCs w:val="21"/>
          <w:highlight w:val="none"/>
        </w:rPr>
        <w:t>报价需包括本项目涉及的全部费用以及与本项目有关的其他全部费用税金等。即与本项目相关的全部费用税金等均应包含于报价之中，如有未尽事项产生的相关费用由磋商响应单位承担。</w:t>
      </w:r>
    </w:p>
    <w:p>
      <w:pPr>
        <w:ind w:firstLine="422" w:firstLineChars="200"/>
        <w:rPr>
          <w:rFonts w:ascii="黑体" w:hAnsi="黑体" w:eastAsia="黑体"/>
          <w:sz w:val="24"/>
          <w:highlight w:val="none"/>
        </w:rPr>
      </w:pPr>
      <w:r>
        <w:rPr>
          <w:b/>
          <w:kern w:val="0"/>
          <w:szCs w:val="21"/>
          <w:highlight w:val="none"/>
        </w:rPr>
        <w:t>4</w:t>
      </w:r>
      <w:r>
        <w:rPr>
          <w:rFonts w:hint="eastAsia"/>
          <w:b/>
          <w:kern w:val="0"/>
          <w:szCs w:val="21"/>
          <w:highlight w:val="none"/>
        </w:rPr>
        <w:t>、工程量清单附表</w:t>
      </w:r>
    </w:p>
    <w:p>
      <w:pPr>
        <w:ind w:firstLine="420" w:firstLineChars="200"/>
        <w:rPr>
          <w:rFonts w:ascii="宋体"/>
          <w:szCs w:val="21"/>
          <w:highlight w:val="none"/>
        </w:rPr>
      </w:pPr>
      <w:r>
        <w:rPr>
          <w:rFonts w:hint="eastAsia" w:ascii="宋体" w:hAnsi="宋体"/>
          <w:szCs w:val="21"/>
          <w:highlight w:val="none"/>
        </w:rPr>
        <w:t>见附件</w:t>
      </w:r>
    </w:p>
    <w:p>
      <w:pPr>
        <w:ind w:firstLine="422" w:firstLineChars="200"/>
        <w:rPr>
          <w:b/>
          <w:kern w:val="0"/>
          <w:szCs w:val="21"/>
          <w:highlight w:val="none"/>
        </w:rPr>
      </w:pPr>
      <w:r>
        <w:rPr>
          <w:b/>
          <w:kern w:val="0"/>
          <w:szCs w:val="21"/>
          <w:highlight w:val="none"/>
        </w:rPr>
        <w:t>5</w:t>
      </w:r>
      <w:r>
        <w:rPr>
          <w:rFonts w:hint="eastAsia"/>
          <w:b/>
          <w:kern w:val="0"/>
          <w:szCs w:val="21"/>
          <w:highlight w:val="none"/>
        </w:rPr>
        <w:t>、图纸</w:t>
      </w:r>
    </w:p>
    <w:p>
      <w:pPr>
        <w:ind w:firstLine="420" w:firstLineChars="200"/>
        <w:rPr>
          <w:rFonts w:hint="eastAsia" w:ascii="宋体" w:hAnsi="宋体"/>
          <w:szCs w:val="21"/>
          <w:highlight w:val="none"/>
        </w:rPr>
      </w:pPr>
      <w:r>
        <w:rPr>
          <w:rFonts w:hint="eastAsia" w:ascii="宋体" w:hAnsi="宋体"/>
          <w:szCs w:val="21"/>
          <w:highlight w:val="none"/>
        </w:rPr>
        <w:t>无</w:t>
      </w:r>
    </w:p>
    <w:p>
      <w:pPr>
        <w:ind w:firstLine="640" w:firstLineChars="200"/>
        <w:jc w:val="center"/>
        <w:rPr>
          <w:rFonts w:hint="eastAsia" w:ascii="宋体" w:hAnsi="宋体"/>
          <w:szCs w:val="21"/>
          <w:highlight w:val="none"/>
        </w:rPr>
      </w:pPr>
      <w:r>
        <w:rPr>
          <w:rFonts w:hint="eastAsia" w:ascii="宋体" w:hAnsi="宋体"/>
          <w:sz w:val="32"/>
          <w:szCs w:val="32"/>
          <w:highlight w:val="none"/>
        </w:rPr>
        <w:t>分部分项工程和单价措施项目清单与计价表</w:t>
      </w:r>
    </w:p>
    <w:p>
      <w:pPr>
        <w:rPr>
          <w:rFonts w:hAnsi="宋体"/>
          <w:sz w:val="24"/>
          <w:highlight w:val="none"/>
        </w:rPr>
      </w:pPr>
      <w:r>
        <w:rPr>
          <w:rFonts w:hint="eastAsia" w:hAnsi="宋体"/>
          <w:sz w:val="24"/>
          <w:highlight w:val="none"/>
        </w:rPr>
        <w:t>工程名称：中央财经大学学院南路校区水塔拆除工程</w:t>
      </w:r>
      <w:r>
        <w:rPr>
          <w:rFonts w:hint="eastAsia" w:hAnsi="宋体"/>
          <w:sz w:val="24"/>
          <w:highlight w:val="none"/>
        </w:rPr>
        <w:tab/>
      </w:r>
      <w:r>
        <w:rPr>
          <w:rFonts w:hint="eastAsia" w:hAnsi="宋体"/>
          <w:sz w:val="24"/>
          <w:highlight w:val="none"/>
        </w:rPr>
        <w:tab/>
      </w:r>
      <w:r>
        <w:rPr>
          <w:rFonts w:hint="eastAsia" w:hAnsi="宋体"/>
          <w:sz w:val="24"/>
          <w:highlight w:val="none"/>
        </w:rPr>
        <w:tab/>
      </w:r>
      <w:r>
        <w:rPr>
          <w:rFonts w:hint="eastAsia" w:hAnsi="宋体"/>
          <w:sz w:val="24"/>
          <w:highlight w:val="none"/>
        </w:rPr>
        <w:tab/>
      </w:r>
      <w:r>
        <w:rPr>
          <w:rFonts w:hint="eastAsia" w:hAnsi="宋体"/>
          <w:sz w:val="24"/>
          <w:highlight w:val="none"/>
        </w:rPr>
        <w:tab/>
      </w:r>
      <w:r>
        <w:rPr>
          <w:rFonts w:hint="eastAsia" w:hAnsi="宋体"/>
          <w:sz w:val="24"/>
          <w:highlight w:val="none"/>
        </w:rPr>
        <w:tab/>
      </w:r>
    </w:p>
    <w:p>
      <w:pPr>
        <w:widowControl/>
        <w:jc w:val="left"/>
        <w:rPr>
          <w:highlight w:val="none"/>
        </w:rPr>
      </w:pPr>
    </w:p>
    <w:tbl>
      <w:tblPr>
        <w:tblStyle w:val="60"/>
        <w:tblW w:w="93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9"/>
        <w:gridCol w:w="1229"/>
        <w:gridCol w:w="1365"/>
        <w:gridCol w:w="3560"/>
        <w:gridCol w:w="1077"/>
        <w:gridCol w:w="15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569" w:type="dxa"/>
            <w:vMerge w:val="restart"/>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序号</w:t>
            </w:r>
          </w:p>
        </w:tc>
        <w:tc>
          <w:tcPr>
            <w:tcW w:w="1229"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子目编码</w:t>
            </w:r>
          </w:p>
        </w:tc>
        <w:tc>
          <w:tcPr>
            <w:tcW w:w="1365"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子目名称</w:t>
            </w:r>
          </w:p>
        </w:tc>
        <w:tc>
          <w:tcPr>
            <w:tcW w:w="3560"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子目特征描述</w:t>
            </w:r>
          </w:p>
        </w:tc>
        <w:tc>
          <w:tcPr>
            <w:tcW w:w="107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计量单位</w:t>
            </w:r>
          </w:p>
        </w:tc>
        <w:tc>
          <w:tcPr>
            <w:tcW w:w="1527" w:type="dxa"/>
            <w:vMerge w:val="restart"/>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6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22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36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356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07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52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69" w:type="dxa"/>
            <w:vMerge w:val="continue"/>
            <w:tcBorders>
              <w:top w:val="single" w:color="000000" w:sz="12" w:space="0"/>
              <w:left w:val="single" w:color="000000" w:sz="12"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229"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365"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3560"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07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527" w:type="dxa"/>
            <w:vMerge w:val="continue"/>
            <w:tcBorders>
              <w:top w:val="single" w:color="000000" w:sz="12"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6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整个项目</w:t>
            </w:r>
          </w:p>
        </w:tc>
        <w:tc>
          <w:tcPr>
            <w:tcW w:w="3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25" w:hRule="atLeast"/>
        </w:trPr>
        <w:tc>
          <w:tcPr>
            <w:tcW w:w="56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911003001001</w:t>
            </w: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水塔拆除</w:t>
            </w:r>
          </w:p>
        </w:tc>
        <w:tc>
          <w:tcPr>
            <w:tcW w:w="3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水塔拆除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1、水塔为砖砌双筒结构，筒壁整体高约30m（拆除至室外地坪以下约1m）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2、水塔外部直径为6m，壁厚0.5m，内部直径为3.8m，壁厚0.6m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3、内外筒壁沿塔高方向设有三道圈梁，圈梁最小高度为150mm</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4、顶部水箱高约6m，为钢筋混凝土结构</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5、水塔供水管拆除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6、水塔上人爬梯拆除</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7、临时脚手架搭拆</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8、场地清理，渣土外运（运距自行考虑）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9、素土回填（水塔筒壁下挖1m处回填至室外地坪，运距自行考虑）</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10、结合现场，满足甲方设计要求</w:t>
            </w: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座</w:t>
            </w: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6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分部小计</w:t>
            </w:r>
          </w:p>
        </w:tc>
        <w:tc>
          <w:tcPr>
            <w:tcW w:w="3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6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措施项目</w:t>
            </w:r>
          </w:p>
        </w:tc>
        <w:tc>
          <w:tcPr>
            <w:tcW w:w="3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69"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22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分部小计</w:t>
            </w:r>
          </w:p>
        </w:tc>
        <w:tc>
          <w:tcPr>
            <w:tcW w:w="35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07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c>
          <w:tcPr>
            <w:tcW w:w="15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color w:val="000000"/>
                <w:sz w:val="18"/>
                <w:szCs w:val="18"/>
                <w:highlight w:val="none"/>
                <w:u w:val="none"/>
              </w:rPr>
            </w:pPr>
          </w:p>
        </w:tc>
      </w:tr>
    </w:tbl>
    <w:p>
      <w:pPr>
        <w:widowControl/>
        <w:jc w:val="center"/>
        <w:rPr>
          <w:rFonts w:hint="eastAsia"/>
          <w:sz w:val="32"/>
          <w:szCs w:val="32"/>
          <w:highlight w:val="none"/>
        </w:rPr>
      </w:pPr>
    </w:p>
    <w:p>
      <w:pPr>
        <w:widowControl/>
        <w:jc w:val="center"/>
        <w:rPr>
          <w:rFonts w:hint="eastAsia"/>
          <w:sz w:val="32"/>
          <w:szCs w:val="32"/>
          <w:highlight w:val="none"/>
        </w:rPr>
      </w:pPr>
    </w:p>
    <w:p>
      <w:pPr>
        <w:widowControl/>
        <w:jc w:val="center"/>
        <w:rPr>
          <w:rFonts w:hint="eastAsia"/>
          <w:sz w:val="32"/>
          <w:szCs w:val="32"/>
          <w:highlight w:val="none"/>
        </w:rPr>
      </w:pPr>
    </w:p>
    <w:p>
      <w:pPr>
        <w:widowControl/>
        <w:jc w:val="center"/>
        <w:rPr>
          <w:rFonts w:hint="eastAsia"/>
          <w:sz w:val="32"/>
          <w:szCs w:val="32"/>
          <w:highlight w:val="none"/>
        </w:rPr>
      </w:pPr>
    </w:p>
    <w:p>
      <w:pPr>
        <w:widowControl/>
        <w:jc w:val="center"/>
        <w:rPr>
          <w:rFonts w:hint="eastAsia"/>
          <w:sz w:val="32"/>
          <w:szCs w:val="32"/>
          <w:highlight w:val="none"/>
        </w:rPr>
      </w:pPr>
    </w:p>
    <w:p>
      <w:pPr>
        <w:widowControl/>
        <w:jc w:val="center"/>
        <w:rPr>
          <w:rFonts w:hint="eastAsia"/>
          <w:sz w:val="32"/>
          <w:szCs w:val="32"/>
          <w:highlight w:val="none"/>
        </w:rPr>
      </w:pPr>
    </w:p>
    <w:p>
      <w:pPr>
        <w:widowControl/>
        <w:jc w:val="center"/>
        <w:rPr>
          <w:rFonts w:hint="eastAsia"/>
          <w:sz w:val="32"/>
          <w:szCs w:val="32"/>
          <w:highlight w:val="none"/>
        </w:rPr>
      </w:pPr>
    </w:p>
    <w:p>
      <w:pPr>
        <w:widowControl/>
        <w:jc w:val="center"/>
        <w:rPr>
          <w:rFonts w:hint="eastAsia"/>
          <w:sz w:val="32"/>
          <w:szCs w:val="32"/>
          <w:highlight w:val="none"/>
        </w:rPr>
      </w:pPr>
      <w:r>
        <w:rPr>
          <w:rFonts w:hint="eastAsia"/>
          <w:sz w:val="32"/>
          <w:szCs w:val="32"/>
          <w:highlight w:val="none"/>
        </w:rPr>
        <w:t>总价措施项目清单与计价表</w:t>
      </w:r>
    </w:p>
    <w:p>
      <w:pPr>
        <w:widowControl/>
        <w:jc w:val="both"/>
        <w:rPr>
          <w:rFonts w:hint="eastAsia"/>
          <w:sz w:val="32"/>
          <w:szCs w:val="32"/>
          <w:highlight w:val="none"/>
        </w:rPr>
      </w:pPr>
      <w:r>
        <w:rPr>
          <w:rFonts w:hint="eastAsia"/>
          <w:sz w:val="24"/>
          <w:szCs w:val="24"/>
          <w:highlight w:val="none"/>
        </w:rPr>
        <w:t>工程名称：中央财经大学学院南路校区水塔拆除工程</w:t>
      </w:r>
      <w:r>
        <w:rPr>
          <w:rFonts w:hint="eastAsia"/>
          <w:sz w:val="24"/>
          <w:szCs w:val="24"/>
          <w:highlight w:val="none"/>
        </w:rPr>
        <w:tab/>
      </w:r>
      <w:r>
        <w:rPr>
          <w:rFonts w:hint="eastAsia"/>
          <w:sz w:val="32"/>
          <w:szCs w:val="32"/>
          <w:highlight w:val="none"/>
        </w:rPr>
        <w:tab/>
      </w:r>
      <w:r>
        <w:rPr>
          <w:rFonts w:hint="eastAsia"/>
          <w:sz w:val="32"/>
          <w:szCs w:val="32"/>
          <w:highlight w:val="none"/>
        </w:rPr>
        <w:tab/>
      </w:r>
    </w:p>
    <w:tbl>
      <w:tblPr>
        <w:tblStyle w:val="60"/>
        <w:tblW w:w="9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3"/>
        <w:gridCol w:w="1683"/>
        <w:gridCol w:w="2581"/>
        <w:gridCol w:w="2297"/>
        <w:gridCol w:w="2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673" w:type="dxa"/>
            <w:tcBorders>
              <w:top w:val="single" w:color="000000" w:sz="12"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序号</w:t>
            </w:r>
          </w:p>
        </w:tc>
        <w:tc>
          <w:tcPr>
            <w:tcW w:w="1683"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项目编码</w:t>
            </w:r>
          </w:p>
        </w:tc>
        <w:tc>
          <w:tcPr>
            <w:tcW w:w="2581"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子目名称</w:t>
            </w:r>
          </w:p>
        </w:tc>
        <w:tc>
          <w:tcPr>
            <w:tcW w:w="2297"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计算基础</w:t>
            </w:r>
          </w:p>
        </w:tc>
        <w:tc>
          <w:tcPr>
            <w:tcW w:w="2080" w:type="dxa"/>
            <w:tcBorders>
              <w:top w:val="single" w:color="000000" w:sz="12"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911903001001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安全文明施工费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911903011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施工垃圾场外运输和消纳费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911903003001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夜间施工费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4</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911903004001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二次搬运费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911903005001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冬雨季施工费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6</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911903002001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临时设施费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7</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911903006001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施工困难增加费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8</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911903007001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原有建筑物、设备、陈设、高级装修及文物保护费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911903008001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高台建筑增加费（高在2M以上）</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10</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911903008002</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高台建筑增加费（高在5M以上）</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11</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911903009001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超高增加费（高在25～45M）</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12</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911903009002</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超高增加费（高在45M以上）</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13</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911903010001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施工排水、降水费</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673" w:type="dxa"/>
            <w:tcBorders>
              <w:top w:val="single" w:color="000000" w:sz="4" w:space="0"/>
              <w:left w:val="single" w:color="000000" w:sz="12"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14</w:t>
            </w:r>
          </w:p>
        </w:tc>
        <w:tc>
          <w:tcPr>
            <w:tcW w:w="16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AB001</w:t>
            </w:r>
          </w:p>
        </w:tc>
        <w:tc>
          <w:tcPr>
            <w:tcW w:w="258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大型机械设备进出场及安拆</w:t>
            </w:r>
          </w:p>
        </w:tc>
        <w:tc>
          <w:tcPr>
            <w:tcW w:w="229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color w:val="000000"/>
                <w:sz w:val="18"/>
                <w:szCs w:val="18"/>
                <w:highlight w:val="none"/>
                <w:u w:val="none"/>
              </w:rPr>
            </w:pPr>
          </w:p>
        </w:tc>
        <w:tc>
          <w:tcPr>
            <w:tcW w:w="208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color w:val="000000"/>
                <w:sz w:val="18"/>
                <w:szCs w:val="18"/>
                <w:highlight w:val="none"/>
                <w:u w:val="none"/>
              </w:rPr>
            </w:pPr>
          </w:p>
        </w:tc>
      </w:tr>
    </w:tbl>
    <w:p>
      <w:pPr>
        <w:widowControl/>
        <w:jc w:val="left"/>
        <w:rPr>
          <w:sz w:val="24"/>
          <w:szCs w:val="24"/>
          <w:highlight w:val="none"/>
        </w:rPr>
      </w:pPr>
      <w:r>
        <w:rPr>
          <w:highlight w:val="none"/>
        </w:rPr>
        <w:br w:type="page"/>
      </w: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p>
    <w:p>
      <w:pPr>
        <w:pStyle w:val="2"/>
        <w:jc w:val="center"/>
        <w:rPr>
          <w:highlight w:val="none"/>
        </w:rPr>
      </w:pPr>
      <w:bookmarkStart w:id="86" w:name="_Toc508871665"/>
      <w:r>
        <w:rPr>
          <w:rFonts w:hint="eastAsia"/>
          <w:highlight w:val="none"/>
        </w:rPr>
        <w:t>第五章评审标准及细则</w:t>
      </w:r>
      <w:bookmarkEnd w:id="86"/>
    </w:p>
    <w:p>
      <w:pPr>
        <w:rPr>
          <w:kern w:val="44"/>
          <w:sz w:val="44"/>
          <w:szCs w:val="44"/>
          <w:highlight w:val="none"/>
        </w:rPr>
      </w:pPr>
      <w:r>
        <w:rPr>
          <w:highlight w:val="none"/>
        </w:rPr>
        <w:br w:type="page"/>
      </w:r>
    </w:p>
    <w:p>
      <w:pPr>
        <w:jc w:val="center"/>
        <w:rPr>
          <w:b/>
          <w:sz w:val="32"/>
          <w:szCs w:val="32"/>
          <w:highlight w:val="none"/>
        </w:rPr>
      </w:pPr>
      <w:r>
        <w:rPr>
          <w:rFonts w:hint="eastAsia"/>
          <w:b/>
          <w:sz w:val="32"/>
          <w:szCs w:val="32"/>
          <w:highlight w:val="none"/>
        </w:rPr>
        <w:t>评审标准及细则</w:t>
      </w:r>
    </w:p>
    <w:p>
      <w:pPr>
        <w:spacing w:line="480" w:lineRule="auto"/>
        <w:jc w:val="left"/>
        <w:rPr>
          <w:b/>
          <w:sz w:val="24"/>
          <w:szCs w:val="24"/>
          <w:highlight w:val="none"/>
        </w:rPr>
      </w:pPr>
      <w:r>
        <w:rPr>
          <w:rFonts w:hint="eastAsia"/>
          <w:b/>
          <w:sz w:val="24"/>
          <w:szCs w:val="24"/>
          <w:highlight w:val="none"/>
        </w:rPr>
        <w:t>一、评审标准</w:t>
      </w:r>
    </w:p>
    <w:p>
      <w:pPr>
        <w:spacing w:line="360" w:lineRule="auto"/>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、评审原则</w:t>
      </w:r>
    </w:p>
    <w:p>
      <w:pPr>
        <w:spacing w:line="360" w:lineRule="auto"/>
        <w:ind w:firstLine="420" w:firstLineChars="200"/>
        <w:rPr>
          <w:rFonts w:ascii="宋体" w:cs="宋体"/>
          <w:szCs w:val="21"/>
          <w:highlight w:val="none"/>
        </w:rPr>
      </w:pPr>
      <w:r>
        <w:rPr>
          <w:rFonts w:hint="eastAsia" w:ascii="宋体" w:hAnsi="宋体" w:cs="宋体"/>
          <w:szCs w:val="21"/>
          <w:highlight w:val="none"/>
        </w:rPr>
        <w:t>根据《中华人民共和国招标投标法》、《中华人民共和国政府采购法》及有关规定，坚持公平、公正的原则，反对不正当竞争；采用综合评分法进行评审。</w:t>
      </w:r>
    </w:p>
    <w:p>
      <w:pPr>
        <w:spacing w:line="360" w:lineRule="auto"/>
        <w:rPr>
          <w:rFonts w:ascii="宋体" w:cs="宋体"/>
          <w:szCs w:val="21"/>
          <w:highlight w:val="none"/>
        </w:rPr>
      </w:pPr>
      <w:bookmarkStart w:id="87" w:name="_Toc162406726"/>
      <w:r>
        <w:rPr>
          <w:rFonts w:ascii="宋体" w:hAnsi="宋体" w:cs="宋体"/>
          <w:szCs w:val="21"/>
          <w:highlight w:val="none"/>
        </w:rPr>
        <w:t>2</w:t>
      </w:r>
      <w:r>
        <w:rPr>
          <w:rFonts w:hint="eastAsia" w:ascii="宋体" w:hAnsi="宋体" w:cs="宋体"/>
          <w:szCs w:val="21"/>
          <w:highlight w:val="none"/>
        </w:rPr>
        <w:t>、磋商办法适用</w:t>
      </w:r>
      <w:bookmarkEnd w:id="87"/>
    </w:p>
    <w:p>
      <w:pPr>
        <w:spacing w:line="360" w:lineRule="auto"/>
        <w:ind w:firstLine="420" w:firstLineChars="200"/>
        <w:rPr>
          <w:rFonts w:ascii="宋体" w:cs="宋体"/>
          <w:szCs w:val="21"/>
          <w:highlight w:val="none"/>
        </w:rPr>
      </w:pPr>
      <w:r>
        <w:rPr>
          <w:rFonts w:hint="eastAsia" w:ascii="宋体" w:hAnsi="宋体" w:cs="宋体"/>
          <w:szCs w:val="21"/>
          <w:highlight w:val="none"/>
        </w:rPr>
        <w:t>本办法仅适用于本服务磋商活动。</w:t>
      </w:r>
    </w:p>
    <w:p>
      <w:pPr>
        <w:spacing w:line="360" w:lineRule="auto"/>
        <w:rPr>
          <w:rFonts w:ascii="宋体" w:cs="宋体"/>
          <w:szCs w:val="21"/>
          <w:highlight w:val="none"/>
        </w:rPr>
      </w:pPr>
      <w:bookmarkStart w:id="88" w:name="_Toc162406727"/>
      <w:r>
        <w:rPr>
          <w:rFonts w:ascii="宋体" w:hAnsi="宋体" w:cs="宋体"/>
          <w:szCs w:val="21"/>
          <w:highlight w:val="none"/>
        </w:rPr>
        <w:t>3</w:t>
      </w:r>
      <w:r>
        <w:rPr>
          <w:rFonts w:hint="eastAsia" w:ascii="宋体" w:hAnsi="宋体" w:cs="宋体"/>
          <w:szCs w:val="21"/>
          <w:highlight w:val="none"/>
        </w:rPr>
        <w:t>、磋商方法</w:t>
      </w:r>
      <w:bookmarkEnd w:id="88"/>
    </w:p>
    <w:p>
      <w:pPr>
        <w:spacing w:line="360" w:lineRule="auto"/>
        <w:ind w:firstLine="420" w:firstLineChars="200"/>
        <w:rPr>
          <w:rFonts w:ascii="宋体" w:cs="宋体"/>
          <w:szCs w:val="21"/>
          <w:highlight w:val="none"/>
        </w:rPr>
      </w:pPr>
      <w:r>
        <w:rPr>
          <w:rFonts w:hint="eastAsia" w:ascii="宋体" w:hAnsi="宋体" w:cs="宋体"/>
          <w:szCs w:val="21"/>
          <w:highlight w:val="none"/>
        </w:rPr>
        <w:t>本项目的磋商采用综合评分法。</w:t>
      </w:r>
    </w:p>
    <w:p>
      <w:pPr>
        <w:spacing w:line="360" w:lineRule="auto"/>
        <w:rPr>
          <w:rFonts w:ascii="宋体" w:cs="宋体"/>
          <w:szCs w:val="21"/>
          <w:highlight w:val="none"/>
        </w:rPr>
      </w:pPr>
      <w:r>
        <w:rPr>
          <w:rFonts w:ascii="宋体" w:hAnsi="宋体" w:cs="宋体"/>
          <w:szCs w:val="21"/>
          <w:highlight w:val="none"/>
        </w:rPr>
        <w:t>4</w:t>
      </w:r>
      <w:r>
        <w:rPr>
          <w:rFonts w:hint="eastAsia" w:ascii="宋体" w:hAnsi="宋体" w:cs="宋体"/>
          <w:szCs w:val="21"/>
          <w:highlight w:val="none"/>
        </w:rPr>
        <w:t>、竞争性磋商小组组成</w:t>
      </w:r>
    </w:p>
    <w:p>
      <w:pPr>
        <w:spacing w:line="360" w:lineRule="auto"/>
        <w:ind w:firstLine="420" w:firstLineChars="200"/>
        <w:rPr>
          <w:rFonts w:ascii="宋体" w:cs="宋体"/>
          <w:szCs w:val="21"/>
          <w:highlight w:val="none"/>
        </w:rPr>
      </w:pPr>
      <w:bookmarkStart w:id="89" w:name="_Toc162406729"/>
      <w:r>
        <w:rPr>
          <w:rFonts w:hint="eastAsia" w:ascii="宋体" w:hAnsi="宋体" w:cs="宋体"/>
          <w:szCs w:val="21"/>
          <w:highlight w:val="none"/>
        </w:rPr>
        <w:t>磋商小组由采购人代表和评审专家共</w:t>
      </w:r>
      <w:r>
        <w:rPr>
          <w:rFonts w:ascii="宋体" w:hAnsi="宋体" w:cs="宋体"/>
          <w:szCs w:val="21"/>
          <w:highlight w:val="none"/>
        </w:rPr>
        <w:t>3</w:t>
      </w:r>
      <w:r>
        <w:rPr>
          <w:rFonts w:hint="eastAsia" w:ascii="宋体" w:hAnsi="宋体" w:cs="宋体"/>
          <w:szCs w:val="21"/>
          <w:highlight w:val="none"/>
        </w:rPr>
        <w:t>人（含）以上单数组成，其中评审专家人数不得少于磋商小组成员总数的</w:t>
      </w:r>
      <w:r>
        <w:rPr>
          <w:rFonts w:ascii="宋体" w:hAnsi="宋体" w:cs="宋体"/>
          <w:szCs w:val="21"/>
          <w:highlight w:val="none"/>
        </w:rPr>
        <w:t>2/3</w:t>
      </w:r>
      <w:r>
        <w:rPr>
          <w:rFonts w:hint="eastAsia" w:ascii="宋体" w:hAnsi="宋体" w:cs="宋体"/>
          <w:szCs w:val="21"/>
          <w:highlight w:val="none"/>
        </w:rPr>
        <w:t>。</w:t>
      </w:r>
    </w:p>
    <w:p>
      <w:pPr>
        <w:spacing w:line="360" w:lineRule="auto"/>
        <w:rPr>
          <w:rFonts w:ascii="宋体" w:cs="宋体"/>
          <w:szCs w:val="21"/>
          <w:highlight w:val="none"/>
        </w:rPr>
      </w:pPr>
      <w:r>
        <w:rPr>
          <w:rFonts w:ascii="宋体" w:hAnsi="宋体" w:cs="宋体"/>
          <w:szCs w:val="21"/>
          <w:highlight w:val="none"/>
        </w:rPr>
        <w:t>5</w:t>
      </w:r>
      <w:r>
        <w:rPr>
          <w:rFonts w:hint="eastAsia" w:ascii="宋体" w:hAnsi="宋体" w:cs="宋体"/>
          <w:szCs w:val="21"/>
          <w:highlight w:val="none"/>
        </w:rPr>
        <w:t>、磋商原则</w:t>
      </w:r>
      <w:bookmarkEnd w:id="89"/>
    </w:p>
    <w:p>
      <w:pPr>
        <w:spacing w:line="360" w:lineRule="auto"/>
        <w:ind w:firstLine="420" w:firstLineChars="200"/>
        <w:rPr>
          <w:rFonts w:ascii="宋体" w:cs="宋体"/>
          <w:szCs w:val="21"/>
          <w:highlight w:val="none"/>
        </w:rPr>
      </w:pPr>
      <w:r>
        <w:rPr>
          <w:rFonts w:hint="eastAsia" w:ascii="宋体" w:hAnsi="宋体" w:cs="宋体"/>
          <w:szCs w:val="21"/>
          <w:highlight w:val="none"/>
        </w:rPr>
        <w:t>竞争性磋商小组依法按照下述原则进行磋商：</w:t>
      </w:r>
    </w:p>
    <w:p>
      <w:pPr>
        <w:numPr>
          <w:ilvl w:val="0"/>
          <w:numId w:val="11"/>
        </w:numPr>
        <w:tabs>
          <w:tab w:val="left" w:pos="615"/>
        </w:tabs>
        <w:spacing w:line="360" w:lineRule="auto"/>
        <w:rPr>
          <w:rFonts w:ascii="宋体" w:cs="宋体"/>
          <w:szCs w:val="21"/>
          <w:highlight w:val="none"/>
        </w:rPr>
      </w:pPr>
      <w:r>
        <w:rPr>
          <w:rFonts w:hint="eastAsia" w:ascii="宋体" w:hAnsi="宋体" w:cs="宋体"/>
          <w:szCs w:val="21"/>
          <w:highlight w:val="none"/>
        </w:rPr>
        <w:t>客观、公平、公正、科学、择优；</w:t>
      </w:r>
    </w:p>
    <w:p>
      <w:pPr>
        <w:numPr>
          <w:ilvl w:val="0"/>
          <w:numId w:val="11"/>
        </w:numPr>
        <w:tabs>
          <w:tab w:val="left" w:pos="615"/>
        </w:tabs>
        <w:spacing w:line="360" w:lineRule="auto"/>
        <w:rPr>
          <w:rFonts w:ascii="宋体" w:cs="宋体"/>
          <w:szCs w:val="21"/>
          <w:highlight w:val="none"/>
        </w:rPr>
      </w:pPr>
      <w:r>
        <w:rPr>
          <w:rFonts w:hint="eastAsia" w:ascii="宋体" w:hAnsi="宋体" w:cs="宋体"/>
          <w:szCs w:val="21"/>
          <w:highlight w:val="none"/>
        </w:rPr>
        <w:t>依法磋商、严格保密；</w:t>
      </w:r>
    </w:p>
    <w:p>
      <w:pPr>
        <w:numPr>
          <w:ilvl w:val="0"/>
          <w:numId w:val="11"/>
        </w:numPr>
        <w:tabs>
          <w:tab w:val="left" w:pos="615"/>
        </w:tabs>
        <w:spacing w:line="360" w:lineRule="auto"/>
        <w:rPr>
          <w:rFonts w:ascii="宋体" w:cs="宋体"/>
          <w:szCs w:val="21"/>
          <w:highlight w:val="none"/>
        </w:rPr>
      </w:pPr>
      <w:r>
        <w:rPr>
          <w:rFonts w:hint="eastAsia" w:ascii="宋体" w:hAnsi="宋体" w:cs="宋体"/>
          <w:szCs w:val="21"/>
          <w:highlight w:val="none"/>
        </w:rPr>
        <w:t>反对不正当的竞争。</w:t>
      </w:r>
    </w:p>
    <w:p>
      <w:pPr>
        <w:spacing w:line="360" w:lineRule="auto"/>
        <w:rPr>
          <w:rFonts w:ascii="宋体" w:cs="宋体"/>
          <w:szCs w:val="21"/>
          <w:highlight w:val="none"/>
        </w:rPr>
      </w:pPr>
      <w:r>
        <w:rPr>
          <w:rFonts w:ascii="宋体" w:hAnsi="宋体" w:cs="宋体"/>
          <w:szCs w:val="21"/>
          <w:highlight w:val="none"/>
        </w:rPr>
        <w:t>6</w:t>
      </w:r>
      <w:r>
        <w:rPr>
          <w:rFonts w:hint="eastAsia" w:ascii="宋体" w:hAnsi="宋体" w:cs="宋体"/>
          <w:szCs w:val="21"/>
          <w:highlight w:val="none"/>
        </w:rPr>
        <w:t>、评审程序</w:t>
      </w:r>
    </w:p>
    <w:p>
      <w:pPr>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）初步评审</w:t>
      </w:r>
    </w:p>
    <w:p>
      <w:pPr>
        <w:spacing w:line="360" w:lineRule="auto"/>
        <w:ind w:firstLine="420" w:firstLineChars="200"/>
        <w:rPr>
          <w:rFonts w:ascii="宋体" w:cs="宋体"/>
          <w:szCs w:val="21"/>
          <w:highlight w:val="none"/>
        </w:rPr>
      </w:pPr>
      <w:r>
        <w:rPr>
          <w:rFonts w:hint="eastAsia" w:ascii="宋体" w:hAnsi="宋体" w:cs="宋体"/>
          <w:szCs w:val="21"/>
          <w:highlight w:val="none"/>
        </w:rPr>
        <w:t>符合性与完整性评审</w:t>
      </w:r>
    </w:p>
    <w:p>
      <w:pPr>
        <w:spacing w:line="360" w:lineRule="auto"/>
        <w:ind w:firstLine="420" w:firstLineChars="200"/>
        <w:rPr>
          <w:rFonts w:ascii="宋体" w:cs="宋体"/>
          <w:szCs w:val="21"/>
          <w:highlight w:val="none"/>
        </w:rPr>
      </w:pPr>
      <w:r>
        <w:rPr>
          <w:rFonts w:hint="eastAsia" w:ascii="宋体" w:hAnsi="宋体" w:cs="宋体"/>
          <w:szCs w:val="21"/>
          <w:highlight w:val="none"/>
        </w:rPr>
        <w:t>磋商小组首先按竞争性磋商文件要求对各报价人的响应文件进行符合性与完整性评审，确认其响应文件是否实质上响应了竞争性磋商文件的要求，所谓实质性响应，是指响应文件应与竞争性磋商文件的所有实质性条款、条件和要求相符，无显著差异。</w:t>
      </w:r>
    </w:p>
    <w:p>
      <w:pPr>
        <w:spacing w:line="360" w:lineRule="auto"/>
        <w:ind w:firstLine="420" w:firstLineChars="200"/>
        <w:rPr>
          <w:rFonts w:ascii="宋体" w:cs="宋体"/>
          <w:szCs w:val="21"/>
          <w:highlight w:val="none"/>
        </w:rPr>
      </w:pPr>
      <w:r>
        <w:rPr>
          <w:rFonts w:hint="eastAsia" w:ascii="宋体" w:hAnsi="宋体" w:cs="宋体"/>
          <w:szCs w:val="21"/>
          <w:highlight w:val="none"/>
        </w:rPr>
        <w:t>如竞争性磋商文件存在算术错误，将按以下方法更正：若单价计算的结果与总价不一致，以单价为准修改总价；若用文字表示的数值与用数字表示的数值不一致，以文字表示的数值为准。如果报价人不接受对其错误的更正，其响应将被拒绝。</w:t>
      </w:r>
    </w:p>
    <w:p>
      <w:pPr>
        <w:spacing w:line="360" w:lineRule="auto"/>
        <w:ind w:firstLine="420" w:firstLineChars="200"/>
        <w:rPr>
          <w:rFonts w:ascii="宋体" w:cs="宋体"/>
          <w:szCs w:val="21"/>
          <w:highlight w:val="none"/>
        </w:rPr>
      </w:pPr>
      <w:r>
        <w:rPr>
          <w:rFonts w:hint="eastAsia" w:ascii="宋体" w:hAnsi="宋体" w:cs="宋体"/>
          <w:szCs w:val="21"/>
          <w:highlight w:val="none"/>
        </w:rPr>
        <w:t>如果响应文件属于下列情况则作废标处理：</w:t>
      </w:r>
    </w:p>
    <w:p>
      <w:pPr>
        <w:spacing w:line="360" w:lineRule="auto"/>
        <w:ind w:firstLine="480"/>
        <w:rPr>
          <w:rFonts w:ascii="宋体" w:cs="宋体"/>
          <w:szCs w:val="21"/>
          <w:highlight w:val="none"/>
        </w:rPr>
      </w:pPr>
      <w:r>
        <w:rPr>
          <w:rFonts w:ascii="宋体" w:hAnsi="宋体" w:cs="宋体"/>
          <w:szCs w:val="21"/>
          <w:highlight w:val="none"/>
        </w:rPr>
        <w:t>a</w:t>
      </w:r>
      <w:r>
        <w:rPr>
          <w:rFonts w:hint="eastAsia" w:ascii="宋体" w:hAnsi="宋体" w:cs="宋体"/>
          <w:szCs w:val="21"/>
          <w:highlight w:val="none"/>
        </w:rPr>
        <w:t>、响应文件格式，包括填写、装订、密封和签字盖章等不符合竞争性磋商文件要求的；</w:t>
      </w:r>
      <w:r>
        <w:rPr>
          <w:rFonts w:ascii="宋体" w:hAnsi="宋体" w:cs="宋体"/>
          <w:szCs w:val="21"/>
          <w:highlight w:val="none"/>
        </w:rPr>
        <w:t xml:space="preserve">   </w:t>
      </w:r>
    </w:p>
    <w:p>
      <w:pPr>
        <w:spacing w:line="360" w:lineRule="auto"/>
        <w:ind w:firstLine="480"/>
        <w:rPr>
          <w:rFonts w:ascii="宋体" w:cs="宋体"/>
          <w:szCs w:val="21"/>
          <w:highlight w:val="none"/>
        </w:rPr>
      </w:pPr>
      <w:r>
        <w:rPr>
          <w:rFonts w:ascii="宋体" w:hAnsi="宋体" w:cs="宋体"/>
          <w:szCs w:val="21"/>
          <w:highlight w:val="none"/>
        </w:rPr>
        <w:t>b</w:t>
      </w:r>
      <w:r>
        <w:rPr>
          <w:rFonts w:hint="eastAsia" w:ascii="宋体" w:hAnsi="宋体" w:cs="宋体"/>
          <w:szCs w:val="21"/>
          <w:highlight w:val="none"/>
        </w:rPr>
        <w:t>、工期不符合竞争性磋商文件要求的；</w:t>
      </w:r>
    </w:p>
    <w:p>
      <w:pPr>
        <w:spacing w:line="360" w:lineRule="auto"/>
        <w:ind w:firstLine="480"/>
        <w:rPr>
          <w:rFonts w:ascii="宋体" w:cs="宋体"/>
          <w:szCs w:val="21"/>
          <w:highlight w:val="none"/>
        </w:rPr>
      </w:pPr>
      <w:r>
        <w:rPr>
          <w:rFonts w:ascii="宋体" w:hAnsi="宋体" w:cs="宋体"/>
          <w:szCs w:val="21"/>
          <w:highlight w:val="none"/>
        </w:rPr>
        <w:t>c</w:t>
      </w:r>
      <w:r>
        <w:rPr>
          <w:rFonts w:hint="eastAsia" w:ascii="宋体" w:hAnsi="宋体" w:cs="宋体"/>
          <w:szCs w:val="21"/>
          <w:highlight w:val="none"/>
        </w:rPr>
        <w:t>、不符合法律、法规和竞争性磋商文件中规定的其他实质性要求的。</w:t>
      </w:r>
    </w:p>
    <w:p>
      <w:pPr>
        <w:spacing w:line="360" w:lineRule="auto"/>
        <w:ind w:firstLine="420" w:firstLineChars="200"/>
        <w:rPr>
          <w:rFonts w:ascii="宋体" w:cs="宋体"/>
          <w:szCs w:val="21"/>
          <w:highlight w:val="none"/>
        </w:rPr>
      </w:pPr>
      <w:r>
        <w:rPr>
          <w:rFonts w:hint="eastAsia" w:ascii="宋体" w:hAnsi="宋体" w:cs="宋体"/>
          <w:szCs w:val="21"/>
          <w:highlight w:val="none"/>
        </w:rPr>
        <w:t>竞争性磋商小组对通过符合性与完整性评审的响应文件进行资格后审。按照资格后审的要求，确定报价人是否符合响应的资格条件。通过资格后审的响应文件可以进入详细评审。</w:t>
      </w:r>
    </w:p>
    <w:p>
      <w:pPr>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）详细评审</w:t>
      </w:r>
    </w:p>
    <w:p>
      <w:pPr>
        <w:spacing w:line="360" w:lineRule="auto"/>
        <w:ind w:firstLine="420" w:firstLineChars="200"/>
        <w:rPr>
          <w:rFonts w:ascii="宋体" w:cs="宋体"/>
          <w:szCs w:val="21"/>
          <w:highlight w:val="none"/>
        </w:rPr>
      </w:pPr>
      <w:r>
        <w:rPr>
          <w:rFonts w:hint="eastAsia" w:ascii="宋体" w:hAnsi="宋体" w:cs="宋体"/>
          <w:szCs w:val="21"/>
          <w:highlight w:val="none"/>
        </w:rPr>
        <w:t>竞争性磋商小组对通过初步评审的响应文件进行详细评审，按照竞争性磋商文件确定的评审办法进行打分，初审不合格的响应文件则不参与详细评审，不予打分。</w:t>
      </w:r>
    </w:p>
    <w:p>
      <w:pPr>
        <w:spacing w:line="360" w:lineRule="auto"/>
        <w:ind w:firstLine="420" w:firstLineChars="200"/>
        <w:rPr>
          <w:rFonts w:ascii="宋体" w:cs="宋体"/>
          <w:szCs w:val="21"/>
          <w:highlight w:val="none"/>
        </w:rPr>
      </w:pPr>
      <w:r>
        <w:rPr>
          <w:rFonts w:hint="eastAsia" w:ascii="宋体" w:hAnsi="宋体" w:cs="宋体"/>
          <w:szCs w:val="21"/>
          <w:highlight w:val="none"/>
        </w:rPr>
        <w:t>澄清、说明或补正的编制要求：</w:t>
      </w:r>
    </w:p>
    <w:p>
      <w:pPr>
        <w:spacing w:line="360" w:lineRule="auto"/>
        <w:ind w:firstLine="420" w:firstLineChars="200"/>
        <w:rPr>
          <w:rFonts w:ascii="宋体" w:cs="宋体"/>
          <w:szCs w:val="21"/>
          <w:highlight w:val="none"/>
        </w:rPr>
      </w:pPr>
      <w:r>
        <w:rPr>
          <w:rFonts w:hint="eastAsia" w:ascii="宋体" w:hAnsi="宋体" w:cs="宋体"/>
          <w:szCs w:val="21"/>
          <w:highlight w:val="none"/>
        </w:rPr>
        <w:t>竞争性磋商小组可以书面方式要求报价人对响应文件中含义不明确、对同类问题表述不一致或者有明显文字和计算错误的内容作必要的澄清、说明或补正。竞争性磋商小组不得向报价人提出带有暗示性或诱导性的问题，或向其明确响应文件中的遗漏和错误。</w:t>
      </w:r>
    </w:p>
    <w:p>
      <w:pPr>
        <w:spacing w:line="360" w:lineRule="auto"/>
        <w:ind w:firstLine="420" w:firstLineChars="200"/>
        <w:rPr>
          <w:rFonts w:ascii="宋体" w:cs="宋体"/>
          <w:szCs w:val="21"/>
          <w:highlight w:val="none"/>
        </w:rPr>
      </w:pPr>
      <w:r>
        <w:rPr>
          <w:rFonts w:hint="eastAsia" w:ascii="宋体" w:hAnsi="宋体" w:cs="宋体"/>
          <w:szCs w:val="21"/>
          <w:highlight w:val="none"/>
        </w:rPr>
        <w:t>响应文件不响应竞争性磋商文件的实质性要求和条件，采购人将予以拒绝，并不允许报价人通过修正或撤销其不符合要求的差异或保留，使之成为具有影响力的响应。</w:t>
      </w:r>
    </w:p>
    <w:p>
      <w:pPr>
        <w:spacing w:line="360" w:lineRule="auto"/>
        <w:ind w:firstLine="420" w:firstLineChars="200"/>
        <w:rPr>
          <w:rFonts w:ascii="宋体" w:cs="宋体"/>
          <w:szCs w:val="21"/>
          <w:highlight w:val="none"/>
        </w:rPr>
      </w:pPr>
      <w:r>
        <w:rPr>
          <w:rFonts w:hint="eastAsia" w:ascii="宋体" w:hAnsi="宋体" w:cs="宋体"/>
          <w:szCs w:val="21"/>
          <w:highlight w:val="none"/>
        </w:rPr>
        <w:t>为了有助于响应文件的审查、评价和比较，竞争性磋商小组可以个别的要求报价人澄清其响应文件中的问题或者要求其补充相关资料，对此报价人不得拒绝。</w:t>
      </w:r>
    </w:p>
    <w:p>
      <w:pPr>
        <w:spacing w:line="360" w:lineRule="auto"/>
        <w:ind w:firstLine="420" w:firstLineChars="200"/>
        <w:rPr>
          <w:rFonts w:ascii="宋体" w:cs="宋体"/>
          <w:szCs w:val="21"/>
          <w:highlight w:val="none"/>
        </w:rPr>
      </w:pPr>
      <w:r>
        <w:rPr>
          <w:rFonts w:hint="eastAsia" w:ascii="宋体" w:hAnsi="宋体" w:cs="宋体"/>
          <w:szCs w:val="21"/>
          <w:highlight w:val="none"/>
        </w:rPr>
        <w:t>有关澄清的要求与答复，应以书面形式进行，报价人不得借澄清问题的机会与采购人或竞争性磋商小组成员私下接触或对原响应文件中的价格或实质性内容提出修改。凡属采购人磋商时发现的算术性错误则不在此列。</w:t>
      </w:r>
    </w:p>
    <w:p>
      <w:pPr>
        <w:spacing w:line="360" w:lineRule="auto"/>
        <w:ind w:firstLine="420" w:firstLineChars="200"/>
        <w:rPr>
          <w:rFonts w:ascii="宋体" w:cs="宋体"/>
          <w:szCs w:val="21"/>
          <w:highlight w:val="none"/>
        </w:rPr>
      </w:pPr>
      <w:r>
        <w:rPr>
          <w:rFonts w:hint="eastAsia" w:ascii="宋体" w:hAnsi="宋体" w:cs="宋体"/>
          <w:szCs w:val="21"/>
          <w:highlight w:val="none"/>
        </w:rPr>
        <w:t>采购人及竞争性磋商小组不接受报价人主动提出的对响应文件的澄清。无正当理由拒对竞争性磋商小组提出的质疑不能合理解释或者提供证明材料，又拒绝根据竞争性磋商小组建议进行修正的，经竞争性磋商小组后按废标处理。</w:t>
      </w:r>
    </w:p>
    <w:p>
      <w:pPr>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）汇总得分</w:t>
      </w:r>
    </w:p>
    <w:p>
      <w:pPr>
        <w:spacing w:line="360" w:lineRule="auto"/>
        <w:ind w:firstLine="420"/>
        <w:rPr>
          <w:rFonts w:ascii="宋体" w:cs="宋体"/>
          <w:szCs w:val="21"/>
          <w:highlight w:val="none"/>
        </w:rPr>
      </w:pPr>
      <w:r>
        <w:rPr>
          <w:rFonts w:hint="eastAsia" w:ascii="宋体" w:hAnsi="宋体" w:cs="宋体"/>
          <w:szCs w:val="21"/>
          <w:highlight w:val="none"/>
        </w:rPr>
        <w:t>汇总计算各竞争性磋商小组关于响应内容的评分，平均值则为报价人的最后得分，按得分由高到低排序，</w:t>
      </w:r>
      <w:r>
        <w:rPr>
          <w:rFonts w:hint="eastAsia" w:ascii="宋体" w:hAnsi="宋体" w:cs="宋体"/>
          <w:b/>
          <w:bCs/>
          <w:szCs w:val="21"/>
          <w:highlight w:val="none"/>
        </w:rPr>
        <w:t>确定得分最高的前</w:t>
      </w:r>
      <w:r>
        <w:rPr>
          <w:rFonts w:ascii="宋体" w:hAnsi="宋体" w:cs="宋体"/>
          <w:b/>
          <w:bCs/>
          <w:szCs w:val="21"/>
          <w:highlight w:val="none"/>
        </w:rPr>
        <w:t>3</w:t>
      </w:r>
      <w:r>
        <w:rPr>
          <w:rFonts w:hint="eastAsia" w:ascii="宋体" w:hAnsi="宋体" w:cs="宋体"/>
          <w:b/>
          <w:bCs/>
          <w:szCs w:val="21"/>
          <w:highlight w:val="none"/>
        </w:rPr>
        <w:t>名为成交候选人</w:t>
      </w:r>
      <w:r>
        <w:rPr>
          <w:rFonts w:hint="eastAsia" w:ascii="宋体" w:hAnsi="宋体" w:cs="宋体"/>
          <w:szCs w:val="21"/>
          <w:highlight w:val="none"/>
        </w:rPr>
        <w:t>，由竞争性磋商小组向采购人提出书面报告。评审得分相同的，按照最终报价由低到高的顺序推荐；如最终报价相同，则按照</w:t>
      </w:r>
      <w:r>
        <w:rPr>
          <w:rFonts w:hint="eastAsia" w:ascii="宋体" w:hAnsi="宋体" w:cs="宋体"/>
          <w:szCs w:val="21"/>
          <w:highlight w:val="none"/>
          <w:lang w:eastAsia="zh-CN"/>
        </w:rPr>
        <w:t>安全施工</w:t>
      </w:r>
      <w:r>
        <w:rPr>
          <w:rFonts w:hint="eastAsia" w:ascii="宋体" w:hAnsi="宋体" w:cs="宋体"/>
          <w:szCs w:val="21"/>
          <w:highlight w:val="none"/>
        </w:rPr>
        <w:t>得分由高到低的顺序推荐。</w:t>
      </w:r>
    </w:p>
    <w:p>
      <w:pPr>
        <w:spacing w:line="360" w:lineRule="auto"/>
        <w:rPr>
          <w:rFonts w:ascii="宋体" w:cs="宋体"/>
          <w:szCs w:val="21"/>
          <w:highlight w:val="none"/>
        </w:rPr>
      </w:pPr>
      <w:r>
        <w:rPr>
          <w:rFonts w:ascii="宋体" w:hAnsi="宋体" w:cs="宋体"/>
          <w:szCs w:val="21"/>
          <w:highlight w:val="none"/>
        </w:rPr>
        <w:t>7</w:t>
      </w:r>
      <w:r>
        <w:rPr>
          <w:rFonts w:hint="eastAsia" w:ascii="宋体" w:hAnsi="宋体" w:cs="宋体"/>
          <w:szCs w:val="21"/>
          <w:highlight w:val="none"/>
        </w:rPr>
        <w:t>、评分标准</w:t>
      </w:r>
    </w:p>
    <w:p>
      <w:pPr>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）本磋商办法标准采用综合评分法</w:t>
      </w:r>
      <w:r>
        <w:rPr>
          <w:rFonts w:ascii="宋体" w:cs="宋体"/>
          <w:szCs w:val="21"/>
          <w:highlight w:val="none"/>
        </w:rPr>
        <w:t>,</w:t>
      </w:r>
      <w:r>
        <w:rPr>
          <w:rFonts w:hint="eastAsia" w:ascii="宋体" w:hAnsi="宋体" w:cs="宋体"/>
          <w:szCs w:val="21"/>
          <w:highlight w:val="none"/>
        </w:rPr>
        <w:t>评分标准总分值为</w:t>
      </w:r>
      <w:r>
        <w:rPr>
          <w:rFonts w:ascii="宋体" w:hAnsi="宋体" w:cs="宋体"/>
          <w:szCs w:val="21"/>
          <w:highlight w:val="none"/>
        </w:rPr>
        <w:t>100</w:t>
      </w:r>
      <w:r>
        <w:rPr>
          <w:rFonts w:hint="eastAsia" w:ascii="宋体" w:hAnsi="宋体" w:cs="宋体"/>
          <w:szCs w:val="21"/>
          <w:highlight w:val="none"/>
        </w:rPr>
        <w:t>分。</w:t>
      </w:r>
    </w:p>
    <w:p>
      <w:pPr>
        <w:spacing w:line="360" w:lineRule="auto"/>
        <w:rPr>
          <w:rFonts w:ascii="宋体" w:cs="宋体"/>
          <w:szCs w:val="21"/>
          <w:highlight w:val="none"/>
        </w:rPr>
      </w:pPr>
      <w:r>
        <w:rPr>
          <w:rFonts w:ascii="宋体" w:hAnsi="宋体" w:cs="宋体"/>
          <w:szCs w:val="21"/>
          <w:highlight w:val="none"/>
        </w:rPr>
        <w:t>8</w:t>
      </w:r>
      <w:r>
        <w:rPr>
          <w:rFonts w:hint="eastAsia" w:ascii="宋体" w:hAnsi="宋体" w:cs="宋体"/>
          <w:szCs w:val="21"/>
          <w:highlight w:val="none"/>
        </w:rPr>
        <w:t>、竞争性磋商小组建议重新组织磋商</w:t>
      </w:r>
    </w:p>
    <w:p>
      <w:pPr>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）磋商小组经评审，确认存在下列情形之一的，应当建议采购人依法重新组织磋商：</w:t>
      </w:r>
    </w:p>
    <w:p>
      <w:pPr>
        <w:spacing w:line="360" w:lineRule="auto"/>
        <w:ind w:firstLine="210" w:firstLineChars="100"/>
        <w:rPr>
          <w:rFonts w:ascii="宋体" w:cs="宋体"/>
          <w:szCs w:val="21"/>
          <w:highlight w:val="none"/>
        </w:rPr>
      </w:pPr>
      <w:r>
        <w:rPr>
          <w:rFonts w:ascii="宋体" w:hAnsi="宋体" w:cs="宋体"/>
          <w:szCs w:val="21"/>
          <w:highlight w:val="none"/>
        </w:rPr>
        <w:t>a</w:t>
      </w:r>
      <w:r>
        <w:rPr>
          <w:rFonts w:hint="eastAsia" w:ascii="宋体" w:hAnsi="宋体" w:cs="宋体"/>
          <w:szCs w:val="21"/>
          <w:highlight w:val="none"/>
        </w:rPr>
        <w:t>、所有响应均被作废标处理或者所有响应被否决的；</w:t>
      </w:r>
    </w:p>
    <w:p>
      <w:pPr>
        <w:spacing w:line="360" w:lineRule="auto"/>
        <w:ind w:firstLine="210" w:firstLineChars="100"/>
        <w:rPr>
          <w:rFonts w:ascii="宋体" w:cs="宋体"/>
          <w:szCs w:val="21"/>
          <w:highlight w:val="none"/>
        </w:rPr>
      </w:pPr>
      <w:r>
        <w:rPr>
          <w:rFonts w:ascii="宋体" w:hAnsi="宋体" w:cs="宋体"/>
          <w:szCs w:val="21"/>
          <w:highlight w:val="none"/>
        </w:rPr>
        <w:t>b</w:t>
      </w:r>
      <w:r>
        <w:rPr>
          <w:rFonts w:hint="eastAsia" w:ascii="宋体" w:hAnsi="宋体" w:cs="宋体"/>
          <w:szCs w:val="21"/>
          <w:highlight w:val="none"/>
        </w:rPr>
        <w:t>、竞争性磋商小组否决不合格响应或者界定响应为废标后，因有效响应不足三个，经评审后认为有效响应均不符合竞争性磋商文件的实质性要求和条件或者明显缺乏竞争的，应当否决全部响应，并书面阐述否决的判定依据和理由。</w:t>
      </w:r>
    </w:p>
    <w:p>
      <w:pPr>
        <w:spacing w:line="480" w:lineRule="auto"/>
        <w:jc w:val="left"/>
        <w:rPr>
          <w:b/>
          <w:sz w:val="24"/>
          <w:szCs w:val="24"/>
          <w:highlight w:val="none"/>
        </w:rPr>
      </w:pPr>
      <w:r>
        <w:rPr>
          <w:rFonts w:hint="eastAsia"/>
          <w:b/>
          <w:sz w:val="24"/>
          <w:szCs w:val="24"/>
          <w:highlight w:val="none"/>
        </w:rPr>
        <w:t>二、评审细则</w:t>
      </w:r>
    </w:p>
    <w:p>
      <w:pPr>
        <w:widowControl/>
        <w:jc w:val="left"/>
        <w:rPr>
          <w:sz w:val="24"/>
          <w:szCs w:val="24"/>
          <w:highlight w:val="none"/>
        </w:rPr>
      </w:pPr>
      <w:r>
        <w:rPr>
          <w:sz w:val="24"/>
          <w:szCs w:val="24"/>
          <w:highlight w:val="none"/>
        </w:rPr>
        <w:br w:type="page"/>
      </w:r>
    </w:p>
    <w:p>
      <w:pPr>
        <w:spacing w:line="400" w:lineRule="exact"/>
        <w:rPr>
          <w:rFonts w:ascii="宋体" w:cs="宋体"/>
          <w:b/>
          <w:sz w:val="24"/>
          <w:szCs w:val="24"/>
          <w:highlight w:val="none"/>
        </w:rPr>
      </w:pPr>
      <w:r>
        <w:rPr>
          <w:rFonts w:hint="eastAsia" w:ascii="宋体" w:hAnsi="宋体" w:cs="宋体"/>
          <w:b/>
          <w:sz w:val="24"/>
          <w:szCs w:val="24"/>
          <w:highlight w:val="none"/>
        </w:rPr>
        <w:t>符合性与完整性评审</w:t>
      </w:r>
    </w:p>
    <w:p>
      <w:pPr>
        <w:tabs>
          <w:tab w:val="left" w:pos="4680"/>
        </w:tabs>
        <w:spacing w:line="360" w:lineRule="auto"/>
        <w:jc w:val="center"/>
        <w:rPr>
          <w:rFonts w:ascii="宋体" w:cs="宋体"/>
          <w:b/>
          <w:bCs/>
          <w:sz w:val="24"/>
          <w:szCs w:val="24"/>
          <w:highlight w:val="none"/>
        </w:rPr>
      </w:pPr>
      <w:r>
        <w:rPr>
          <w:rFonts w:hint="eastAsia" w:ascii="宋体" w:hAnsi="宋体" w:cs="宋体"/>
          <w:b/>
          <w:bCs/>
          <w:sz w:val="24"/>
          <w:szCs w:val="24"/>
          <w:highlight w:val="none"/>
        </w:rPr>
        <w:t>符合性与完整性评审记录表</w:t>
      </w:r>
    </w:p>
    <w:tbl>
      <w:tblPr>
        <w:tblStyle w:val="60"/>
        <w:tblW w:w="92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842"/>
        <w:gridCol w:w="992"/>
        <w:gridCol w:w="851"/>
        <w:gridCol w:w="708"/>
        <w:gridCol w:w="673"/>
        <w:gridCol w:w="834"/>
        <w:gridCol w:w="6"/>
        <w:gridCol w:w="828"/>
        <w:gridCol w:w="12"/>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26" w:type="dxa"/>
            <w:vMerge w:val="restart"/>
            <w:vAlign w:val="center"/>
          </w:tcPr>
          <w:p>
            <w:pPr>
              <w:spacing w:line="400" w:lineRule="exact"/>
              <w:jc w:val="center"/>
              <w:rPr>
                <w:rFonts w:ascii="宋体" w:cs="宋体"/>
                <w:szCs w:val="21"/>
                <w:highlight w:val="none"/>
              </w:rPr>
            </w:pPr>
            <w:r>
              <w:rPr>
                <w:rFonts w:hint="eastAsia" w:ascii="宋体" w:hAnsi="宋体" w:cs="宋体"/>
                <w:szCs w:val="21"/>
                <w:highlight w:val="none"/>
              </w:rPr>
              <w:t>序号</w:t>
            </w:r>
          </w:p>
        </w:tc>
        <w:tc>
          <w:tcPr>
            <w:tcW w:w="2842" w:type="dxa"/>
            <w:vMerge w:val="restart"/>
            <w:vAlign w:val="center"/>
          </w:tcPr>
          <w:p>
            <w:pPr>
              <w:spacing w:line="400" w:lineRule="exact"/>
              <w:jc w:val="center"/>
              <w:rPr>
                <w:rFonts w:ascii="宋体" w:cs="宋体"/>
                <w:szCs w:val="21"/>
                <w:highlight w:val="none"/>
              </w:rPr>
            </w:pPr>
            <w:r>
              <w:rPr>
                <w:rFonts w:hint="eastAsia" w:ascii="宋体" w:hAnsi="宋体" w:cs="宋体"/>
                <w:szCs w:val="21"/>
                <w:highlight w:val="none"/>
              </w:rPr>
              <w:t>评审内容</w:t>
            </w:r>
          </w:p>
        </w:tc>
        <w:tc>
          <w:tcPr>
            <w:tcW w:w="5734" w:type="dxa"/>
            <w:gridSpan w:val="9"/>
            <w:vAlign w:val="center"/>
          </w:tcPr>
          <w:p>
            <w:pPr>
              <w:spacing w:line="400" w:lineRule="exact"/>
              <w:jc w:val="center"/>
              <w:rPr>
                <w:rFonts w:ascii="宋体" w:cs="宋体"/>
                <w:szCs w:val="21"/>
                <w:highlight w:val="none"/>
              </w:rPr>
            </w:pPr>
            <w:r>
              <w:rPr>
                <w:rFonts w:hint="eastAsia" w:ascii="宋体" w:hAnsi="宋体" w:cs="宋体"/>
                <w:szCs w:val="21"/>
                <w:highlight w:val="none"/>
              </w:rPr>
              <w:t>报价人名称及评审意见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26" w:type="dxa"/>
            <w:vMerge w:val="continue"/>
            <w:vAlign w:val="center"/>
          </w:tcPr>
          <w:p>
            <w:pPr>
              <w:spacing w:line="400" w:lineRule="exact"/>
              <w:jc w:val="center"/>
              <w:rPr>
                <w:rFonts w:ascii="宋体" w:cs="宋体"/>
                <w:szCs w:val="21"/>
                <w:highlight w:val="none"/>
              </w:rPr>
            </w:pPr>
          </w:p>
        </w:tc>
        <w:tc>
          <w:tcPr>
            <w:tcW w:w="2842" w:type="dxa"/>
            <w:vMerge w:val="continue"/>
            <w:vAlign w:val="center"/>
          </w:tcPr>
          <w:p>
            <w:pPr>
              <w:spacing w:line="400" w:lineRule="exact"/>
              <w:jc w:val="center"/>
              <w:rPr>
                <w:rFonts w:ascii="宋体" w:cs="宋体"/>
                <w:szCs w:val="21"/>
                <w:highlight w:val="none"/>
              </w:rPr>
            </w:pPr>
          </w:p>
        </w:tc>
        <w:tc>
          <w:tcPr>
            <w:tcW w:w="992" w:type="dxa"/>
            <w:vAlign w:val="center"/>
          </w:tcPr>
          <w:p>
            <w:pPr>
              <w:spacing w:line="400" w:lineRule="exact"/>
              <w:jc w:val="center"/>
              <w:rPr>
                <w:rFonts w:ascii="宋体" w:cs="宋体"/>
                <w:szCs w:val="21"/>
                <w:highlight w:val="none"/>
              </w:rPr>
            </w:pPr>
          </w:p>
        </w:tc>
        <w:tc>
          <w:tcPr>
            <w:tcW w:w="851" w:type="dxa"/>
            <w:vAlign w:val="center"/>
          </w:tcPr>
          <w:p>
            <w:pPr>
              <w:spacing w:line="400" w:lineRule="exact"/>
              <w:jc w:val="center"/>
              <w:rPr>
                <w:rFonts w:ascii="宋体" w:cs="宋体"/>
                <w:szCs w:val="21"/>
                <w:highlight w:val="none"/>
              </w:rPr>
            </w:pPr>
          </w:p>
        </w:tc>
        <w:tc>
          <w:tcPr>
            <w:tcW w:w="708" w:type="dxa"/>
            <w:vAlign w:val="center"/>
          </w:tcPr>
          <w:p>
            <w:pPr>
              <w:spacing w:line="400" w:lineRule="exact"/>
              <w:jc w:val="center"/>
              <w:rPr>
                <w:rFonts w:ascii="宋体" w:cs="宋体"/>
                <w:szCs w:val="21"/>
                <w:highlight w:val="none"/>
              </w:rPr>
            </w:pPr>
          </w:p>
        </w:tc>
        <w:tc>
          <w:tcPr>
            <w:tcW w:w="673" w:type="dxa"/>
            <w:vAlign w:val="center"/>
          </w:tcPr>
          <w:p>
            <w:pPr>
              <w:spacing w:line="400" w:lineRule="exact"/>
              <w:jc w:val="center"/>
              <w:rPr>
                <w:rFonts w:ascii="宋体" w:cs="宋体"/>
                <w:szCs w:val="21"/>
                <w:highlight w:val="none"/>
              </w:rPr>
            </w:pPr>
          </w:p>
        </w:tc>
        <w:tc>
          <w:tcPr>
            <w:tcW w:w="840" w:type="dxa"/>
            <w:gridSpan w:val="2"/>
            <w:vAlign w:val="center"/>
          </w:tcPr>
          <w:p>
            <w:pPr>
              <w:spacing w:line="400" w:lineRule="exact"/>
              <w:jc w:val="center"/>
              <w:rPr>
                <w:rFonts w:ascii="宋体" w:cs="宋体"/>
                <w:szCs w:val="21"/>
                <w:highlight w:val="none"/>
              </w:rPr>
            </w:pPr>
          </w:p>
        </w:tc>
        <w:tc>
          <w:tcPr>
            <w:tcW w:w="840" w:type="dxa"/>
            <w:gridSpan w:val="2"/>
            <w:vAlign w:val="center"/>
          </w:tcPr>
          <w:p>
            <w:pPr>
              <w:spacing w:line="400" w:lineRule="exact"/>
              <w:jc w:val="center"/>
              <w:rPr>
                <w:rFonts w:ascii="宋体" w:cs="宋体"/>
                <w:szCs w:val="21"/>
                <w:highlight w:val="none"/>
              </w:rPr>
            </w:pPr>
          </w:p>
        </w:tc>
        <w:tc>
          <w:tcPr>
            <w:tcW w:w="830" w:type="dxa"/>
            <w:vAlign w:val="center"/>
          </w:tcPr>
          <w:p>
            <w:pPr>
              <w:spacing w:line="40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1" w:hRule="atLeast"/>
          <w:jc w:val="center"/>
        </w:trPr>
        <w:tc>
          <w:tcPr>
            <w:tcW w:w="626" w:type="dxa"/>
            <w:vAlign w:val="center"/>
          </w:tcPr>
          <w:p>
            <w:pPr>
              <w:jc w:val="center"/>
              <w:rPr>
                <w:rFonts w:ascii="宋体" w:hAnsi="宋体" w:cs="宋体"/>
                <w:szCs w:val="21"/>
                <w:highlight w:val="none"/>
              </w:rPr>
            </w:pPr>
            <w:r>
              <w:rPr>
                <w:rFonts w:ascii="宋体" w:hAnsi="宋体" w:cs="宋体"/>
                <w:szCs w:val="21"/>
                <w:highlight w:val="none"/>
              </w:rPr>
              <w:t>1</w:t>
            </w:r>
          </w:p>
        </w:tc>
        <w:tc>
          <w:tcPr>
            <w:tcW w:w="2842" w:type="dxa"/>
            <w:vAlign w:val="center"/>
          </w:tcPr>
          <w:p>
            <w:pPr>
              <w:tabs>
                <w:tab w:val="left" w:pos="624"/>
              </w:tabs>
              <w:spacing w:line="360" w:lineRule="exact"/>
              <w:rPr>
                <w:rFonts w:ascii="宋体" w:cs="宋体"/>
                <w:szCs w:val="21"/>
                <w:highlight w:val="none"/>
              </w:rPr>
            </w:pPr>
            <w:r>
              <w:rPr>
                <w:rFonts w:hint="eastAsia" w:ascii="宋体" w:hAnsi="宋体" w:cs="宋体"/>
                <w:szCs w:val="21"/>
                <w:highlight w:val="none"/>
              </w:rPr>
              <w:t>响应文件格式，包括填写、装订、密封符合竞争性磋商文件要求</w:t>
            </w:r>
          </w:p>
        </w:tc>
        <w:tc>
          <w:tcPr>
            <w:tcW w:w="992" w:type="dxa"/>
            <w:vAlign w:val="center"/>
          </w:tcPr>
          <w:p>
            <w:pPr>
              <w:spacing w:line="400" w:lineRule="exact"/>
              <w:jc w:val="center"/>
              <w:rPr>
                <w:rFonts w:ascii="宋体" w:cs="宋体"/>
                <w:szCs w:val="21"/>
                <w:highlight w:val="none"/>
              </w:rPr>
            </w:pPr>
          </w:p>
        </w:tc>
        <w:tc>
          <w:tcPr>
            <w:tcW w:w="851" w:type="dxa"/>
            <w:vAlign w:val="center"/>
          </w:tcPr>
          <w:p>
            <w:pPr>
              <w:spacing w:line="400" w:lineRule="exact"/>
              <w:jc w:val="center"/>
              <w:rPr>
                <w:rFonts w:ascii="宋体" w:cs="宋体"/>
                <w:szCs w:val="21"/>
                <w:highlight w:val="none"/>
              </w:rPr>
            </w:pPr>
          </w:p>
        </w:tc>
        <w:tc>
          <w:tcPr>
            <w:tcW w:w="708" w:type="dxa"/>
            <w:vAlign w:val="center"/>
          </w:tcPr>
          <w:p>
            <w:pPr>
              <w:spacing w:line="400" w:lineRule="exact"/>
              <w:jc w:val="center"/>
              <w:rPr>
                <w:rFonts w:ascii="宋体" w:cs="宋体"/>
                <w:szCs w:val="21"/>
                <w:highlight w:val="none"/>
              </w:rPr>
            </w:pPr>
          </w:p>
        </w:tc>
        <w:tc>
          <w:tcPr>
            <w:tcW w:w="673" w:type="dxa"/>
            <w:vAlign w:val="center"/>
          </w:tcPr>
          <w:p>
            <w:pPr>
              <w:spacing w:line="400" w:lineRule="exact"/>
              <w:jc w:val="center"/>
              <w:rPr>
                <w:rFonts w:ascii="宋体" w:cs="宋体"/>
                <w:szCs w:val="21"/>
                <w:highlight w:val="none"/>
              </w:rPr>
            </w:pPr>
          </w:p>
        </w:tc>
        <w:tc>
          <w:tcPr>
            <w:tcW w:w="834" w:type="dxa"/>
            <w:vAlign w:val="center"/>
          </w:tcPr>
          <w:p>
            <w:pPr>
              <w:spacing w:line="400" w:lineRule="exact"/>
              <w:jc w:val="center"/>
              <w:rPr>
                <w:rFonts w:ascii="宋体" w:cs="宋体"/>
                <w:szCs w:val="21"/>
                <w:highlight w:val="none"/>
              </w:rPr>
            </w:pPr>
          </w:p>
        </w:tc>
        <w:tc>
          <w:tcPr>
            <w:tcW w:w="834" w:type="dxa"/>
            <w:gridSpan w:val="2"/>
            <w:vAlign w:val="center"/>
          </w:tcPr>
          <w:p>
            <w:pPr>
              <w:spacing w:line="400" w:lineRule="exact"/>
              <w:jc w:val="center"/>
              <w:rPr>
                <w:rFonts w:ascii="宋体" w:cs="宋体"/>
                <w:szCs w:val="21"/>
                <w:highlight w:val="none"/>
              </w:rPr>
            </w:pPr>
          </w:p>
        </w:tc>
        <w:tc>
          <w:tcPr>
            <w:tcW w:w="842" w:type="dxa"/>
            <w:gridSpan w:val="2"/>
            <w:vAlign w:val="center"/>
          </w:tcPr>
          <w:p>
            <w:pPr>
              <w:spacing w:line="40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626" w:type="dxa"/>
            <w:vAlign w:val="center"/>
          </w:tcPr>
          <w:p>
            <w:pPr>
              <w:jc w:val="center"/>
              <w:rPr>
                <w:rFonts w:ascii="宋体" w:hAnsi="宋体" w:cs="宋体"/>
                <w:szCs w:val="21"/>
                <w:highlight w:val="none"/>
              </w:rPr>
            </w:pPr>
            <w:r>
              <w:rPr>
                <w:rFonts w:ascii="宋体" w:hAnsi="宋体" w:cs="宋体"/>
                <w:szCs w:val="21"/>
                <w:highlight w:val="none"/>
              </w:rPr>
              <w:t>2</w:t>
            </w:r>
          </w:p>
        </w:tc>
        <w:tc>
          <w:tcPr>
            <w:tcW w:w="2842" w:type="dxa"/>
            <w:vAlign w:val="center"/>
          </w:tcPr>
          <w:p>
            <w:pPr>
              <w:tabs>
                <w:tab w:val="left" w:pos="624"/>
              </w:tabs>
              <w:spacing w:line="360" w:lineRule="exact"/>
              <w:rPr>
                <w:rFonts w:ascii="宋体" w:cs="宋体"/>
                <w:szCs w:val="21"/>
                <w:highlight w:val="none"/>
              </w:rPr>
            </w:pPr>
            <w:r>
              <w:rPr>
                <w:rFonts w:hint="eastAsia" w:ascii="宋体" w:hAnsi="宋体" w:cs="宋体"/>
                <w:szCs w:val="21"/>
                <w:highlight w:val="none"/>
              </w:rPr>
              <w:t>响应文件签字盖章等符合竞争性磋商文件要求</w:t>
            </w:r>
          </w:p>
        </w:tc>
        <w:tc>
          <w:tcPr>
            <w:tcW w:w="992" w:type="dxa"/>
            <w:vAlign w:val="center"/>
          </w:tcPr>
          <w:p>
            <w:pPr>
              <w:spacing w:line="400" w:lineRule="exact"/>
              <w:jc w:val="center"/>
              <w:rPr>
                <w:rFonts w:ascii="宋体" w:cs="宋体"/>
                <w:szCs w:val="21"/>
                <w:highlight w:val="none"/>
              </w:rPr>
            </w:pPr>
          </w:p>
        </w:tc>
        <w:tc>
          <w:tcPr>
            <w:tcW w:w="851" w:type="dxa"/>
            <w:vAlign w:val="center"/>
          </w:tcPr>
          <w:p>
            <w:pPr>
              <w:spacing w:line="400" w:lineRule="exact"/>
              <w:jc w:val="center"/>
              <w:rPr>
                <w:rFonts w:ascii="宋体" w:cs="宋体"/>
                <w:szCs w:val="21"/>
                <w:highlight w:val="none"/>
              </w:rPr>
            </w:pPr>
          </w:p>
        </w:tc>
        <w:tc>
          <w:tcPr>
            <w:tcW w:w="708" w:type="dxa"/>
            <w:vAlign w:val="center"/>
          </w:tcPr>
          <w:p>
            <w:pPr>
              <w:spacing w:line="400" w:lineRule="exact"/>
              <w:jc w:val="center"/>
              <w:rPr>
                <w:rFonts w:ascii="宋体" w:cs="宋体"/>
                <w:szCs w:val="21"/>
                <w:highlight w:val="none"/>
              </w:rPr>
            </w:pPr>
          </w:p>
        </w:tc>
        <w:tc>
          <w:tcPr>
            <w:tcW w:w="673" w:type="dxa"/>
            <w:vAlign w:val="center"/>
          </w:tcPr>
          <w:p>
            <w:pPr>
              <w:spacing w:line="400" w:lineRule="exact"/>
              <w:jc w:val="center"/>
              <w:rPr>
                <w:rFonts w:ascii="宋体" w:cs="宋体"/>
                <w:szCs w:val="21"/>
                <w:highlight w:val="none"/>
              </w:rPr>
            </w:pPr>
          </w:p>
        </w:tc>
        <w:tc>
          <w:tcPr>
            <w:tcW w:w="834" w:type="dxa"/>
            <w:vAlign w:val="center"/>
          </w:tcPr>
          <w:p>
            <w:pPr>
              <w:spacing w:line="400" w:lineRule="exact"/>
              <w:jc w:val="center"/>
              <w:rPr>
                <w:rFonts w:ascii="宋体" w:cs="宋体"/>
                <w:szCs w:val="21"/>
                <w:highlight w:val="none"/>
              </w:rPr>
            </w:pPr>
          </w:p>
        </w:tc>
        <w:tc>
          <w:tcPr>
            <w:tcW w:w="834" w:type="dxa"/>
            <w:gridSpan w:val="2"/>
            <w:vAlign w:val="center"/>
          </w:tcPr>
          <w:p>
            <w:pPr>
              <w:spacing w:line="400" w:lineRule="exact"/>
              <w:jc w:val="center"/>
              <w:rPr>
                <w:rFonts w:ascii="宋体" w:cs="宋体"/>
                <w:szCs w:val="21"/>
                <w:highlight w:val="none"/>
              </w:rPr>
            </w:pPr>
          </w:p>
        </w:tc>
        <w:tc>
          <w:tcPr>
            <w:tcW w:w="842" w:type="dxa"/>
            <w:gridSpan w:val="2"/>
            <w:vAlign w:val="center"/>
          </w:tcPr>
          <w:p>
            <w:pPr>
              <w:spacing w:line="40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626" w:type="dxa"/>
            <w:vAlign w:val="center"/>
          </w:tcPr>
          <w:p>
            <w:pPr>
              <w:jc w:val="center"/>
              <w:rPr>
                <w:rFonts w:ascii="宋体" w:hAnsi="宋体" w:cs="宋体"/>
                <w:szCs w:val="21"/>
                <w:highlight w:val="none"/>
              </w:rPr>
            </w:pPr>
            <w:r>
              <w:rPr>
                <w:rFonts w:ascii="宋体" w:hAnsi="宋体" w:cs="宋体"/>
                <w:szCs w:val="21"/>
                <w:highlight w:val="none"/>
              </w:rPr>
              <w:t>3</w:t>
            </w:r>
          </w:p>
        </w:tc>
        <w:tc>
          <w:tcPr>
            <w:tcW w:w="2842" w:type="dxa"/>
            <w:vAlign w:val="center"/>
          </w:tcPr>
          <w:p>
            <w:pPr>
              <w:tabs>
                <w:tab w:val="left" w:pos="624"/>
              </w:tabs>
              <w:spacing w:line="360" w:lineRule="exact"/>
              <w:rPr>
                <w:rFonts w:ascii="宋体" w:cs="宋体"/>
                <w:szCs w:val="21"/>
                <w:highlight w:val="none"/>
              </w:rPr>
            </w:pPr>
            <w:r>
              <w:rPr>
                <w:rFonts w:hint="eastAsia" w:ascii="宋体" w:hAnsi="宋体" w:cs="宋体"/>
                <w:szCs w:val="21"/>
                <w:highlight w:val="none"/>
              </w:rPr>
              <w:t>承诺的工期符合竞争性磋商文件要求</w:t>
            </w:r>
          </w:p>
        </w:tc>
        <w:tc>
          <w:tcPr>
            <w:tcW w:w="992" w:type="dxa"/>
            <w:tcBorders>
              <w:bottom w:val="nil"/>
            </w:tcBorders>
            <w:vAlign w:val="center"/>
          </w:tcPr>
          <w:p>
            <w:pPr>
              <w:spacing w:line="400" w:lineRule="exact"/>
              <w:jc w:val="center"/>
              <w:rPr>
                <w:rFonts w:ascii="宋体" w:cs="宋体"/>
                <w:szCs w:val="21"/>
                <w:highlight w:val="none"/>
              </w:rPr>
            </w:pPr>
          </w:p>
        </w:tc>
        <w:tc>
          <w:tcPr>
            <w:tcW w:w="851" w:type="dxa"/>
            <w:vAlign w:val="center"/>
          </w:tcPr>
          <w:p>
            <w:pPr>
              <w:spacing w:line="400" w:lineRule="exact"/>
              <w:jc w:val="center"/>
              <w:rPr>
                <w:rFonts w:ascii="宋体" w:cs="宋体"/>
                <w:szCs w:val="21"/>
                <w:highlight w:val="none"/>
              </w:rPr>
            </w:pPr>
          </w:p>
        </w:tc>
        <w:tc>
          <w:tcPr>
            <w:tcW w:w="708" w:type="dxa"/>
            <w:vAlign w:val="center"/>
          </w:tcPr>
          <w:p>
            <w:pPr>
              <w:spacing w:line="400" w:lineRule="exact"/>
              <w:jc w:val="center"/>
              <w:rPr>
                <w:rFonts w:ascii="宋体" w:cs="宋体"/>
                <w:szCs w:val="21"/>
                <w:highlight w:val="none"/>
              </w:rPr>
            </w:pPr>
          </w:p>
        </w:tc>
        <w:tc>
          <w:tcPr>
            <w:tcW w:w="673" w:type="dxa"/>
            <w:vAlign w:val="center"/>
          </w:tcPr>
          <w:p>
            <w:pPr>
              <w:spacing w:line="400" w:lineRule="exact"/>
              <w:jc w:val="center"/>
              <w:rPr>
                <w:rFonts w:ascii="宋体" w:cs="宋体"/>
                <w:szCs w:val="21"/>
                <w:highlight w:val="none"/>
              </w:rPr>
            </w:pPr>
          </w:p>
        </w:tc>
        <w:tc>
          <w:tcPr>
            <w:tcW w:w="834" w:type="dxa"/>
            <w:vAlign w:val="center"/>
          </w:tcPr>
          <w:p>
            <w:pPr>
              <w:spacing w:line="400" w:lineRule="exact"/>
              <w:jc w:val="center"/>
              <w:rPr>
                <w:rFonts w:ascii="宋体" w:cs="宋体"/>
                <w:szCs w:val="21"/>
                <w:highlight w:val="none"/>
              </w:rPr>
            </w:pPr>
          </w:p>
        </w:tc>
        <w:tc>
          <w:tcPr>
            <w:tcW w:w="834" w:type="dxa"/>
            <w:gridSpan w:val="2"/>
            <w:vAlign w:val="center"/>
          </w:tcPr>
          <w:p>
            <w:pPr>
              <w:spacing w:line="400" w:lineRule="exact"/>
              <w:jc w:val="center"/>
              <w:rPr>
                <w:rFonts w:ascii="宋体" w:cs="宋体"/>
                <w:szCs w:val="21"/>
                <w:highlight w:val="none"/>
              </w:rPr>
            </w:pPr>
          </w:p>
        </w:tc>
        <w:tc>
          <w:tcPr>
            <w:tcW w:w="842" w:type="dxa"/>
            <w:gridSpan w:val="2"/>
            <w:vAlign w:val="center"/>
          </w:tcPr>
          <w:p>
            <w:pPr>
              <w:spacing w:line="40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626" w:type="dxa"/>
            <w:vAlign w:val="center"/>
          </w:tcPr>
          <w:p>
            <w:pPr>
              <w:jc w:val="center"/>
              <w:rPr>
                <w:rFonts w:ascii="宋体" w:hAnsi="宋体" w:cs="宋体"/>
                <w:szCs w:val="21"/>
                <w:highlight w:val="none"/>
              </w:rPr>
            </w:pPr>
            <w:r>
              <w:rPr>
                <w:rFonts w:ascii="宋体" w:hAnsi="宋体" w:cs="宋体"/>
                <w:szCs w:val="21"/>
                <w:highlight w:val="none"/>
              </w:rPr>
              <w:t>4</w:t>
            </w:r>
          </w:p>
        </w:tc>
        <w:tc>
          <w:tcPr>
            <w:tcW w:w="2842" w:type="dxa"/>
            <w:vAlign w:val="center"/>
          </w:tcPr>
          <w:p>
            <w:pPr>
              <w:tabs>
                <w:tab w:val="left" w:pos="624"/>
              </w:tabs>
              <w:spacing w:line="360" w:lineRule="exact"/>
              <w:jc w:val="left"/>
              <w:rPr>
                <w:rFonts w:ascii="宋体" w:cs="宋体"/>
                <w:szCs w:val="21"/>
                <w:highlight w:val="none"/>
              </w:rPr>
            </w:pPr>
            <w:r>
              <w:rPr>
                <w:rFonts w:hint="eastAsia" w:ascii="宋体" w:hAnsi="宋体" w:cs="宋体"/>
                <w:szCs w:val="21"/>
                <w:highlight w:val="none"/>
              </w:rPr>
              <w:t>响应有效期不足的</w:t>
            </w:r>
          </w:p>
        </w:tc>
        <w:tc>
          <w:tcPr>
            <w:tcW w:w="992" w:type="dxa"/>
            <w:tcBorders>
              <w:bottom w:val="nil"/>
            </w:tcBorders>
            <w:vAlign w:val="center"/>
          </w:tcPr>
          <w:p>
            <w:pPr>
              <w:spacing w:line="400" w:lineRule="exact"/>
              <w:jc w:val="center"/>
              <w:rPr>
                <w:rFonts w:ascii="宋体" w:cs="宋体"/>
                <w:szCs w:val="21"/>
                <w:highlight w:val="none"/>
              </w:rPr>
            </w:pPr>
          </w:p>
        </w:tc>
        <w:tc>
          <w:tcPr>
            <w:tcW w:w="851" w:type="dxa"/>
            <w:vAlign w:val="center"/>
          </w:tcPr>
          <w:p>
            <w:pPr>
              <w:spacing w:line="400" w:lineRule="exact"/>
              <w:jc w:val="center"/>
              <w:rPr>
                <w:rFonts w:ascii="宋体" w:cs="宋体"/>
                <w:szCs w:val="21"/>
                <w:highlight w:val="none"/>
              </w:rPr>
            </w:pPr>
          </w:p>
        </w:tc>
        <w:tc>
          <w:tcPr>
            <w:tcW w:w="708" w:type="dxa"/>
            <w:vAlign w:val="center"/>
          </w:tcPr>
          <w:p>
            <w:pPr>
              <w:spacing w:line="400" w:lineRule="exact"/>
              <w:jc w:val="center"/>
              <w:rPr>
                <w:rFonts w:ascii="宋体" w:cs="宋体"/>
                <w:szCs w:val="21"/>
                <w:highlight w:val="none"/>
              </w:rPr>
            </w:pPr>
          </w:p>
        </w:tc>
        <w:tc>
          <w:tcPr>
            <w:tcW w:w="673" w:type="dxa"/>
            <w:vAlign w:val="center"/>
          </w:tcPr>
          <w:p>
            <w:pPr>
              <w:spacing w:line="400" w:lineRule="exact"/>
              <w:jc w:val="center"/>
              <w:rPr>
                <w:rFonts w:ascii="宋体" w:cs="宋体"/>
                <w:szCs w:val="21"/>
                <w:highlight w:val="none"/>
              </w:rPr>
            </w:pPr>
          </w:p>
        </w:tc>
        <w:tc>
          <w:tcPr>
            <w:tcW w:w="834" w:type="dxa"/>
            <w:vAlign w:val="center"/>
          </w:tcPr>
          <w:p>
            <w:pPr>
              <w:spacing w:line="400" w:lineRule="exact"/>
              <w:jc w:val="center"/>
              <w:rPr>
                <w:rFonts w:ascii="宋体" w:cs="宋体"/>
                <w:szCs w:val="21"/>
                <w:highlight w:val="none"/>
              </w:rPr>
            </w:pPr>
          </w:p>
        </w:tc>
        <w:tc>
          <w:tcPr>
            <w:tcW w:w="834" w:type="dxa"/>
            <w:gridSpan w:val="2"/>
            <w:vAlign w:val="center"/>
          </w:tcPr>
          <w:p>
            <w:pPr>
              <w:spacing w:line="400" w:lineRule="exact"/>
              <w:jc w:val="center"/>
              <w:rPr>
                <w:rFonts w:ascii="宋体" w:cs="宋体"/>
                <w:szCs w:val="21"/>
                <w:highlight w:val="none"/>
              </w:rPr>
            </w:pPr>
          </w:p>
        </w:tc>
        <w:tc>
          <w:tcPr>
            <w:tcW w:w="842" w:type="dxa"/>
            <w:gridSpan w:val="2"/>
            <w:vAlign w:val="center"/>
          </w:tcPr>
          <w:p>
            <w:pPr>
              <w:spacing w:line="40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626" w:type="dxa"/>
          </w:tcPr>
          <w:p>
            <w:pPr>
              <w:jc w:val="center"/>
              <w:rPr>
                <w:rFonts w:ascii="宋体" w:cs="宋体"/>
                <w:szCs w:val="21"/>
                <w:highlight w:val="none"/>
              </w:rPr>
            </w:pPr>
          </w:p>
          <w:p>
            <w:pPr>
              <w:jc w:val="center"/>
              <w:rPr>
                <w:rFonts w:ascii="宋体" w:hAnsi="宋体" w:cs="宋体"/>
                <w:szCs w:val="21"/>
                <w:highlight w:val="none"/>
              </w:rPr>
            </w:pPr>
            <w:r>
              <w:rPr>
                <w:rFonts w:ascii="宋体" w:hAnsi="宋体" w:cs="宋体"/>
                <w:szCs w:val="21"/>
                <w:highlight w:val="none"/>
              </w:rPr>
              <w:t>5</w:t>
            </w:r>
          </w:p>
        </w:tc>
        <w:tc>
          <w:tcPr>
            <w:tcW w:w="2842" w:type="dxa"/>
          </w:tcPr>
          <w:p>
            <w:pPr>
              <w:tabs>
                <w:tab w:val="left" w:pos="624"/>
              </w:tabs>
              <w:spacing w:line="360" w:lineRule="exact"/>
              <w:rPr>
                <w:rFonts w:ascii="宋体" w:cs="宋体"/>
                <w:szCs w:val="21"/>
                <w:highlight w:val="none"/>
              </w:rPr>
            </w:pPr>
            <w:r>
              <w:rPr>
                <w:rFonts w:hint="eastAsia" w:ascii="宋体" w:hAnsi="宋体" w:cs="宋体"/>
                <w:szCs w:val="21"/>
                <w:highlight w:val="none"/>
              </w:rPr>
              <w:t>未存在本磋商办法中规定的其他废标条件的情况</w:t>
            </w:r>
          </w:p>
        </w:tc>
        <w:tc>
          <w:tcPr>
            <w:tcW w:w="992" w:type="dxa"/>
            <w:tcBorders>
              <w:bottom w:val="nil"/>
            </w:tcBorders>
          </w:tcPr>
          <w:p>
            <w:pPr>
              <w:spacing w:line="400" w:lineRule="exact"/>
              <w:jc w:val="center"/>
              <w:rPr>
                <w:rFonts w:ascii="宋体" w:cs="宋体"/>
                <w:szCs w:val="21"/>
                <w:highlight w:val="none"/>
              </w:rPr>
            </w:pPr>
          </w:p>
        </w:tc>
        <w:tc>
          <w:tcPr>
            <w:tcW w:w="851" w:type="dxa"/>
          </w:tcPr>
          <w:p>
            <w:pPr>
              <w:spacing w:line="400" w:lineRule="exact"/>
              <w:jc w:val="center"/>
              <w:rPr>
                <w:rFonts w:ascii="宋体" w:cs="宋体"/>
                <w:szCs w:val="21"/>
                <w:highlight w:val="none"/>
              </w:rPr>
            </w:pPr>
          </w:p>
        </w:tc>
        <w:tc>
          <w:tcPr>
            <w:tcW w:w="708" w:type="dxa"/>
          </w:tcPr>
          <w:p>
            <w:pPr>
              <w:spacing w:line="400" w:lineRule="exact"/>
              <w:jc w:val="center"/>
              <w:rPr>
                <w:rFonts w:ascii="宋体" w:cs="宋体"/>
                <w:szCs w:val="21"/>
                <w:highlight w:val="none"/>
              </w:rPr>
            </w:pPr>
          </w:p>
        </w:tc>
        <w:tc>
          <w:tcPr>
            <w:tcW w:w="673" w:type="dxa"/>
          </w:tcPr>
          <w:p>
            <w:pPr>
              <w:spacing w:line="400" w:lineRule="exact"/>
              <w:jc w:val="center"/>
              <w:rPr>
                <w:rFonts w:ascii="宋体" w:cs="宋体"/>
                <w:szCs w:val="21"/>
                <w:highlight w:val="none"/>
              </w:rPr>
            </w:pPr>
          </w:p>
        </w:tc>
        <w:tc>
          <w:tcPr>
            <w:tcW w:w="834" w:type="dxa"/>
          </w:tcPr>
          <w:p>
            <w:pPr>
              <w:spacing w:line="400" w:lineRule="exact"/>
              <w:jc w:val="center"/>
              <w:rPr>
                <w:rFonts w:ascii="宋体" w:cs="宋体"/>
                <w:szCs w:val="21"/>
                <w:highlight w:val="none"/>
              </w:rPr>
            </w:pPr>
          </w:p>
        </w:tc>
        <w:tc>
          <w:tcPr>
            <w:tcW w:w="834" w:type="dxa"/>
            <w:gridSpan w:val="2"/>
          </w:tcPr>
          <w:p>
            <w:pPr>
              <w:spacing w:line="400" w:lineRule="exact"/>
              <w:jc w:val="center"/>
              <w:rPr>
                <w:rFonts w:ascii="宋体" w:cs="宋体"/>
                <w:szCs w:val="21"/>
                <w:highlight w:val="none"/>
              </w:rPr>
            </w:pPr>
          </w:p>
        </w:tc>
        <w:tc>
          <w:tcPr>
            <w:tcW w:w="842" w:type="dxa"/>
            <w:gridSpan w:val="2"/>
          </w:tcPr>
          <w:p>
            <w:pPr>
              <w:spacing w:line="400" w:lineRule="exact"/>
              <w:jc w:val="center"/>
              <w:rPr>
                <w:rFonts w:asci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3468" w:type="dxa"/>
            <w:gridSpan w:val="2"/>
            <w:vAlign w:val="center"/>
          </w:tcPr>
          <w:p>
            <w:pPr>
              <w:spacing w:line="400" w:lineRule="exact"/>
              <w:jc w:val="center"/>
              <w:rPr>
                <w:rFonts w:ascii="宋体" w:cs="宋体"/>
                <w:szCs w:val="21"/>
                <w:highlight w:val="none"/>
              </w:rPr>
            </w:pPr>
            <w:r>
              <w:rPr>
                <w:rFonts w:hint="eastAsia" w:ascii="宋体" w:hAnsi="宋体" w:cs="宋体"/>
                <w:b/>
                <w:szCs w:val="21"/>
                <w:highlight w:val="none"/>
              </w:rPr>
              <w:t>评审最终结论</w:t>
            </w:r>
          </w:p>
        </w:tc>
        <w:tc>
          <w:tcPr>
            <w:tcW w:w="992" w:type="dxa"/>
            <w:vAlign w:val="center"/>
          </w:tcPr>
          <w:p>
            <w:pPr>
              <w:spacing w:line="400" w:lineRule="exact"/>
              <w:jc w:val="center"/>
              <w:rPr>
                <w:rFonts w:ascii="宋体" w:cs="宋体"/>
                <w:szCs w:val="21"/>
                <w:highlight w:val="none"/>
              </w:rPr>
            </w:pPr>
          </w:p>
        </w:tc>
        <w:tc>
          <w:tcPr>
            <w:tcW w:w="851" w:type="dxa"/>
            <w:vAlign w:val="center"/>
          </w:tcPr>
          <w:p>
            <w:pPr>
              <w:spacing w:line="400" w:lineRule="exact"/>
              <w:jc w:val="center"/>
              <w:rPr>
                <w:rFonts w:ascii="宋体" w:cs="宋体"/>
                <w:szCs w:val="21"/>
                <w:highlight w:val="none"/>
              </w:rPr>
            </w:pPr>
          </w:p>
        </w:tc>
        <w:tc>
          <w:tcPr>
            <w:tcW w:w="708" w:type="dxa"/>
            <w:vAlign w:val="center"/>
          </w:tcPr>
          <w:p>
            <w:pPr>
              <w:spacing w:line="400" w:lineRule="exact"/>
              <w:jc w:val="center"/>
              <w:rPr>
                <w:rFonts w:ascii="宋体" w:cs="宋体"/>
                <w:szCs w:val="21"/>
                <w:highlight w:val="none"/>
              </w:rPr>
            </w:pPr>
          </w:p>
        </w:tc>
        <w:tc>
          <w:tcPr>
            <w:tcW w:w="673" w:type="dxa"/>
            <w:vAlign w:val="center"/>
          </w:tcPr>
          <w:p>
            <w:pPr>
              <w:spacing w:line="400" w:lineRule="exact"/>
              <w:jc w:val="center"/>
              <w:rPr>
                <w:rFonts w:ascii="宋体" w:cs="宋体"/>
                <w:szCs w:val="21"/>
                <w:highlight w:val="none"/>
              </w:rPr>
            </w:pPr>
          </w:p>
        </w:tc>
        <w:tc>
          <w:tcPr>
            <w:tcW w:w="834" w:type="dxa"/>
            <w:vAlign w:val="center"/>
          </w:tcPr>
          <w:p>
            <w:pPr>
              <w:spacing w:line="400" w:lineRule="exact"/>
              <w:jc w:val="center"/>
              <w:rPr>
                <w:rFonts w:ascii="宋体" w:cs="宋体"/>
                <w:szCs w:val="21"/>
                <w:highlight w:val="none"/>
              </w:rPr>
            </w:pPr>
          </w:p>
        </w:tc>
        <w:tc>
          <w:tcPr>
            <w:tcW w:w="834" w:type="dxa"/>
            <w:gridSpan w:val="2"/>
            <w:vAlign w:val="center"/>
          </w:tcPr>
          <w:p>
            <w:pPr>
              <w:spacing w:line="400" w:lineRule="exact"/>
              <w:jc w:val="center"/>
              <w:rPr>
                <w:rFonts w:ascii="宋体" w:cs="宋体"/>
                <w:szCs w:val="21"/>
                <w:highlight w:val="none"/>
              </w:rPr>
            </w:pPr>
          </w:p>
        </w:tc>
        <w:tc>
          <w:tcPr>
            <w:tcW w:w="842" w:type="dxa"/>
            <w:gridSpan w:val="2"/>
            <w:vAlign w:val="center"/>
          </w:tcPr>
          <w:p>
            <w:pPr>
              <w:spacing w:line="400" w:lineRule="exact"/>
              <w:jc w:val="center"/>
              <w:rPr>
                <w:rFonts w:ascii="宋体" w:cs="宋体"/>
                <w:szCs w:val="21"/>
                <w:highlight w:val="none"/>
              </w:rPr>
            </w:pPr>
          </w:p>
        </w:tc>
      </w:tr>
    </w:tbl>
    <w:p>
      <w:pPr>
        <w:spacing w:line="276" w:lineRule="auto"/>
        <w:ind w:left="31680" w:hanging="945" w:hangingChars="450"/>
        <w:rPr>
          <w:rFonts w:ascii="宋体" w:cs="宋体"/>
          <w:kern w:val="0"/>
          <w:szCs w:val="21"/>
          <w:highlight w:val="none"/>
        </w:rPr>
      </w:pPr>
      <w:r>
        <w:rPr>
          <w:rFonts w:hint="eastAsia" w:ascii="宋体" w:hAnsi="宋体" w:cs="宋体"/>
          <w:kern w:val="0"/>
          <w:szCs w:val="21"/>
          <w:highlight w:val="none"/>
        </w:rPr>
        <w:t>说明：</w:t>
      </w:r>
      <w:r>
        <w:rPr>
          <w:rFonts w:ascii="宋体" w:hAnsi="宋体" w:cs="宋体"/>
          <w:kern w:val="0"/>
          <w:szCs w:val="21"/>
          <w:highlight w:val="none"/>
        </w:rPr>
        <w:t>1</w:t>
      </w:r>
      <w:r>
        <w:rPr>
          <w:rFonts w:hint="eastAsia" w:ascii="宋体" w:hAnsi="宋体" w:cs="宋体"/>
          <w:kern w:val="0"/>
          <w:szCs w:val="21"/>
          <w:highlight w:val="none"/>
        </w:rPr>
        <w:t>、本表由竞争性磋商小组全体成员填写。凡符合性与完整性评审中有任何一条未通过评审要求的响应文件，即界定为无效响应文件。</w:t>
      </w:r>
    </w:p>
    <w:p>
      <w:pPr>
        <w:spacing w:line="276" w:lineRule="auto"/>
        <w:ind w:left="1033" w:leftChars="342" w:hanging="315" w:hangingChars="150"/>
        <w:rPr>
          <w:rFonts w:asci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w:t>
      </w:r>
      <w:r>
        <w:rPr>
          <w:rFonts w:hint="eastAsia" w:ascii="宋体" w:hAnsi="宋体" w:cs="宋体"/>
          <w:szCs w:val="21"/>
          <w:highlight w:val="none"/>
        </w:rPr>
        <w:t>竞争性磋商小组</w:t>
      </w:r>
      <w:r>
        <w:rPr>
          <w:rFonts w:hint="eastAsia" w:ascii="宋体" w:hAnsi="宋体" w:cs="宋体"/>
          <w:kern w:val="0"/>
          <w:szCs w:val="21"/>
          <w:highlight w:val="none"/>
        </w:rPr>
        <w:t>各成员在表格相应位置中记录各报价人是否符合要求，是打“√”，不是打“×”。</w:t>
      </w:r>
    </w:p>
    <w:p>
      <w:pPr>
        <w:tabs>
          <w:tab w:val="left" w:pos="1260"/>
        </w:tabs>
        <w:spacing w:line="276" w:lineRule="auto"/>
        <w:ind w:firstLine="630" w:firstLineChars="300"/>
        <w:rPr>
          <w:rFonts w:ascii="宋体" w:cs="宋体"/>
          <w:kern w:val="0"/>
          <w:szCs w:val="21"/>
          <w:highlight w:val="none"/>
        </w:rPr>
      </w:pPr>
      <w:r>
        <w:rPr>
          <w:rFonts w:ascii="宋体" w:hAnsi="宋体" w:cs="宋体"/>
          <w:kern w:val="0"/>
          <w:szCs w:val="21"/>
          <w:highlight w:val="none"/>
        </w:rPr>
        <w:t>3</w:t>
      </w:r>
      <w:r>
        <w:rPr>
          <w:rFonts w:hint="eastAsia" w:ascii="宋体" w:hAnsi="宋体" w:cs="宋体"/>
          <w:kern w:val="0"/>
          <w:szCs w:val="21"/>
          <w:highlight w:val="none"/>
        </w:rPr>
        <w:t>、结论栏填写“通过”与“未通过”。</w:t>
      </w:r>
    </w:p>
    <w:p>
      <w:pPr>
        <w:rPr>
          <w:rFonts w:ascii="宋体" w:cs="宋体"/>
          <w:szCs w:val="21"/>
          <w:highlight w:val="none"/>
        </w:rPr>
      </w:pPr>
    </w:p>
    <w:p>
      <w:pPr>
        <w:spacing w:line="480" w:lineRule="auto"/>
        <w:rPr>
          <w:rFonts w:ascii="宋体" w:cs="宋体"/>
          <w:szCs w:val="21"/>
          <w:highlight w:val="none"/>
        </w:rPr>
      </w:pPr>
      <w:r>
        <w:rPr>
          <w:rFonts w:hint="eastAsia" w:ascii="宋体" w:hAnsi="宋体" w:cs="宋体"/>
          <w:szCs w:val="21"/>
          <w:highlight w:val="none"/>
        </w:rPr>
        <w:t>竞争性磋商小组全体成员签字：</w:t>
      </w:r>
      <w:r>
        <w:rPr>
          <w:rFonts w:ascii="宋体" w:hAnsi="宋体" w:cs="宋体"/>
          <w:szCs w:val="21"/>
          <w:highlight w:val="none"/>
        </w:rPr>
        <w:t xml:space="preserve">                      </w:t>
      </w:r>
    </w:p>
    <w:p>
      <w:pPr>
        <w:spacing w:line="480" w:lineRule="auto"/>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日期：</w:t>
      </w:r>
      <w:r>
        <w:rPr>
          <w:rFonts w:ascii="宋体" w:hAnsi="宋体" w:cs="宋体"/>
          <w:szCs w:val="21"/>
          <w:highlight w:val="none"/>
        </w:rPr>
        <w:t xml:space="preserve">   </w:t>
      </w:r>
      <w:r>
        <w:rPr>
          <w:rFonts w:hint="eastAsia" w:ascii="宋体" w:hAnsi="宋体" w:cs="宋体"/>
          <w:szCs w:val="21"/>
          <w:highlight w:val="none"/>
        </w:rPr>
        <w:t>年</w:t>
      </w:r>
      <w:r>
        <w:rPr>
          <w:rFonts w:ascii="宋体" w:hAnsi="宋体" w:cs="宋体"/>
          <w:szCs w:val="21"/>
          <w:highlight w:val="none"/>
        </w:rPr>
        <w:t xml:space="preserve">    </w:t>
      </w:r>
      <w:r>
        <w:rPr>
          <w:rFonts w:hint="eastAsia" w:ascii="宋体" w:hAnsi="宋体" w:cs="宋体"/>
          <w:szCs w:val="21"/>
          <w:highlight w:val="none"/>
        </w:rPr>
        <w:t>月</w:t>
      </w:r>
      <w:r>
        <w:rPr>
          <w:rFonts w:ascii="宋体" w:hAnsi="宋体" w:cs="宋体"/>
          <w:szCs w:val="21"/>
          <w:highlight w:val="none"/>
        </w:rPr>
        <w:t xml:space="preserve">   </w:t>
      </w:r>
      <w:r>
        <w:rPr>
          <w:rFonts w:hint="eastAsia" w:ascii="宋体" w:hAnsi="宋体" w:cs="宋体"/>
          <w:szCs w:val="21"/>
          <w:highlight w:val="none"/>
        </w:rPr>
        <w:t>日</w:t>
      </w:r>
    </w:p>
    <w:p>
      <w:pPr>
        <w:spacing w:line="440" w:lineRule="exact"/>
        <w:rPr>
          <w:rFonts w:ascii="宋体" w:cs="宋体"/>
          <w:b/>
          <w:szCs w:val="21"/>
          <w:highlight w:val="none"/>
        </w:rPr>
      </w:pPr>
    </w:p>
    <w:p>
      <w:pPr>
        <w:spacing w:line="440" w:lineRule="exact"/>
        <w:rPr>
          <w:rFonts w:ascii="宋体" w:cs="宋体"/>
          <w:b/>
          <w:szCs w:val="21"/>
          <w:highlight w:val="none"/>
        </w:rPr>
      </w:pPr>
    </w:p>
    <w:p>
      <w:pPr>
        <w:spacing w:line="440" w:lineRule="exact"/>
        <w:rPr>
          <w:rFonts w:ascii="宋体" w:cs="宋体"/>
          <w:b/>
          <w:szCs w:val="21"/>
          <w:highlight w:val="none"/>
        </w:rPr>
      </w:pPr>
    </w:p>
    <w:p>
      <w:pPr>
        <w:spacing w:line="440" w:lineRule="exact"/>
        <w:rPr>
          <w:rFonts w:ascii="宋体" w:cs="宋体"/>
          <w:b/>
          <w:szCs w:val="21"/>
          <w:highlight w:val="none"/>
        </w:rPr>
      </w:pPr>
    </w:p>
    <w:p>
      <w:pPr>
        <w:spacing w:line="440" w:lineRule="exact"/>
        <w:rPr>
          <w:rFonts w:ascii="宋体" w:cs="宋体"/>
          <w:b/>
          <w:szCs w:val="21"/>
          <w:highlight w:val="none"/>
        </w:rPr>
      </w:pPr>
    </w:p>
    <w:p>
      <w:pPr>
        <w:spacing w:line="440" w:lineRule="exact"/>
        <w:rPr>
          <w:rFonts w:ascii="宋体" w:cs="宋体"/>
          <w:b/>
          <w:szCs w:val="21"/>
          <w:highlight w:val="none"/>
        </w:rPr>
      </w:pPr>
    </w:p>
    <w:p>
      <w:pPr>
        <w:widowControl/>
        <w:jc w:val="left"/>
        <w:rPr>
          <w:rFonts w:ascii="宋体" w:cs="宋体"/>
          <w:b/>
          <w:szCs w:val="21"/>
          <w:highlight w:val="none"/>
        </w:rPr>
      </w:pPr>
    </w:p>
    <w:p>
      <w:pPr>
        <w:widowControl/>
        <w:jc w:val="left"/>
        <w:rPr>
          <w:rFonts w:ascii="宋体" w:cs="宋体"/>
          <w:b/>
          <w:sz w:val="24"/>
          <w:szCs w:val="24"/>
          <w:highlight w:val="none"/>
        </w:rPr>
      </w:pPr>
    </w:p>
    <w:p>
      <w:pPr>
        <w:spacing w:line="440" w:lineRule="exact"/>
        <w:rPr>
          <w:rFonts w:ascii="宋体" w:cs="宋体"/>
          <w:b/>
          <w:sz w:val="24"/>
          <w:szCs w:val="24"/>
          <w:highlight w:val="none"/>
        </w:rPr>
      </w:pPr>
      <w:r>
        <w:rPr>
          <w:rFonts w:hint="eastAsia" w:ascii="宋体" w:hAnsi="宋体" w:cs="宋体"/>
          <w:b/>
          <w:sz w:val="24"/>
          <w:szCs w:val="24"/>
          <w:highlight w:val="none"/>
        </w:rPr>
        <w:t>资格后审评审标准</w:t>
      </w:r>
    </w:p>
    <w:tbl>
      <w:tblPr>
        <w:tblStyle w:val="60"/>
        <w:tblW w:w="9639"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18"/>
        <w:gridCol w:w="421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blHeader/>
          <w:jc w:val="center"/>
        </w:trPr>
        <w:tc>
          <w:tcPr>
            <w:tcW w:w="709" w:type="dxa"/>
            <w:tcBorders>
              <w:top w:val="single" w:color="auto" w:sz="12" w:space="0"/>
              <w:left w:val="single" w:color="auto" w:sz="12" w:space="0"/>
            </w:tcBorders>
            <w:vAlign w:val="center"/>
          </w:tcPr>
          <w:p>
            <w:pPr>
              <w:spacing w:line="360" w:lineRule="exact"/>
              <w:jc w:val="center"/>
              <w:rPr>
                <w:rFonts w:ascii="宋体" w:cs="宋体"/>
                <w:b/>
                <w:szCs w:val="21"/>
                <w:highlight w:val="none"/>
              </w:rPr>
            </w:pPr>
            <w:r>
              <w:rPr>
                <w:rFonts w:hint="eastAsia" w:ascii="宋体" w:hAnsi="宋体" w:cs="宋体"/>
                <w:b/>
                <w:szCs w:val="21"/>
                <w:highlight w:val="none"/>
              </w:rPr>
              <w:t>序号</w:t>
            </w:r>
          </w:p>
        </w:tc>
        <w:tc>
          <w:tcPr>
            <w:tcW w:w="2018" w:type="dxa"/>
            <w:tcBorders>
              <w:top w:val="single" w:color="auto" w:sz="12" w:space="0"/>
            </w:tcBorders>
            <w:vAlign w:val="center"/>
          </w:tcPr>
          <w:p>
            <w:pPr>
              <w:spacing w:line="360" w:lineRule="exact"/>
              <w:jc w:val="center"/>
              <w:rPr>
                <w:rFonts w:ascii="宋体" w:cs="宋体"/>
                <w:b/>
                <w:szCs w:val="21"/>
                <w:highlight w:val="none"/>
              </w:rPr>
            </w:pPr>
            <w:r>
              <w:rPr>
                <w:rFonts w:hint="eastAsia" w:ascii="宋体" w:hAnsi="宋体" w:cs="宋体"/>
                <w:b/>
                <w:szCs w:val="21"/>
                <w:highlight w:val="none"/>
              </w:rPr>
              <w:t>项目内容</w:t>
            </w:r>
          </w:p>
        </w:tc>
        <w:tc>
          <w:tcPr>
            <w:tcW w:w="4219" w:type="dxa"/>
            <w:tcBorders>
              <w:top w:val="single" w:color="auto" w:sz="12" w:space="0"/>
            </w:tcBorders>
            <w:vAlign w:val="center"/>
          </w:tcPr>
          <w:p>
            <w:pPr>
              <w:spacing w:line="360" w:lineRule="exact"/>
              <w:jc w:val="center"/>
              <w:rPr>
                <w:rFonts w:ascii="宋体" w:cs="宋体"/>
                <w:b/>
                <w:szCs w:val="21"/>
                <w:highlight w:val="none"/>
              </w:rPr>
            </w:pPr>
            <w:r>
              <w:rPr>
                <w:rFonts w:hint="eastAsia" w:ascii="宋体" w:hAnsi="宋体" w:cs="宋体"/>
                <w:b/>
                <w:szCs w:val="21"/>
                <w:highlight w:val="none"/>
              </w:rPr>
              <w:t>合格条件</w:t>
            </w:r>
          </w:p>
        </w:tc>
        <w:tc>
          <w:tcPr>
            <w:tcW w:w="2693" w:type="dxa"/>
            <w:tcBorders>
              <w:top w:val="single" w:color="auto" w:sz="12" w:space="0"/>
              <w:right w:val="single" w:color="auto" w:sz="12" w:space="0"/>
            </w:tcBorders>
            <w:vAlign w:val="center"/>
          </w:tcPr>
          <w:p>
            <w:pPr>
              <w:spacing w:line="360" w:lineRule="exact"/>
              <w:jc w:val="center"/>
              <w:rPr>
                <w:rFonts w:ascii="宋体" w:cs="宋体"/>
                <w:b/>
                <w:szCs w:val="21"/>
                <w:highlight w:val="none"/>
              </w:rPr>
            </w:pPr>
            <w:r>
              <w:rPr>
                <w:rFonts w:hint="eastAsia" w:ascii="宋体" w:hAnsi="宋体" w:cs="宋体"/>
                <w:b/>
                <w:szCs w:val="21"/>
                <w:highlight w:val="none"/>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709" w:type="dxa"/>
            <w:tcBorders>
              <w:left w:val="single" w:color="auto" w:sz="12" w:space="0"/>
            </w:tcBorders>
            <w:vAlign w:val="center"/>
          </w:tcPr>
          <w:p>
            <w:pPr>
              <w:spacing w:line="360" w:lineRule="exact"/>
              <w:jc w:val="center"/>
              <w:rPr>
                <w:rFonts w:ascii="宋体" w:hAnsi="宋体" w:cs="宋体"/>
                <w:szCs w:val="21"/>
                <w:highlight w:val="none"/>
              </w:rPr>
            </w:pPr>
            <w:r>
              <w:rPr>
                <w:rFonts w:ascii="宋体" w:hAnsi="宋体" w:cs="宋体"/>
                <w:szCs w:val="21"/>
                <w:highlight w:val="none"/>
              </w:rPr>
              <w:t>1</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营业执照、企业组织机构代码证、税务登记证书</w:t>
            </w:r>
          </w:p>
        </w:tc>
        <w:tc>
          <w:tcPr>
            <w:tcW w:w="4219" w:type="dxa"/>
          </w:tcPr>
          <w:p>
            <w:pPr>
              <w:spacing w:line="360" w:lineRule="exact"/>
              <w:rPr>
                <w:rFonts w:ascii="宋体" w:hAnsi="宋体" w:cs="宋体"/>
                <w:szCs w:val="21"/>
                <w:highlight w:val="none"/>
              </w:rPr>
            </w:pPr>
            <w:r>
              <w:rPr>
                <w:rFonts w:hint="eastAsia" w:ascii="宋体" w:hAnsi="宋体" w:cs="宋体"/>
                <w:szCs w:val="21"/>
                <w:highlight w:val="none"/>
              </w:rPr>
              <w:t>有效的营业执照、有效期内的企业组织机构代码证、税务登记证书（</w:t>
            </w:r>
            <w:r>
              <w:rPr>
                <w:rFonts w:hint="eastAsia"/>
                <w:szCs w:val="21"/>
                <w:highlight w:val="none"/>
              </w:rPr>
              <w:t>三证合一或五证合一则提供营业执照即可</w:t>
            </w:r>
            <w:r>
              <w:rPr>
                <w:rFonts w:hint="eastAsia" w:ascii="宋体" w:hAnsi="宋体" w:cs="宋体"/>
                <w:szCs w:val="21"/>
                <w:highlight w:val="none"/>
              </w:rPr>
              <w:t>）。</w:t>
            </w:r>
            <w:r>
              <w:rPr>
                <w:rFonts w:ascii="宋体" w:hAnsi="宋体" w:cs="宋体"/>
                <w:szCs w:val="21"/>
                <w:highlight w:val="none"/>
              </w:rPr>
              <w:t xml:space="preserve"> </w:t>
            </w:r>
          </w:p>
        </w:tc>
        <w:tc>
          <w:tcPr>
            <w:tcW w:w="2693" w:type="dxa"/>
            <w:tcBorders>
              <w:right w:val="single" w:color="auto" w:sz="12" w:space="0"/>
            </w:tcBorders>
            <w:vAlign w:val="center"/>
          </w:tcPr>
          <w:p>
            <w:pPr>
              <w:spacing w:line="360" w:lineRule="exact"/>
              <w:rPr>
                <w:rFonts w:ascii="宋体" w:cs="宋体"/>
                <w:szCs w:val="21"/>
                <w:highlight w:val="none"/>
              </w:rPr>
            </w:pPr>
            <w:r>
              <w:rPr>
                <w:rFonts w:hint="eastAsia" w:ascii="宋体" w:hAnsi="宋体" w:cs="宋体"/>
                <w:szCs w:val="21"/>
                <w:highlight w:val="none"/>
              </w:rPr>
              <w:t>加盖单位公章的复印件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Borders>
              <w:left w:val="single" w:color="auto" w:sz="12" w:space="0"/>
            </w:tcBorders>
            <w:vAlign w:val="center"/>
          </w:tcPr>
          <w:p>
            <w:pPr>
              <w:spacing w:line="360" w:lineRule="exact"/>
              <w:jc w:val="center"/>
              <w:rPr>
                <w:rFonts w:ascii="宋体" w:hAnsi="宋体" w:cs="宋体"/>
                <w:szCs w:val="21"/>
                <w:highlight w:val="none"/>
              </w:rPr>
            </w:pPr>
            <w:r>
              <w:rPr>
                <w:rFonts w:ascii="宋体" w:hAnsi="宋体" w:cs="宋体"/>
                <w:szCs w:val="21"/>
                <w:highlight w:val="none"/>
              </w:rPr>
              <w:t>2</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资质及相关证书</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“报价人资格要求”中要求的相关资质证书</w:t>
            </w:r>
          </w:p>
        </w:tc>
        <w:tc>
          <w:tcPr>
            <w:tcW w:w="2693" w:type="dxa"/>
            <w:tcBorders>
              <w:right w:val="single" w:color="auto" w:sz="12" w:space="0"/>
            </w:tcBorders>
            <w:vAlign w:val="center"/>
          </w:tcPr>
          <w:p>
            <w:pPr>
              <w:spacing w:line="360" w:lineRule="exact"/>
              <w:rPr>
                <w:rFonts w:ascii="宋体" w:cs="宋体"/>
                <w:szCs w:val="21"/>
                <w:highlight w:val="none"/>
              </w:rPr>
            </w:pPr>
            <w:r>
              <w:rPr>
                <w:rFonts w:hint="eastAsia" w:ascii="宋体" w:hAnsi="宋体" w:cs="宋体"/>
                <w:szCs w:val="21"/>
                <w:highlight w:val="none"/>
              </w:rPr>
              <w:t>加盖单位公章的复印件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3</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项目经理</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具备相关专业二级（含）以上注册建造师证书（不含临时）、安全生产考核证（</w:t>
            </w:r>
            <w:r>
              <w:rPr>
                <w:rFonts w:ascii="宋体" w:hAnsi="宋体" w:cs="宋体"/>
                <w:szCs w:val="21"/>
                <w:highlight w:val="none"/>
              </w:rPr>
              <w:t>B</w:t>
            </w:r>
            <w:r>
              <w:rPr>
                <w:rFonts w:hint="eastAsia" w:ascii="宋体" w:hAnsi="宋体" w:cs="宋体"/>
                <w:szCs w:val="21"/>
                <w:highlight w:val="none"/>
              </w:rPr>
              <w:t>本）、项目经理在本单位社保缴纳记录。</w:t>
            </w:r>
          </w:p>
        </w:tc>
        <w:tc>
          <w:tcPr>
            <w:tcW w:w="2693" w:type="dxa"/>
            <w:tcBorders>
              <w:right w:val="single" w:color="auto" w:sz="12" w:space="0"/>
            </w:tcBorders>
            <w:vAlign w:val="center"/>
          </w:tcPr>
          <w:p>
            <w:pPr>
              <w:spacing w:line="360" w:lineRule="exact"/>
              <w:rPr>
                <w:rFonts w:ascii="宋体" w:cs="宋体"/>
                <w:szCs w:val="21"/>
                <w:highlight w:val="none"/>
              </w:rPr>
            </w:pPr>
            <w:r>
              <w:rPr>
                <w:rFonts w:hint="eastAsia" w:ascii="宋体" w:hAnsi="宋体" w:cs="宋体"/>
                <w:szCs w:val="21"/>
                <w:highlight w:val="none"/>
              </w:rPr>
              <w:t>加盖单位公章的复印件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4</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安全施工</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提供安全生产许可证（在有效期内）。</w:t>
            </w:r>
          </w:p>
        </w:tc>
        <w:tc>
          <w:tcPr>
            <w:tcW w:w="2693" w:type="dxa"/>
            <w:tcBorders>
              <w:right w:val="single" w:color="auto" w:sz="12" w:space="0"/>
            </w:tcBorders>
            <w:vAlign w:val="center"/>
          </w:tcPr>
          <w:p>
            <w:pPr>
              <w:rPr>
                <w:rFonts w:ascii="宋体" w:cs="宋体"/>
                <w:szCs w:val="21"/>
                <w:highlight w:val="none"/>
              </w:rPr>
            </w:pPr>
            <w:r>
              <w:rPr>
                <w:rFonts w:hint="eastAsia" w:ascii="宋体" w:hAnsi="宋体" w:cs="宋体"/>
                <w:szCs w:val="21"/>
                <w:highlight w:val="none"/>
              </w:rPr>
              <w:t>加盖单位公章的复印件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5</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缴纳税收及社保缴费证明</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近三个月连续缴纳税收及社保缴费记录证明</w:t>
            </w:r>
          </w:p>
        </w:tc>
        <w:tc>
          <w:tcPr>
            <w:tcW w:w="2693" w:type="dxa"/>
            <w:tcBorders>
              <w:right w:val="single" w:color="auto" w:sz="12" w:space="0"/>
            </w:tcBorders>
            <w:vAlign w:val="center"/>
          </w:tcPr>
          <w:p>
            <w:pPr>
              <w:spacing w:line="360" w:lineRule="exact"/>
              <w:rPr>
                <w:rFonts w:ascii="宋体" w:cs="宋体"/>
                <w:szCs w:val="21"/>
                <w:highlight w:val="none"/>
              </w:rPr>
            </w:pPr>
            <w:r>
              <w:rPr>
                <w:rFonts w:hint="eastAsia" w:ascii="宋体" w:hAnsi="宋体" w:cs="宋体"/>
                <w:szCs w:val="21"/>
                <w:highlight w:val="none"/>
              </w:rPr>
              <w:t>加盖单位公章的复印件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6</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近年发生的诉讼及仲裁情况</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说明相关情况，并附法院或仲裁机构作出的判决、裁决等有关法律文书复印件</w:t>
            </w:r>
          </w:p>
        </w:tc>
        <w:tc>
          <w:tcPr>
            <w:tcW w:w="2693" w:type="dxa"/>
            <w:tcBorders>
              <w:right w:val="single" w:color="auto" w:sz="12" w:space="0"/>
            </w:tcBorders>
            <w:vAlign w:val="center"/>
          </w:tcPr>
          <w:p>
            <w:pPr>
              <w:spacing w:line="360" w:lineRule="exact"/>
              <w:rPr>
                <w:rFonts w:ascii="宋体" w:hAnsi="宋体" w:cs="宋体"/>
                <w:szCs w:val="21"/>
                <w:highlight w:val="none"/>
              </w:rPr>
            </w:pPr>
            <w:r>
              <w:rPr>
                <w:rFonts w:hint="eastAsia" w:ascii="宋体" w:hAnsi="宋体" w:cs="宋体"/>
                <w:szCs w:val="21"/>
                <w:highlight w:val="none"/>
              </w:rPr>
              <w:t>需提供加盖报价人公章和法定代表人签字并盖章的承诺书证明。</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7</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企业经营状况</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没有处于被责令停业，响应资格被取消，财产被接管、冻结，破产状态。</w:t>
            </w:r>
          </w:p>
        </w:tc>
        <w:tc>
          <w:tcPr>
            <w:tcW w:w="2693" w:type="dxa"/>
            <w:tcBorders>
              <w:right w:val="single" w:color="auto" w:sz="12" w:space="0"/>
            </w:tcBorders>
            <w:vAlign w:val="center"/>
          </w:tcPr>
          <w:p>
            <w:pPr>
              <w:spacing w:line="360" w:lineRule="exact"/>
              <w:rPr>
                <w:rFonts w:ascii="宋体" w:hAnsi="宋体" w:cs="宋体"/>
                <w:szCs w:val="21"/>
                <w:highlight w:val="none"/>
              </w:rPr>
            </w:pPr>
            <w:r>
              <w:rPr>
                <w:rFonts w:hint="eastAsia" w:ascii="宋体" w:hAnsi="宋体" w:cs="宋体"/>
                <w:szCs w:val="21"/>
                <w:highlight w:val="none"/>
              </w:rPr>
              <w:t>需提供加盖报价人公章和法定代表人签字并盖章的承诺书证明</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8</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履约情况</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在最近三年内没有骗取成交和严重违约及重大工程质量问题</w:t>
            </w:r>
          </w:p>
        </w:tc>
        <w:tc>
          <w:tcPr>
            <w:tcW w:w="2693" w:type="dxa"/>
            <w:tcBorders>
              <w:right w:val="single" w:color="auto" w:sz="12" w:space="0"/>
            </w:tcBorders>
            <w:vAlign w:val="center"/>
          </w:tcPr>
          <w:p>
            <w:pPr>
              <w:spacing w:line="360" w:lineRule="exact"/>
              <w:rPr>
                <w:rFonts w:ascii="宋体" w:cs="宋体"/>
                <w:szCs w:val="21"/>
                <w:highlight w:val="none"/>
              </w:rPr>
            </w:pPr>
            <w:r>
              <w:rPr>
                <w:rFonts w:hint="eastAsia" w:ascii="宋体" w:hAnsi="宋体" w:cs="宋体"/>
                <w:szCs w:val="21"/>
                <w:highlight w:val="none"/>
              </w:rPr>
              <w:t>需提供加盖报价人公章和法定代表人签字并盖章的承诺书证明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709" w:type="dxa"/>
            <w:tcBorders>
              <w:left w:val="single" w:color="auto" w:sz="12" w:space="0"/>
            </w:tcBorders>
            <w:vAlign w:val="center"/>
          </w:tcPr>
          <w:p>
            <w:pPr>
              <w:spacing w:line="360" w:lineRule="exact"/>
              <w:jc w:val="center"/>
              <w:rPr>
                <w:rFonts w:ascii="宋体" w:cs="宋体"/>
                <w:szCs w:val="21"/>
                <w:highlight w:val="none"/>
              </w:rPr>
            </w:pPr>
            <w:r>
              <w:rPr>
                <w:rFonts w:ascii="宋体" w:hAnsi="宋体" w:cs="宋体"/>
                <w:szCs w:val="21"/>
                <w:highlight w:val="none"/>
              </w:rPr>
              <w:t>9</w:t>
            </w:r>
          </w:p>
        </w:tc>
        <w:tc>
          <w:tcPr>
            <w:tcW w:w="2018" w:type="dxa"/>
            <w:vAlign w:val="center"/>
          </w:tcPr>
          <w:p>
            <w:pPr>
              <w:spacing w:line="360" w:lineRule="exact"/>
              <w:rPr>
                <w:rFonts w:ascii="宋体" w:cs="宋体"/>
                <w:szCs w:val="21"/>
                <w:highlight w:val="none"/>
              </w:rPr>
            </w:pPr>
            <w:r>
              <w:rPr>
                <w:rFonts w:hint="eastAsia" w:ascii="宋体" w:hAnsi="宋体" w:cs="宋体"/>
                <w:szCs w:val="21"/>
                <w:highlight w:val="none"/>
              </w:rPr>
              <w:t>信用记录</w:t>
            </w:r>
          </w:p>
        </w:tc>
        <w:tc>
          <w:tcPr>
            <w:tcW w:w="4219" w:type="dxa"/>
            <w:vAlign w:val="center"/>
          </w:tcPr>
          <w:p>
            <w:pPr>
              <w:spacing w:line="360" w:lineRule="exact"/>
              <w:rPr>
                <w:rFonts w:ascii="宋体" w:cs="宋体"/>
                <w:szCs w:val="21"/>
                <w:highlight w:val="none"/>
              </w:rPr>
            </w:pPr>
            <w:r>
              <w:rPr>
                <w:rFonts w:hint="eastAsia" w:ascii="宋体" w:hAnsi="宋体" w:cs="宋体"/>
                <w:szCs w:val="21"/>
                <w:highlight w:val="none"/>
              </w:rPr>
              <w:t>“信用中国网站”（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58"/>
                <w:rFonts w:ascii="宋体" w:hAnsi="宋体" w:cs="宋体"/>
                <w:color w:val="auto"/>
                <w:szCs w:val="21"/>
                <w:highlight w:val="none"/>
              </w:rPr>
              <w:t>www.creditchina.gov.cn</w:t>
            </w:r>
            <w:r>
              <w:rPr>
                <w:rStyle w:val="58"/>
                <w:rFonts w:ascii="宋体" w:hAnsi="宋体" w:cs="宋体"/>
                <w:color w:val="auto"/>
                <w:szCs w:val="21"/>
                <w:highlight w:val="none"/>
              </w:rPr>
              <w:fldChar w:fldCharType="end"/>
            </w:r>
            <w:r>
              <w:rPr>
                <w:rFonts w:hint="eastAsia" w:ascii="宋体" w:hAnsi="宋体" w:cs="宋体"/>
                <w:szCs w:val="21"/>
                <w:highlight w:val="none"/>
              </w:rPr>
              <w:t>）网站查询的报价人信用记录的查询结果</w:t>
            </w:r>
            <w:r>
              <w:rPr>
                <w:rFonts w:ascii="宋体" w:hAnsi="宋体" w:cs="宋体"/>
                <w:szCs w:val="21"/>
                <w:highlight w:val="none"/>
              </w:rPr>
              <w:t>(</w:t>
            </w:r>
            <w:r>
              <w:rPr>
                <w:rFonts w:hint="eastAsia" w:ascii="宋体" w:hAnsi="宋体" w:cs="宋体"/>
                <w:szCs w:val="21"/>
                <w:highlight w:val="none"/>
              </w:rPr>
              <w:t>查询日期在本公告发布日之后</w:t>
            </w:r>
            <w:r>
              <w:rPr>
                <w:rFonts w:ascii="宋体" w:hAnsi="宋体" w:cs="宋体"/>
                <w:szCs w:val="21"/>
                <w:highlight w:val="none"/>
              </w:rPr>
              <w:t>)</w:t>
            </w:r>
            <w:r>
              <w:rPr>
                <w:rFonts w:hint="eastAsia" w:ascii="宋体" w:hAnsi="宋体" w:cs="宋体"/>
                <w:szCs w:val="21"/>
                <w:highlight w:val="none"/>
              </w:rPr>
              <w:t>复印件加盖公章；</w:t>
            </w:r>
          </w:p>
        </w:tc>
        <w:tc>
          <w:tcPr>
            <w:tcW w:w="2693" w:type="dxa"/>
            <w:tcBorders>
              <w:right w:val="single" w:color="auto" w:sz="12" w:space="0"/>
            </w:tcBorders>
            <w:vAlign w:val="center"/>
          </w:tcPr>
          <w:p>
            <w:pPr>
              <w:spacing w:line="360" w:lineRule="exact"/>
              <w:rPr>
                <w:rFonts w:ascii="宋体" w:cs="宋体"/>
                <w:szCs w:val="21"/>
                <w:highlight w:val="none"/>
              </w:rPr>
            </w:pPr>
            <w:r>
              <w:rPr>
                <w:rFonts w:hint="eastAsia" w:ascii="宋体" w:hAnsi="宋体" w:cs="宋体"/>
                <w:szCs w:val="21"/>
                <w:highlight w:val="none"/>
              </w:rPr>
              <w:t>查询结果加盖单位公章的复印件</w:t>
            </w:r>
          </w:p>
        </w:tc>
      </w:tr>
    </w:tbl>
    <w:p>
      <w:pPr>
        <w:spacing w:line="300" w:lineRule="auto"/>
        <w:rPr>
          <w:rFonts w:ascii="宋体" w:cs="宋体"/>
          <w:szCs w:val="21"/>
          <w:highlight w:val="none"/>
        </w:rPr>
      </w:pPr>
      <w:r>
        <w:rPr>
          <w:rFonts w:hint="eastAsia" w:ascii="宋体" w:hAnsi="宋体" w:cs="宋体"/>
          <w:szCs w:val="21"/>
          <w:highlight w:val="none"/>
        </w:rPr>
        <w:t>注：</w:t>
      </w:r>
      <w:r>
        <w:rPr>
          <w:rFonts w:ascii="宋体" w:hAnsi="宋体" w:cs="宋体"/>
          <w:szCs w:val="21"/>
          <w:highlight w:val="none"/>
        </w:rPr>
        <w:t>1</w:t>
      </w:r>
      <w:r>
        <w:rPr>
          <w:rFonts w:hint="eastAsia" w:ascii="宋体" w:hAnsi="宋体" w:cs="宋体"/>
          <w:szCs w:val="21"/>
          <w:highlight w:val="none"/>
        </w:rPr>
        <w:t>、磋商小组根据必要合格条件的审查结果，在相应的合格栏或不合格栏内划“√”。</w:t>
      </w:r>
    </w:p>
    <w:p>
      <w:pPr>
        <w:spacing w:line="300" w:lineRule="auto"/>
        <w:ind w:left="1155" w:leftChars="200" w:hanging="735" w:hangingChars="350"/>
        <w:rPr>
          <w:rFonts w:ascii="宋体" w:cs="宋体"/>
          <w:b/>
          <w:szCs w:val="21"/>
          <w:highlight w:val="none"/>
        </w:rPr>
      </w:pPr>
      <w:r>
        <w:rPr>
          <w:rFonts w:ascii="宋体" w:hAnsi="宋体" w:cs="宋体"/>
          <w:szCs w:val="21"/>
          <w:highlight w:val="none"/>
        </w:rPr>
        <w:t xml:space="preserve">    2</w:t>
      </w:r>
      <w:r>
        <w:rPr>
          <w:rFonts w:hint="eastAsia" w:ascii="宋体" w:hAnsi="宋体" w:cs="宋体"/>
          <w:szCs w:val="21"/>
          <w:highlight w:val="none"/>
        </w:rPr>
        <w:t>、</w:t>
      </w:r>
      <w:r>
        <w:rPr>
          <w:rFonts w:hint="eastAsia" w:ascii="宋体" w:hAnsi="宋体" w:cs="宋体"/>
          <w:b/>
          <w:szCs w:val="21"/>
          <w:highlight w:val="none"/>
        </w:rPr>
        <w:t>只要有一个条件不合格，报价人的响应文件将被拒绝，即界定为无效响应，不再参加后续程序评审。</w:t>
      </w:r>
    </w:p>
    <w:p>
      <w:pPr>
        <w:spacing w:line="300" w:lineRule="auto"/>
        <w:ind w:left="1155" w:leftChars="200" w:hanging="735" w:hangingChars="350"/>
        <w:rPr>
          <w:rFonts w:ascii="宋体" w:cs="宋体"/>
          <w:kern w:val="0"/>
          <w:szCs w:val="21"/>
          <w:highlight w:val="none"/>
        </w:rPr>
      </w:pPr>
      <w:r>
        <w:rPr>
          <w:rFonts w:hint="eastAsia" w:ascii="宋体" w:hAnsi="宋体" w:cs="宋体"/>
          <w:szCs w:val="21"/>
          <w:highlight w:val="none"/>
        </w:rPr>
        <w:t>磋商小组全体成员签字</w:t>
      </w:r>
      <w:r>
        <w:rPr>
          <w:rFonts w:ascii="宋体" w:hAnsi="宋体" w:cs="宋体"/>
          <w:kern w:val="0"/>
          <w:szCs w:val="21"/>
          <w:highlight w:val="none"/>
        </w:rPr>
        <w:t>:</w:t>
      </w:r>
    </w:p>
    <w:p>
      <w:pPr>
        <w:spacing w:line="400" w:lineRule="exact"/>
        <w:ind w:firstLine="105" w:firstLineChars="50"/>
        <w:rPr>
          <w:rFonts w:ascii="宋体" w:cs="宋体"/>
          <w:b/>
          <w:szCs w:val="21"/>
          <w:highlight w:val="none"/>
        </w:rPr>
      </w:pPr>
      <w:r>
        <w:rPr>
          <w:rFonts w:ascii="宋体" w:cs="宋体"/>
          <w:kern w:val="0"/>
          <w:szCs w:val="21"/>
          <w:highlight w:val="none"/>
        </w:rPr>
        <w:br w:type="page"/>
      </w:r>
      <w:r>
        <w:rPr>
          <w:rFonts w:hint="eastAsia" w:ascii="宋体" w:hAnsi="宋体" w:cs="宋体"/>
          <w:b/>
          <w:szCs w:val="21"/>
          <w:highlight w:val="none"/>
        </w:rPr>
        <w:t>详细评审</w:t>
      </w:r>
    </w:p>
    <w:p>
      <w:pPr>
        <w:spacing w:line="600" w:lineRule="auto"/>
        <w:rPr>
          <w:rFonts w:ascii="宋体" w:cs="宋体"/>
          <w:b/>
          <w:szCs w:val="21"/>
          <w:highlight w:val="none"/>
        </w:rPr>
      </w:pPr>
      <w:r>
        <w:rPr>
          <w:rFonts w:hint="eastAsia" w:ascii="宋体" w:hAnsi="宋体" w:cs="宋体"/>
          <w:b/>
          <w:szCs w:val="21"/>
          <w:highlight w:val="none"/>
        </w:rPr>
        <w:t>一、企业信誉与实力：（</w:t>
      </w:r>
      <w:r>
        <w:rPr>
          <w:rFonts w:ascii="宋体" w:hAnsi="宋体" w:cs="宋体"/>
          <w:b/>
          <w:szCs w:val="21"/>
          <w:highlight w:val="none"/>
        </w:rPr>
        <w:t>10</w:t>
      </w:r>
      <w:r>
        <w:rPr>
          <w:rFonts w:hint="eastAsia" w:ascii="宋体" w:hAnsi="宋体" w:cs="宋体"/>
          <w:b/>
          <w:szCs w:val="21"/>
          <w:highlight w:val="none"/>
        </w:rPr>
        <w:t>分）</w:t>
      </w:r>
    </w:p>
    <w:tbl>
      <w:tblPr>
        <w:tblStyle w:val="60"/>
        <w:tblW w:w="9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29"/>
        <w:gridCol w:w="992"/>
        <w:gridCol w:w="4928"/>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09" w:type="dxa"/>
            <w:vAlign w:val="center"/>
          </w:tcPr>
          <w:p>
            <w:pPr>
              <w:spacing w:line="400" w:lineRule="exact"/>
              <w:jc w:val="center"/>
              <w:rPr>
                <w:rFonts w:ascii="宋体" w:cs="宋体"/>
                <w:b/>
                <w:bCs/>
                <w:szCs w:val="21"/>
                <w:highlight w:val="none"/>
              </w:rPr>
            </w:pPr>
            <w:r>
              <w:rPr>
                <w:rFonts w:hint="eastAsia" w:ascii="宋体" w:hAnsi="宋体" w:cs="宋体"/>
                <w:b/>
                <w:bCs/>
                <w:szCs w:val="21"/>
                <w:highlight w:val="none"/>
              </w:rPr>
              <w:t>序号</w:t>
            </w:r>
          </w:p>
        </w:tc>
        <w:tc>
          <w:tcPr>
            <w:tcW w:w="1929" w:type="dxa"/>
            <w:vAlign w:val="center"/>
          </w:tcPr>
          <w:p>
            <w:pPr>
              <w:spacing w:line="400" w:lineRule="exact"/>
              <w:jc w:val="center"/>
              <w:rPr>
                <w:rFonts w:ascii="宋体" w:cs="宋体"/>
                <w:b/>
                <w:bCs/>
                <w:szCs w:val="21"/>
                <w:highlight w:val="none"/>
              </w:rPr>
            </w:pPr>
            <w:r>
              <w:rPr>
                <w:rFonts w:hint="eastAsia" w:ascii="宋体" w:hAnsi="宋体" w:cs="宋体"/>
                <w:b/>
                <w:bCs/>
                <w:szCs w:val="21"/>
                <w:highlight w:val="none"/>
              </w:rPr>
              <w:t>项目</w:t>
            </w:r>
          </w:p>
        </w:tc>
        <w:tc>
          <w:tcPr>
            <w:tcW w:w="992" w:type="dxa"/>
            <w:vAlign w:val="center"/>
          </w:tcPr>
          <w:p>
            <w:pPr>
              <w:spacing w:line="400" w:lineRule="exact"/>
              <w:jc w:val="center"/>
              <w:rPr>
                <w:rFonts w:ascii="宋体" w:cs="宋体"/>
                <w:b/>
                <w:bCs/>
                <w:szCs w:val="21"/>
                <w:highlight w:val="none"/>
              </w:rPr>
            </w:pPr>
            <w:r>
              <w:rPr>
                <w:rFonts w:hint="eastAsia" w:ascii="宋体" w:hAnsi="宋体" w:cs="宋体"/>
                <w:b/>
                <w:bCs/>
                <w:szCs w:val="21"/>
                <w:highlight w:val="none"/>
              </w:rPr>
              <w:t>标准分</w:t>
            </w:r>
          </w:p>
        </w:tc>
        <w:tc>
          <w:tcPr>
            <w:tcW w:w="4928" w:type="dxa"/>
            <w:vAlign w:val="center"/>
          </w:tcPr>
          <w:p>
            <w:pPr>
              <w:spacing w:line="400" w:lineRule="exact"/>
              <w:jc w:val="center"/>
              <w:rPr>
                <w:rFonts w:ascii="宋体" w:cs="宋体"/>
                <w:b/>
                <w:bCs/>
                <w:szCs w:val="21"/>
                <w:highlight w:val="none"/>
              </w:rPr>
            </w:pPr>
            <w:r>
              <w:rPr>
                <w:rFonts w:hint="eastAsia" w:ascii="宋体" w:hAnsi="宋体" w:cs="宋体"/>
                <w:b/>
                <w:bCs/>
                <w:szCs w:val="21"/>
                <w:highlight w:val="none"/>
              </w:rPr>
              <w:t>评分标准及标准分</w:t>
            </w:r>
          </w:p>
        </w:tc>
        <w:tc>
          <w:tcPr>
            <w:tcW w:w="775" w:type="dxa"/>
            <w:vAlign w:val="center"/>
          </w:tcPr>
          <w:p>
            <w:pPr>
              <w:spacing w:line="400" w:lineRule="exact"/>
              <w:jc w:val="center"/>
              <w:rPr>
                <w:rFonts w:ascii="宋体" w:cs="宋体"/>
                <w:b/>
                <w:bCs/>
                <w:szCs w:val="21"/>
                <w:highlight w:val="none"/>
              </w:rPr>
            </w:pPr>
            <w:r>
              <w:rPr>
                <w:rFonts w:hint="eastAsia" w:ascii="宋体" w:hAnsi="宋体" w:cs="宋体"/>
                <w:b/>
                <w:bCs/>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7" w:hRule="atLeast"/>
          <w:jc w:val="center"/>
        </w:trPr>
        <w:tc>
          <w:tcPr>
            <w:tcW w:w="709" w:type="dxa"/>
            <w:vAlign w:val="center"/>
          </w:tcPr>
          <w:p>
            <w:pPr>
              <w:spacing w:line="400" w:lineRule="exact"/>
              <w:ind w:firstLine="210" w:firstLineChars="100"/>
              <w:rPr>
                <w:rFonts w:ascii="宋体" w:hAnsi="宋体" w:cs="宋体"/>
                <w:szCs w:val="21"/>
                <w:highlight w:val="none"/>
              </w:rPr>
            </w:pPr>
            <w:r>
              <w:rPr>
                <w:rFonts w:ascii="宋体" w:hAnsi="宋体" w:cs="宋体"/>
                <w:szCs w:val="21"/>
                <w:highlight w:val="none"/>
              </w:rPr>
              <w:t>1</w:t>
            </w:r>
          </w:p>
        </w:tc>
        <w:tc>
          <w:tcPr>
            <w:tcW w:w="1929" w:type="dxa"/>
            <w:vAlign w:val="center"/>
          </w:tcPr>
          <w:p>
            <w:pPr>
              <w:spacing w:line="400" w:lineRule="exact"/>
              <w:rPr>
                <w:rFonts w:ascii="宋体" w:cs="宋体"/>
                <w:szCs w:val="21"/>
                <w:highlight w:val="none"/>
              </w:rPr>
            </w:pPr>
            <w:r>
              <w:rPr>
                <w:rFonts w:hint="eastAsia" w:ascii="宋体" w:hAnsi="宋体" w:cs="宋体"/>
                <w:szCs w:val="21"/>
                <w:highlight w:val="none"/>
              </w:rPr>
              <w:t>企业管理体系</w:t>
            </w:r>
          </w:p>
        </w:tc>
        <w:tc>
          <w:tcPr>
            <w:tcW w:w="992" w:type="dxa"/>
            <w:vAlign w:val="center"/>
          </w:tcPr>
          <w:p>
            <w:pPr>
              <w:spacing w:line="400" w:lineRule="exact"/>
              <w:jc w:val="center"/>
              <w:rPr>
                <w:rFonts w:ascii="宋体" w:cs="宋体"/>
                <w:szCs w:val="21"/>
                <w:highlight w:val="none"/>
              </w:rPr>
            </w:pPr>
            <w:r>
              <w:rPr>
                <w:rFonts w:ascii="宋体" w:hAnsi="宋体" w:cs="宋体"/>
                <w:szCs w:val="21"/>
                <w:highlight w:val="none"/>
              </w:rPr>
              <w:t>1.5</w:t>
            </w:r>
          </w:p>
        </w:tc>
        <w:tc>
          <w:tcPr>
            <w:tcW w:w="4928" w:type="dxa"/>
            <w:vAlign w:val="center"/>
          </w:tcPr>
          <w:p>
            <w:pPr>
              <w:spacing w:line="400" w:lineRule="exact"/>
              <w:rPr>
                <w:rFonts w:ascii="宋体" w:hAnsi="宋体" w:cs="宋体"/>
                <w:szCs w:val="21"/>
                <w:highlight w:val="none"/>
              </w:rPr>
            </w:pPr>
            <w:r>
              <w:rPr>
                <w:rFonts w:hint="eastAsia" w:ascii="宋体" w:hAnsi="宋体" w:cs="宋体"/>
                <w:szCs w:val="21"/>
                <w:highlight w:val="none"/>
              </w:rPr>
              <w:t>具有</w:t>
            </w:r>
            <w:r>
              <w:rPr>
                <w:rFonts w:ascii="宋体" w:hAnsi="宋体" w:cs="宋体"/>
                <w:szCs w:val="21"/>
                <w:highlight w:val="none"/>
              </w:rPr>
              <w:t>ISO9000</w:t>
            </w:r>
            <w:r>
              <w:rPr>
                <w:rFonts w:hint="eastAsia" w:ascii="宋体" w:hAnsi="宋体" w:cs="宋体"/>
                <w:szCs w:val="21"/>
                <w:highlight w:val="none"/>
              </w:rPr>
              <w:t>质量管理体系认证证书</w:t>
            </w:r>
            <w:r>
              <w:rPr>
                <w:rFonts w:ascii="宋体" w:hAnsi="宋体" w:cs="宋体"/>
                <w:szCs w:val="21"/>
                <w:highlight w:val="none"/>
              </w:rPr>
              <w:t xml:space="preserve">    </w:t>
            </w:r>
          </w:p>
          <w:p>
            <w:pPr>
              <w:spacing w:line="400" w:lineRule="exact"/>
              <w:rPr>
                <w:rFonts w:ascii="宋体" w:cs="宋体"/>
                <w:szCs w:val="21"/>
                <w:highlight w:val="none"/>
              </w:rPr>
            </w:pPr>
            <w:r>
              <w:rPr>
                <w:rFonts w:hint="eastAsia" w:ascii="宋体" w:hAnsi="宋体" w:cs="宋体"/>
                <w:szCs w:val="21"/>
                <w:highlight w:val="none"/>
              </w:rPr>
              <w:t>具有</w:t>
            </w:r>
            <w:r>
              <w:rPr>
                <w:rFonts w:ascii="宋体" w:hAnsi="宋体" w:cs="宋体"/>
                <w:szCs w:val="21"/>
                <w:highlight w:val="none"/>
              </w:rPr>
              <w:t>ISO14000</w:t>
            </w:r>
            <w:r>
              <w:rPr>
                <w:rFonts w:hint="eastAsia" w:ascii="宋体" w:hAnsi="宋体" w:cs="宋体"/>
                <w:szCs w:val="21"/>
                <w:highlight w:val="none"/>
              </w:rPr>
              <w:t>环境管理体系认证证书</w:t>
            </w:r>
          </w:p>
          <w:p>
            <w:pPr>
              <w:spacing w:line="400" w:lineRule="exact"/>
              <w:rPr>
                <w:rFonts w:ascii="宋体" w:cs="宋体"/>
                <w:szCs w:val="21"/>
                <w:highlight w:val="none"/>
              </w:rPr>
            </w:pPr>
            <w:r>
              <w:rPr>
                <w:rFonts w:hint="eastAsia" w:ascii="宋体" w:hAnsi="宋体" w:cs="宋体"/>
                <w:szCs w:val="21"/>
                <w:highlight w:val="none"/>
              </w:rPr>
              <w:t>具有</w:t>
            </w:r>
            <w:r>
              <w:rPr>
                <w:rFonts w:ascii="宋体" w:hAnsi="宋体" w:cs="宋体"/>
                <w:szCs w:val="21"/>
                <w:highlight w:val="none"/>
              </w:rPr>
              <w:t>OHSAS18000</w:t>
            </w:r>
            <w:r>
              <w:rPr>
                <w:rFonts w:hint="eastAsia" w:ascii="宋体" w:hAnsi="宋体" w:cs="宋体"/>
                <w:szCs w:val="21"/>
                <w:highlight w:val="none"/>
              </w:rPr>
              <w:t>职业安全健康管理体系认证证书（每提供一个得</w:t>
            </w:r>
            <w:r>
              <w:rPr>
                <w:rFonts w:ascii="宋体" w:hAnsi="宋体" w:cs="宋体"/>
                <w:szCs w:val="21"/>
                <w:highlight w:val="none"/>
              </w:rPr>
              <w:t>0.5</w:t>
            </w:r>
            <w:r>
              <w:rPr>
                <w:rFonts w:hint="eastAsia" w:ascii="宋体" w:hAnsi="宋体" w:cs="宋体"/>
                <w:szCs w:val="21"/>
                <w:highlight w:val="none"/>
              </w:rPr>
              <w:t>分）</w:t>
            </w:r>
          </w:p>
        </w:tc>
        <w:tc>
          <w:tcPr>
            <w:tcW w:w="775" w:type="dxa"/>
            <w:vAlign w:val="center"/>
          </w:tcPr>
          <w:p>
            <w:pPr>
              <w:spacing w:line="400" w:lineRule="exact"/>
              <w:jc w:val="center"/>
              <w:rPr>
                <w:rFonts w:ascii="宋体" w:cs="宋体"/>
                <w:szCs w:val="21"/>
                <w:highlight w:val="none"/>
              </w:rPr>
            </w:pPr>
            <w:r>
              <w:rPr>
                <w:rFonts w:ascii="宋体" w:cs="宋体"/>
                <w:szCs w:val="21"/>
                <w:highlight w:val="none"/>
              </w:rPr>
              <w:t>0-</w:t>
            </w:r>
            <w:r>
              <w:rPr>
                <w:rFonts w:ascii="宋体" w:hAnsi="宋体" w:cs="宋体"/>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709" w:type="dxa"/>
            <w:vAlign w:val="center"/>
          </w:tcPr>
          <w:p>
            <w:pPr>
              <w:spacing w:line="400" w:lineRule="exact"/>
              <w:ind w:firstLine="210" w:firstLineChars="100"/>
              <w:rPr>
                <w:rFonts w:ascii="宋体" w:cs="宋体"/>
                <w:szCs w:val="21"/>
                <w:highlight w:val="none"/>
              </w:rPr>
            </w:pPr>
            <w:r>
              <w:rPr>
                <w:rFonts w:ascii="宋体" w:hAnsi="宋体" w:cs="宋体"/>
                <w:szCs w:val="21"/>
                <w:highlight w:val="none"/>
              </w:rPr>
              <w:t>2</w:t>
            </w:r>
          </w:p>
        </w:tc>
        <w:tc>
          <w:tcPr>
            <w:tcW w:w="1929" w:type="dxa"/>
            <w:vAlign w:val="center"/>
          </w:tcPr>
          <w:p>
            <w:pPr>
              <w:spacing w:line="400" w:lineRule="exact"/>
              <w:rPr>
                <w:rFonts w:ascii="宋体" w:cs="宋体"/>
                <w:szCs w:val="21"/>
                <w:highlight w:val="none"/>
              </w:rPr>
            </w:pPr>
            <w:r>
              <w:rPr>
                <w:rFonts w:hint="eastAsia" w:ascii="宋体" w:hAnsi="宋体" w:cs="宋体"/>
                <w:szCs w:val="21"/>
                <w:highlight w:val="none"/>
              </w:rPr>
              <w:t>企业财务状况</w:t>
            </w:r>
          </w:p>
        </w:tc>
        <w:tc>
          <w:tcPr>
            <w:tcW w:w="992" w:type="dxa"/>
            <w:vAlign w:val="center"/>
          </w:tcPr>
          <w:p>
            <w:pPr>
              <w:spacing w:line="400" w:lineRule="exact"/>
              <w:jc w:val="center"/>
              <w:rPr>
                <w:rFonts w:ascii="宋体" w:cs="宋体"/>
                <w:szCs w:val="21"/>
                <w:highlight w:val="none"/>
              </w:rPr>
            </w:pPr>
            <w:r>
              <w:rPr>
                <w:rFonts w:ascii="宋体" w:hAnsi="宋体" w:cs="宋体"/>
                <w:szCs w:val="21"/>
                <w:highlight w:val="none"/>
              </w:rPr>
              <w:t>1.5</w:t>
            </w:r>
          </w:p>
        </w:tc>
        <w:tc>
          <w:tcPr>
            <w:tcW w:w="4928" w:type="dxa"/>
            <w:vAlign w:val="center"/>
          </w:tcPr>
          <w:p>
            <w:pPr>
              <w:spacing w:line="400" w:lineRule="exact"/>
              <w:rPr>
                <w:rFonts w:ascii="宋体" w:cs="宋体"/>
                <w:szCs w:val="21"/>
                <w:highlight w:val="none"/>
              </w:rPr>
            </w:pPr>
            <w:r>
              <w:rPr>
                <w:rFonts w:hint="eastAsia"/>
                <w:highlight w:val="none"/>
              </w:rPr>
              <w:t>企业综合实力、财务指标、资格证明文件等</w:t>
            </w:r>
          </w:p>
        </w:tc>
        <w:tc>
          <w:tcPr>
            <w:tcW w:w="775" w:type="dxa"/>
            <w:vAlign w:val="center"/>
          </w:tcPr>
          <w:p>
            <w:pPr>
              <w:spacing w:line="400" w:lineRule="exact"/>
              <w:jc w:val="center"/>
              <w:rPr>
                <w:rFonts w:ascii="宋体" w:cs="宋体"/>
                <w:szCs w:val="21"/>
                <w:highlight w:val="none"/>
              </w:rPr>
            </w:pPr>
            <w:r>
              <w:rPr>
                <w:rFonts w:ascii="宋体" w:hAnsi="宋体" w:cs="宋体"/>
                <w:szCs w:val="21"/>
                <w:highlight w:val="none"/>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7" w:hRule="atLeast"/>
          <w:jc w:val="center"/>
        </w:trPr>
        <w:tc>
          <w:tcPr>
            <w:tcW w:w="709" w:type="dxa"/>
            <w:vMerge w:val="restart"/>
            <w:vAlign w:val="center"/>
          </w:tcPr>
          <w:p>
            <w:pPr>
              <w:spacing w:line="400" w:lineRule="exact"/>
              <w:jc w:val="center"/>
              <w:rPr>
                <w:rFonts w:ascii="宋体" w:cs="宋体"/>
                <w:szCs w:val="21"/>
                <w:highlight w:val="none"/>
              </w:rPr>
            </w:pPr>
            <w:r>
              <w:rPr>
                <w:rFonts w:ascii="宋体" w:hAnsi="宋体" w:cs="宋体"/>
                <w:szCs w:val="21"/>
                <w:highlight w:val="none"/>
              </w:rPr>
              <w:t>3</w:t>
            </w:r>
          </w:p>
        </w:tc>
        <w:tc>
          <w:tcPr>
            <w:tcW w:w="1929" w:type="dxa"/>
            <w:vMerge w:val="restart"/>
            <w:vAlign w:val="center"/>
          </w:tcPr>
          <w:p>
            <w:pPr>
              <w:spacing w:line="400" w:lineRule="exact"/>
              <w:rPr>
                <w:rFonts w:ascii="宋体" w:cs="宋体"/>
                <w:szCs w:val="21"/>
                <w:highlight w:val="none"/>
              </w:rPr>
            </w:pPr>
            <w:r>
              <w:rPr>
                <w:rFonts w:hint="eastAsia" w:ascii="宋体" w:hAnsi="宋体" w:cs="宋体"/>
                <w:szCs w:val="21"/>
                <w:highlight w:val="none"/>
              </w:rPr>
              <w:t>拟派项目经理</w:t>
            </w:r>
          </w:p>
        </w:tc>
        <w:tc>
          <w:tcPr>
            <w:tcW w:w="992" w:type="dxa"/>
            <w:vMerge w:val="restart"/>
            <w:vAlign w:val="center"/>
          </w:tcPr>
          <w:p>
            <w:pPr>
              <w:spacing w:line="400" w:lineRule="exact"/>
              <w:jc w:val="center"/>
              <w:rPr>
                <w:rFonts w:ascii="宋体" w:cs="宋体"/>
                <w:szCs w:val="21"/>
                <w:highlight w:val="none"/>
              </w:rPr>
            </w:pPr>
            <w:r>
              <w:rPr>
                <w:rFonts w:ascii="宋体" w:hAnsi="宋体" w:cs="宋体"/>
                <w:szCs w:val="21"/>
                <w:highlight w:val="none"/>
              </w:rPr>
              <w:t>2</w:t>
            </w:r>
          </w:p>
        </w:tc>
        <w:tc>
          <w:tcPr>
            <w:tcW w:w="4928" w:type="dxa"/>
            <w:vAlign w:val="center"/>
          </w:tcPr>
          <w:p>
            <w:pPr>
              <w:spacing w:line="400" w:lineRule="exact"/>
              <w:rPr>
                <w:rFonts w:ascii="宋体" w:cs="宋体"/>
                <w:szCs w:val="21"/>
                <w:highlight w:val="none"/>
              </w:rPr>
            </w:pPr>
            <w:r>
              <w:rPr>
                <w:rFonts w:hint="eastAsia" w:ascii="宋体" w:hAnsi="宋体" w:cs="宋体"/>
                <w:szCs w:val="21"/>
                <w:highlight w:val="none"/>
              </w:rPr>
              <w:t>具有高级职称的，得</w:t>
            </w:r>
            <w:r>
              <w:rPr>
                <w:rFonts w:ascii="宋体" w:hAnsi="宋体" w:cs="宋体"/>
                <w:szCs w:val="21"/>
                <w:highlight w:val="none"/>
              </w:rPr>
              <w:t>1</w:t>
            </w:r>
            <w:r>
              <w:rPr>
                <w:rFonts w:hint="eastAsia" w:ascii="宋体" w:hAnsi="宋体" w:cs="宋体"/>
                <w:szCs w:val="21"/>
                <w:highlight w:val="none"/>
              </w:rPr>
              <w:t>分，中级职称的得</w:t>
            </w:r>
            <w:r>
              <w:rPr>
                <w:rFonts w:ascii="宋体" w:hAnsi="宋体" w:cs="宋体"/>
                <w:szCs w:val="21"/>
                <w:highlight w:val="none"/>
              </w:rPr>
              <w:t>0.5</w:t>
            </w:r>
            <w:r>
              <w:rPr>
                <w:rFonts w:hint="eastAsia" w:ascii="宋体" w:hAnsi="宋体" w:cs="宋体"/>
                <w:szCs w:val="21"/>
                <w:highlight w:val="none"/>
              </w:rPr>
              <w:t>分，中级（不含）以下职称得</w:t>
            </w:r>
            <w:r>
              <w:rPr>
                <w:rFonts w:ascii="宋体" w:cs="宋体"/>
                <w:szCs w:val="21"/>
                <w:highlight w:val="none"/>
              </w:rPr>
              <w:t>0</w:t>
            </w:r>
            <w:r>
              <w:rPr>
                <w:rFonts w:hint="eastAsia" w:ascii="宋体" w:hAnsi="宋体" w:cs="宋体"/>
                <w:szCs w:val="21"/>
                <w:highlight w:val="none"/>
              </w:rPr>
              <w:t>分</w:t>
            </w:r>
          </w:p>
        </w:tc>
        <w:tc>
          <w:tcPr>
            <w:tcW w:w="775" w:type="dxa"/>
            <w:vAlign w:val="center"/>
          </w:tcPr>
          <w:p>
            <w:pPr>
              <w:spacing w:line="400" w:lineRule="exact"/>
              <w:jc w:val="center"/>
              <w:rPr>
                <w:rFonts w:ascii="宋体" w:cs="宋体"/>
                <w:szCs w:val="21"/>
                <w:highlight w:val="none"/>
              </w:rPr>
            </w:pPr>
            <w:r>
              <w:rPr>
                <w:rFonts w:ascii="宋体" w:cs="宋体"/>
                <w:szCs w:val="21"/>
                <w:highlight w:val="none"/>
              </w:rPr>
              <w:t>0-</w:t>
            </w:r>
            <w:r>
              <w:rPr>
                <w:rFonts w:ascii="宋体" w:hAnsi="宋体" w:cs="宋体"/>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709" w:type="dxa"/>
            <w:vMerge w:val="continue"/>
            <w:vAlign w:val="center"/>
          </w:tcPr>
          <w:p>
            <w:pPr>
              <w:spacing w:line="400" w:lineRule="exact"/>
              <w:jc w:val="center"/>
              <w:rPr>
                <w:rFonts w:ascii="宋体" w:cs="宋体"/>
                <w:szCs w:val="21"/>
                <w:highlight w:val="none"/>
              </w:rPr>
            </w:pPr>
          </w:p>
        </w:tc>
        <w:tc>
          <w:tcPr>
            <w:tcW w:w="1929" w:type="dxa"/>
            <w:vMerge w:val="continue"/>
            <w:vAlign w:val="center"/>
          </w:tcPr>
          <w:p>
            <w:pPr>
              <w:spacing w:line="400" w:lineRule="exact"/>
              <w:rPr>
                <w:rFonts w:ascii="宋体" w:cs="宋体"/>
                <w:szCs w:val="21"/>
                <w:highlight w:val="none"/>
              </w:rPr>
            </w:pPr>
          </w:p>
        </w:tc>
        <w:tc>
          <w:tcPr>
            <w:tcW w:w="992" w:type="dxa"/>
            <w:vMerge w:val="continue"/>
            <w:vAlign w:val="center"/>
          </w:tcPr>
          <w:p>
            <w:pPr>
              <w:spacing w:line="400" w:lineRule="exact"/>
              <w:jc w:val="center"/>
              <w:rPr>
                <w:rFonts w:ascii="宋体" w:cs="宋体"/>
                <w:szCs w:val="21"/>
                <w:highlight w:val="none"/>
              </w:rPr>
            </w:pPr>
          </w:p>
        </w:tc>
        <w:tc>
          <w:tcPr>
            <w:tcW w:w="4928" w:type="dxa"/>
            <w:vAlign w:val="center"/>
          </w:tcPr>
          <w:p>
            <w:pPr>
              <w:spacing w:line="400" w:lineRule="exact"/>
              <w:rPr>
                <w:rFonts w:ascii="宋体" w:cs="宋体"/>
                <w:szCs w:val="21"/>
                <w:highlight w:val="none"/>
              </w:rPr>
            </w:pPr>
            <w:r>
              <w:rPr>
                <w:rFonts w:hint="eastAsia"/>
                <w:highlight w:val="none"/>
              </w:rPr>
              <w:t>近三年以项目经理身份实施过</w:t>
            </w:r>
            <w:r>
              <w:rPr>
                <w:rFonts w:hint="eastAsia"/>
                <w:b/>
                <w:highlight w:val="none"/>
              </w:rPr>
              <w:t>类似项目业绩</w:t>
            </w:r>
            <w:r>
              <w:rPr>
                <w:rFonts w:hint="eastAsia"/>
                <w:highlight w:val="none"/>
              </w:rPr>
              <w:t>每一个得</w:t>
            </w:r>
            <w:r>
              <w:rPr>
                <w:highlight w:val="none"/>
              </w:rPr>
              <w:t>0.5</w:t>
            </w:r>
            <w:r>
              <w:rPr>
                <w:rFonts w:hint="eastAsia"/>
                <w:highlight w:val="none"/>
              </w:rPr>
              <w:t>分，最多得</w:t>
            </w:r>
            <w:r>
              <w:rPr>
                <w:highlight w:val="none"/>
              </w:rPr>
              <w:t>1</w:t>
            </w:r>
            <w:r>
              <w:rPr>
                <w:rFonts w:hint="eastAsia"/>
                <w:highlight w:val="none"/>
              </w:rPr>
              <w:t>分。</w:t>
            </w:r>
          </w:p>
        </w:tc>
        <w:tc>
          <w:tcPr>
            <w:tcW w:w="775" w:type="dxa"/>
            <w:vAlign w:val="center"/>
          </w:tcPr>
          <w:p>
            <w:pPr>
              <w:spacing w:line="400" w:lineRule="exact"/>
              <w:jc w:val="center"/>
              <w:rPr>
                <w:rFonts w:ascii="宋体" w:cs="宋体"/>
                <w:szCs w:val="21"/>
                <w:highlight w:val="none"/>
              </w:rPr>
            </w:pPr>
            <w:r>
              <w:rPr>
                <w:rFonts w:ascii="宋体" w:cs="宋体"/>
                <w:szCs w:val="21"/>
                <w:highlight w:val="none"/>
              </w:rPr>
              <w:t>0-</w:t>
            </w:r>
            <w:r>
              <w:rPr>
                <w:rFonts w:ascii="宋体" w:hAnsi="宋体" w:cs="宋体"/>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9" w:hRule="atLeast"/>
          <w:jc w:val="center"/>
        </w:trPr>
        <w:tc>
          <w:tcPr>
            <w:tcW w:w="709" w:type="dxa"/>
            <w:vAlign w:val="center"/>
          </w:tcPr>
          <w:p>
            <w:pPr>
              <w:spacing w:line="400" w:lineRule="exact"/>
              <w:jc w:val="center"/>
              <w:rPr>
                <w:rFonts w:ascii="宋体" w:cs="宋体"/>
                <w:szCs w:val="21"/>
                <w:highlight w:val="none"/>
              </w:rPr>
            </w:pPr>
            <w:r>
              <w:rPr>
                <w:rFonts w:ascii="宋体" w:hAnsi="宋体" w:cs="宋体"/>
                <w:szCs w:val="21"/>
                <w:highlight w:val="none"/>
              </w:rPr>
              <w:t>4</w:t>
            </w:r>
          </w:p>
        </w:tc>
        <w:tc>
          <w:tcPr>
            <w:tcW w:w="1929" w:type="dxa"/>
            <w:vAlign w:val="center"/>
          </w:tcPr>
          <w:p>
            <w:pPr>
              <w:spacing w:line="400" w:lineRule="exact"/>
              <w:rPr>
                <w:rFonts w:ascii="宋体" w:cs="宋体"/>
                <w:szCs w:val="21"/>
                <w:highlight w:val="none"/>
              </w:rPr>
            </w:pPr>
            <w:r>
              <w:rPr>
                <w:rFonts w:hint="eastAsia" w:ascii="宋体" w:hAnsi="宋体" w:cs="宋体"/>
                <w:szCs w:val="21"/>
                <w:highlight w:val="none"/>
              </w:rPr>
              <w:t>近三年同类</w:t>
            </w:r>
          </w:p>
          <w:p>
            <w:pPr>
              <w:spacing w:line="400" w:lineRule="exact"/>
              <w:rPr>
                <w:rFonts w:ascii="宋体" w:cs="宋体"/>
                <w:szCs w:val="21"/>
                <w:highlight w:val="none"/>
              </w:rPr>
            </w:pPr>
            <w:r>
              <w:rPr>
                <w:rFonts w:hint="eastAsia" w:ascii="宋体" w:hAnsi="宋体" w:cs="宋体"/>
                <w:szCs w:val="21"/>
                <w:highlight w:val="none"/>
              </w:rPr>
              <w:t>工程业绩</w:t>
            </w:r>
          </w:p>
        </w:tc>
        <w:tc>
          <w:tcPr>
            <w:tcW w:w="992" w:type="dxa"/>
            <w:vAlign w:val="center"/>
          </w:tcPr>
          <w:p>
            <w:pPr>
              <w:spacing w:line="400" w:lineRule="exact"/>
              <w:jc w:val="center"/>
              <w:rPr>
                <w:rFonts w:ascii="宋体" w:cs="宋体"/>
                <w:szCs w:val="21"/>
                <w:highlight w:val="none"/>
              </w:rPr>
            </w:pPr>
            <w:r>
              <w:rPr>
                <w:rFonts w:ascii="宋体" w:hAnsi="宋体" w:cs="宋体"/>
                <w:szCs w:val="21"/>
                <w:highlight w:val="none"/>
              </w:rPr>
              <w:t>5</w:t>
            </w:r>
          </w:p>
        </w:tc>
        <w:tc>
          <w:tcPr>
            <w:tcW w:w="4928" w:type="dxa"/>
            <w:vAlign w:val="center"/>
          </w:tcPr>
          <w:p>
            <w:pPr>
              <w:spacing w:line="400" w:lineRule="exact"/>
              <w:rPr>
                <w:rFonts w:ascii="宋体" w:cs="宋体"/>
                <w:szCs w:val="21"/>
                <w:highlight w:val="none"/>
              </w:rPr>
            </w:pPr>
            <w:r>
              <w:rPr>
                <w:rFonts w:hint="eastAsia" w:ascii="宋体" w:hAnsi="宋体" w:cs="宋体"/>
                <w:szCs w:val="21"/>
                <w:highlight w:val="none"/>
              </w:rPr>
              <w:t>每提供一个</w:t>
            </w:r>
            <w:r>
              <w:rPr>
                <w:rFonts w:hint="eastAsia" w:ascii="宋体" w:hAnsi="宋体" w:cs="宋体"/>
                <w:b/>
                <w:szCs w:val="21"/>
                <w:highlight w:val="none"/>
              </w:rPr>
              <w:t>类似项目业绩</w:t>
            </w:r>
            <w:r>
              <w:rPr>
                <w:rFonts w:hint="eastAsia" w:ascii="宋体" w:hAnsi="宋体" w:cs="宋体"/>
                <w:szCs w:val="21"/>
                <w:highlight w:val="none"/>
              </w:rPr>
              <w:t>，得</w:t>
            </w:r>
            <w:r>
              <w:rPr>
                <w:rFonts w:ascii="宋体" w:hAnsi="宋体" w:cs="宋体"/>
                <w:szCs w:val="21"/>
                <w:highlight w:val="none"/>
              </w:rPr>
              <w:t>1</w:t>
            </w:r>
            <w:r>
              <w:rPr>
                <w:rFonts w:hint="eastAsia" w:ascii="宋体" w:hAnsi="宋体" w:cs="宋体"/>
                <w:szCs w:val="21"/>
                <w:highlight w:val="none"/>
              </w:rPr>
              <w:t>分，最高得</w:t>
            </w:r>
            <w:r>
              <w:rPr>
                <w:rFonts w:ascii="宋体" w:hAnsi="宋体" w:cs="宋体"/>
                <w:szCs w:val="21"/>
                <w:highlight w:val="none"/>
              </w:rPr>
              <w:t>5</w:t>
            </w:r>
            <w:r>
              <w:rPr>
                <w:rFonts w:hint="eastAsia" w:ascii="宋体" w:hAnsi="宋体" w:cs="宋体"/>
                <w:szCs w:val="21"/>
                <w:highlight w:val="none"/>
              </w:rPr>
              <w:t>分</w:t>
            </w:r>
          </w:p>
        </w:tc>
        <w:tc>
          <w:tcPr>
            <w:tcW w:w="775" w:type="dxa"/>
            <w:vAlign w:val="center"/>
          </w:tcPr>
          <w:p>
            <w:pPr>
              <w:spacing w:line="400" w:lineRule="exact"/>
              <w:jc w:val="center"/>
              <w:rPr>
                <w:rFonts w:ascii="宋体" w:cs="宋体"/>
                <w:szCs w:val="21"/>
                <w:highlight w:val="none"/>
              </w:rPr>
            </w:pPr>
            <w:r>
              <w:rPr>
                <w:rFonts w:ascii="宋体" w:cs="宋体"/>
                <w:szCs w:val="21"/>
                <w:highlight w:val="none"/>
              </w:rPr>
              <w:t>0-</w:t>
            </w:r>
            <w:r>
              <w:rPr>
                <w:rFonts w:ascii="宋体" w:hAnsi="宋体" w:cs="宋体"/>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8558" w:type="dxa"/>
            <w:gridSpan w:val="4"/>
            <w:vAlign w:val="center"/>
          </w:tcPr>
          <w:p>
            <w:pPr>
              <w:spacing w:line="400" w:lineRule="exact"/>
              <w:jc w:val="center"/>
              <w:rPr>
                <w:rFonts w:ascii="宋体" w:cs="宋体"/>
                <w:szCs w:val="21"/>
                <w:highlight w:val="none"/>
              </w:rPr>
            </w:pPr>
            <w:r>
              <w:rPr>
                <w:rFonts w:hint="eastAsia" w:ascii="宋体" w:hAnsi="宋体" w:cs="宋体"/>
                <w:szCs w:val="21"/>
                <w:highlight w:val="none"/>
              </w:rPr>
              <w:t>合</w:t>
            </w:r>
            <w:r>
              <w:rPr>
                <w:rFonts w:ascii="宋体" w:hAnsi="宋体" w:cs="宋体"/>
                <w:szCs w:val="21"/>
                <w:highlight w:val="none"/>
              </w:rPr>
              <w:t xml:space="preserve"> </w:t>
            </w:r>
            <w:r>
              <w:rPr>
                <w:rFonts w:hint="eastAsia" w:ascii="宋体" w:hAnsi="宋体" w:cs="宋体"/>
                <w:szCs w:val="21"/>
                <w:highlight w:val="none"/>
              </w:rPr>
              <w:t>计</w:t>
            </w:r>
          </w:p>
        </w:tc>
        <w:tc>
          <w:tcPr>
            <w:tcW w:w="775" w:type="dxa"/>
            <w:vAlign w:val="center"/>
          </w:tcPr>
          <w:p>
            <w:pPr>
              <w:spacing w:line="400" w:lineRule="exact"/>
              <w:jc w:val="center"/>
              <w:rPr>
                <w:rFonts w:ascii="宋体" w:cs="宋体"/>
                <w:szCs w:val="21"/>
                <w:highlight w:val="none"/>
              </w:rPr>
            </w:pPr>
            <w:r>
              <w:rPr>
                <w:rFonts w:ascii="宋体" w:hAnsi="宋体" w:cs="宋体"/>
                <w:szCs w:val="21"/>
                <w:highlight w:val="none"/>
              </w:rPr>
              <w:t>10</w:t>
            </w:r>
          </w:p>
        </w:tc>
      </w:tr>
    </w:tbl>
    <w:p>
      <w:pPr>
        <w:spacing w:line="400" w:lineRule="exact"/>
        <w:rPr>
          <w:rFonts w:ascii="宋体" w:cs="宋体"/>
          <w:b/>
          <w:szCs w:val="21"/>
          <w:highlight w:val="none"/>
        </w:rPr>
      </w:pPr>
      <w:r>
        <w:rPr>
          <w:rFonts w:hint="eastAsia" w:ascii="宋体" w:hAnsi="宋体" w:cs="宋体"/>
          <w:b/>
          <w:szCs w:val="21"/>
          <w:highlight w:val="none"/>
        </w:rPr>
        <w:t>说明：</w:t>
      </w:r>
    </w:p>
    <w:p>
      <w:pPr>
        <w:numPr>
          <w:ilvl w:val="0"/>
          <w:numId w:val="12"/>
        </w:numPr>
        <w:spacing w:line="400" w:lineRule="exact"/>
        <w:rPr>
          <w:rFonts w:ascii="宋体" w:cs="宋体"/>
          <w:b/>
          <w:bCs/>
          <w:szCs w:val="21"/>
          <w:highlight w:val="none"/>
        </w:rPr>
      </w:pPr>
      <w:r>
        <w:rPr>
          <w:rFonts w:hint="eastAsia" w:ascii="宋体" w:hAnsi="宋体" w:cs="宋体"/>
          <w:b/>
          <w:bCs/>
          <w:szCs w:val="21"/>
          <w:highlight w:val="none"/>
        </w:rPr>
        <w:t>类似项目业绩（已竣工的合同价在</w:t>
      </w:r>
      <w:r>
        <w:rPr>
          <w:rFonts w:ascii="宋体" w:hAnsi="宋体" w:cs="宋体"/>
          <w:b/>
          <w:bCs/>
          <w:szCs w:val="21"/>
          <w:highlight w:val="none"/>
        </w:rPr>
        <w:t>30</w:t>
      </w:r>
      <w:r>
        <w:rPr>
          <w:rFonts w:hint="eastAsia" w:ascii="宋体" w:hAnsi="宋体" w:cs="宋体"/>
          <w:b/>
          <w:bCs/>
          <w:szCs w:val="21"/>
          <w:highlight w:val="none"/>
        </w:rPr>
        <w:t>万元（含）以上的类似工程项目业绩）资料，应提供合同复印件（至少包括合同首页、盖章页、金额页、项目经理信息页）。</w:t>
      </w:r>
    </w:p>
    <w:p>
      <w:pPr>
        <w:numPr>
          <w:ilvl w:val="0"/>
          <w:numId w:val="12"/>
        </w:numPr>
        <w:spacing w:line="400" w:lineRule="exact"/>
        <w:rPr>
          <w:rFonts w:ascii="宋体" w:cs="宋体"/>
          <w:szCs w:val="21"/>
          <w:highlight w:val="none"/>
        </w:rPr>
      </w:pPr>
      <w:r>
        <w:rPr>
          <w:rFonts w:hint="eastAsia" w:ascii="宋体" w:hAnsi="宋体" w:cs="宋体"/>
          <w:b/>
          <w:bCs/>
          <w:szCs w:val="21"/>
          <w:highlight w:val="none"/>
        </w:rPr>
        <w:t>项目经理业绩须附、竣工验收报告（或竣工验收单）复印件并加盖报价人公章。</w:t>
      </w:r>
    </w:p>
    <w:p>
      <w:pPr>
        <w:numPr>
          <w:ilvl w:val="0"/>
          <w:numId w:val="12"/>
        </w:numPr>
        <w:spacing w:line="400" w:lineRule="exact"/>
        <w:rPr>
          <w:highlight w:val="none"/>
        </w:rPr>
      </w:pPr>
      <w:r>
        <w:rPr>
          <w:rFonts w:hint="eastAsia"/>
          <w:highlight w:val="none"/>
        </w:rPr>
        <w:t>近三年：指</w:t>
      </w:r>
      <w:r>
        <w:rPr>
          <w:highlight w:val="none"/>
        </w:rPr>
        <w:t>2015</w:t>
      </w:r>
      <w:r>
        <w:rPr>
          <w:rFonts w:hint="eastAsia"/>
          <w:highlight w:val="none"/>
        </w:rPr>
        <w:t>年</w:t>
      </w:r>
      <w:r>
        <w:rPr>
          <w:highlight w:val="none"/>
        </w:rPr>
        <w:t>5</w:t>
      </w:r>
      <w:r>
        <w:rPr>
          <w:rFonts w:hint="eastAsia"/>
          <w:highlight w:val="none"/>
        </w:rPr>
        <w:t>月</w:t>
      </w:r>
      <w:r>
        <w:rPr>
          <w:highlight w:val="none"/>
        </w:rPr>
        <w:t>30</w:t>
      </w:r>
      <w:r>
        <w:rPr>
          <w:rFonts w:hint="eastAsia"/>
          <w:highlight w:val="none"/>
        </w:rPr>
        <w:t>日至投标截止之日。</w:t>
      </w:r>
    </w:p>
    <w:p>
      <w:pPr>
        <w:widowControl w:val="0"/>
        <w:numPr>
          <w:ilvl w:val="0"/>
          <w:numId w:val="0"/>
        </w:numPr>
        <w:spacing w:line="400" w:lineRule="exact"/>
        <w:jc w:val="both"/>
        <w:rPr>
          <w:rFonts w:hint="eastAsia"/>
          <w:highlight w:val="none"/>
        </w:rPr>
      </w:pPr>
    </w:p>
    <w:p>
      <w:pPr>
        <w:spacing w:line="400" w:lineRule="exact"/>
        <w:rPr>
          <w:rFonts w:ascii="宋体" w:cs="宋体"/>
          <w:b/>
          <w:szCs w:val="21"/>
          <w:highlight w:val="none"/>
        </w:rPr>
      </w:pPr>
      <w:r>
        <w:rPr>
          <w:rFonts w:hint="eastAsia" w:ascii="宋体" w:hAnsi="宋体" w:cs="宋体"/>
          <w:szCs w:val="21"/>
          <w:highlight w:val="none"/>
        </w:rPr>
        <w:t>二、</w:t>
      </w:r>
      <w:r>
        <w:rPr>
          <w:rFonts w:hint="eastAsia" w:ascii="宋体" w:hAnsi="宋体" w:cs="宋体"/>
          <w:b/>
          <w:szCs w:val="21"/>
          <w:highlight w:val="none"/>
          <w:lang w:eastAsia="zh-CN"/>
        </w:rPr>
        <w:t>施工组织</w:t>
      </w:r>
      <w:r>
        <w:rPr>
          <w:rFonts w:hint="eastAsia" w:ascii="宋体" w:hAnsi="宋体" w:cs="宋体"/>
          <w:b/>
          <w:szCs w:val="21"/>
          <w:highlight w:val="none"/>
        </w:rPr>
        <w:t>方案（</w:t>
      </w:r>
      <w:r>
        <w:rPr>
          <w:rFonts w:ascii="宋体" w:hAnsi="宋体" w:cs="宋体"/>
          <w:b/>
          <w:szCs w:val="21"/>
          <w:highlight w:val="none"/>
        </w:rPr>
        <w:t>30</w:t>
      </w:r>
      <w:r>
        <w:rPr>
          <w:rFonts w:hint="eastAsia" w:ascii="宋体" w:hAnsi="宋体" w:cs="宋体"/>
          <w:b/>
          <w:szCs w:val="21"/>
          <w:highlight w:val="none"/>
        </w:rPr>
        <w:t>分）</w:t>
      </w:r>
    </w:p>
    <w:p>
      <w:pPr>
        <w:widowControl/>
        <w:jc w:val="left"/>
        <w:rPr>
          <w:rFonts w:ascii="宋体" w:cs="宋体"/>
          <w:b/>
          <w:szCs w:val="21"/>
          <w:highlight w:val="none"/>
        </w:rPr>
      </w:pPr>
      <w:r>
        <w:rPr>
          <w:rFonts w:ascii="宋体" w:cs="宋体"/>
          <w:b/>
          <w:szCs w:val="21"/>
          <w:highlight w:val="none"/>
        </w:rPr>
        <w:br w:type="page"/>
      </w:r>
    </w:p>
    <w:tbl>
      <w:tblPr>
        <w:tblStyle w:val="60"/>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066"/>
        <w:gridCol w:w="4171"/>
        <w:gridCol w:w="513"/>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blHeader/>
          <w:jc w:val="center"/>
        </w:trPr>
        <w:tc>
          <w:tcPr>
            <w:tcW w:w="735" w:type="dxa"/>
            <w:vMerge w:val="restart"/>
            <w:vAlign w:val="center"/>
          </w:tcPr>
          <w:p>
            <w:pPr>
              <w:snapToGrid w:val="0"/>
              <w:jc w:val="center"/>
              <w:rPr>
                <w:b/>
                <w:bCs/>
                <w:szCs w:val="21"/>
                <w:highlight w:val="none"/>
              </w:rPr>
            </w:pPr>
            <w:r>
              <w:rPr>
                <w:rFonts w:hint="eastAsia"/>
                <w:b/>
                <w:bCs/>
                <w:szCs w:val="21"/>
                <w:highlight w:val="none"/>
              </w:rPr>
              <w:t>序号</w:t>
            </w:r>
          </w:p>
        </w:tc>
        <w:tc>
          <w:tcPr>
            <w:tcW w:w="2066" w:type="dxa"/>
            <w:vMerge w:val="restart"/>
            <w:vAlign w:val="center"/>
          </w:tcPr>
          <w:p>
            <w:pPr>
              <w:snapToGrid w:val="0"/>
              <w:jc w:val="center"/>
              <w:rPr>
                <w:b/>
                <w:bCs/>
                <w:szCs w:val="21"/>
                <w:highlight w:val="none"/>
              </w:rPr>
            </w:pPr>
            <w:r>
              <w:rPr>
                <w:rFonts w:hint="eastAsia"/>
                <w:b/>
                <w:bCs/>
                <w:szCs w:val="21"/>
                <w:highlight w:val="none"/>
              </w:rPr>
              <w:t>评分项目</w:t>
            </w:r>
          </w:p>
        </w:tc>
        <w:tc>
          <w:tcPr>
            <w:tcW w:w="4171" w:type="dxa"/>
            <w:vMerge w:val="restart"/>
            <w:vAlign w:val="center"/>
          </w:tcPr>
          <w:p>
            <w:pPr>
              <w:snapToGrid w:val="0"/>
              <w:jc w:val="center"/>
              <w:rPr>
                <w:b/>
                <w:bCs/>
                <w:szCs w:val="21"/>
                <w:highlight w:val="none"/>
              </w:rPr>
            </w:pPr>
            <w:r>
              <w:rPr>
                <w:rFonts w:hint="eastAsia"/>
                <w:b/>
                <w:bCs/>
                <w:szCs w:val="21"/>
                <w:highlight w:val="none"/>
              </w:rPr>
              <w:t>评分标准</w:t>
            </w:r>
          </w:p>
        </w:tc>
        <w:tc>
          <w:tcPr>
            <w:tcW w:w="1838" w:type="dxa"/>
            <w:gridSpan w:val="2"/>
            <w:vMerge w:val="restart"/>
            <w:vAlign w:val="center"/>
          </w:tcPr>
          <w:p>
            <w:pPr>
              <w:snapToGrid w:val="0"/>
              <w:jc w:val="center"/>
              <w:rPr>
                <w:b/>
                <w:bCs/>
                <w:szCs w:val="21"/>
                <w:highlight w:val="none"/>
              </w:rPr>
            </w:pPr>
            <w:r>
              <w:rPr>
                <w:rFonts w:hint="eastAsia"/>
                <w:b/>
                <w:bCs/>
                <w:szCs w:val="21"/>
                <w:highlight w:val="none"/>
              </w:rPr>
              <w:t>标准</w:t>
            </w:r>
          </w:p>
          <w:p>
            <w:pPr>
              <w:snapToGrid w:val="0"/>
              <w:jc w:val="center"/>
              <w:rPr>
                <w:b/>
                <w:bCs/>
                <w:szCs w:val="21"/>
                <w:highlight w:val="none"/>
              </w:rPr>
            </w:pPr>
            <w:r>
              <w:rPr>
                <w:rFonts w:hint="eastAsia"/>
                <w:b/>
                <w:bCs/>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blHeader/>
          <w:jc w:val="center"/>
        </w:trPr>
        <w:tc>
          <w:tcPr>
            <w:tcW w:w="735" w:type="dxa"/>
            <w:vMerge w:val="continue"/>
            <w:vAlign w:val="center"/>
          </w:tcPr>
          <w:p>
            <w:pPr>
              <w:snapToGrid w:val="0"/>
              <w:jc w:val="center"/>
              <w:rPr>
                <w:b/>
                <w:bCs/>
                <w:szCs w:val="21"/>
                <w:highlight w:val="none"/>
              </w:rPr>
            </w:pPr>
          </w:p>
        </w:tc>
        <w:tc>
          <w:tcPr>
            <w:tcW w:w="2066" w:type="dxa"/>
            <w:vMerge w:val="continue"/>
            <w:vAlign w:val="center"/>
          </w:tcPr>
          <w:p>
            <w:pPr>
              <w:snapToGrid w:val="0"/>
              <w:jc w:val="center"/>
              <w:rPr>
                <w:b/>
                <w:bCs/>
                <w:szCs w:val="21"/>
                <w:highlight w:val="none"/>
              </w:rPr>
            </w:pPr>
          </w:p>
        </w:tc>
        <w:tc>
          <w:tcPr>
            <w:tcW w:w="4171" w:type="dxa"/>
            <w:vMerge w:val="continue"/>
            <w:vAlign w:val="center"/>
          </w:tcPr>
          <w:p>
            <w:pPr>
              <w:snapToGrid w:val="0"/>
              <w:jc w:val="center"/>
              <w:rPr>
                <w:b/>
                <w:bCs/>
                <w:szCs w:val="21"/>
                <w:highlight w:val="none"/>
              </w:rPr>
            </w:pPr>
          </w:p>
        </w:tc>
        <w:tc>
          <w:tcPr>
            <w:tcW w:w="1838" w:type="dxa"/>
            <w:gridSpan w:val="2"/>
            <w:vMerge w:val="continue"/>
            <w:vAlign w:val="center"/>
          </w:tcPr>
          <w:p>
            <w:pPr>
              <w:snapToGrid w:val="0"/>
              <w:jc w:val="center"/>
              <w:rPr>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35" w:type="dxa"/>
            <w:vMerge w:val="restart"/>
            <w:vAlign w:val="center"/>
          </w:tcPr>
          <w:p>
            <w:pPr>
              <w:snapToGrid w:val="0"/>
              <w:jc w:val="center"/>
              <w:rPr>
                <w:b/>
                <w:szCs w:val="21"/>
                <w:highlight w:val="none"/>
              </w:rPr>
            </w:pPr>
            <w:r>
              <w:rPr>
                <w:b/>
                <w:szCs w:val="21"/>
                <w:highlight w:val="none"/>
              </w:rPr>
              <w:t>1</w:t>
            </w:r>
          </w:p>
        </w:tc>
        <w:tc>
          <w:tcPr>
            <w:tcW w:w="2066" w:type="dxa"/>
            <w:vMerge w:val="restart"/>
            <w:vAlign w:val="center"/>
          </w:tcPr>
          <w:p>
            <w:pPr>
              <w:snapToGrid w:val="0"/>
              <w:jc w:val="center"/>
              <w:rPr>
                <w:szCs w:val="21"/>
                <w:highlight w:val="none"/>
              </w:rPr>
            </w:pPr>
            <w:r>
              <w:rPr>
                <w:rFonts w:hint="eastAsia"/>
                <w:szCs w:val="21"/>
                <w:highlight w:val="none"/>
              </w:rPr>
              <w:t>施工方案与技术措施</w:t>
            </w:r>
          </w:p>
          <w:p>
            <w:pPr>
              <w:snapToGrid w:val="0"/>
              <w:jc w:val="center"/>
              <w:rPr>
                <w:szCs w:val="21"/>
                <w:highlight w:val="none"/>
              </w:rPr>
            </w:pPr>
            <w:r>
              <w:rPr>
                <w:rFonts w:hint="eastAsia"/>
                <w:szCs w:val="21"/>
                <w:highlight w:val="none"/>
              </w:rPr>
              <w:t>（</w:t>
            </w:r>
            <w:r>
              <w:rPr>
                <w:szCs w:val="21"/>
                <w:highlight w:val="none"/>
              </w:rPr>
              <w:t>5</w:t>
            </w:r>
            <w:r>
              <w:rPr>
                <w:rFonts w:hint="eastAsia"/>
                <w:szCs w:val="21"/>
                <w:highlight w:val="none"/>
              </w:rPr>
              <w:t>分）</w:t>
            </w:r>
          </w:p>
        </w:tc>
        <w:tc>
          <w:tcPr>
            <w:tcW w:w="4171" w:type="dxa"/>
            <w:vAlign w:val="center"/>
          </w:tcPr>
          <w:p>
            <w:pPr>
              <w:snapToGrid w:val="0"/>
              <w:spacing w:beforeLines="25" w:afterLines="25"/>
              <w:rPr>
                <w:spacing w:val="-6"/>
                <w:szCs w:val="21"/>
                <w:highlight w:val="none"/>
              </w:rPr>
            </w:pPr>
            <w:r>
              <w:rPr>
                <w:rFonts w:hint="eastAsia"/>
                <w:spacing w:val="-6"/>
                <w:szCs w:val="21"/>
                <w:highlight w:val="none"/>
              </w:rPr>
              <w:t>方案科学、合理、可行，针对性强；重点、难点分析全面；技术措施（包括季节性施工）可靠、有保障；资源投入能够满足本工程的施工需要。</w:t>
            </w:r>
          </w:p>
        </w:tc>
        <w:tc>
          <w:tcPr>
            <w:tcW w:w="513" w:type="dxa"/>
            <w:vAlign w:val="center"/>
          </w:tcPr>
          <w:p>
            <w:pPr>
              <w:snapToGrid w:val="0"/>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4≤</w:t>
            </w:r>
            <w:r>
              <w:rPr>
                <w:rFonts w:hint="eastAsia"/>
                <w:highlight w:val="none"/>
              </w:rPr>
              <w:t>分值</w:t>
            </w:r>
            <w:r>
              <w:rPr>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pacing w:val="-6"/>
                <w:szCs w:val="21"/>
                <w:highlight w:val="none"/>
              </w:rPr>
              <w:t>方案合理、可行；重点、难点分析较全面；技术措施（包括季节性施工）基本可靠，但细节待完善；资源投入基本满足本工程的施工需要。</w:t>
            </w:r>
            <w:r>
              <w:rPr>
                <w:spacing w:val="-6"/>
                <w:szCs w:val="21"/>
                <w:highlight w:val="none"/>
              </w:rPr>
              <w:t xml:space="preserve"> </w:t>
            </w:r>
          </w:p>
        </w:tc>
        <w:tc>
          <w:tcPr>
            <w:tcW w:w="513" w:type="dxa"/>
            <w:vAlign w:val="center"/>
          </w:tcPr>
          <w:p>
            <w:pPr>
              <w:snapToGrid w:val="0"/>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2≤</w:t>
            </w:r>
            <w:r>
              <w:rPr>
                <w:rFonts w:hint="eastAsia"/>
                <w:highlight w:val="none"/>
              </w:rPr>
              <w:t>分值</w:t>
            </w:r>
            <w:r>
              <w:rPr>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pacing w:val="-6"/>
                <w:szCs w:val="21"/>
                <w:highlight w:val="none"/>
              </w:rPr>
              <w:t>方案一般，重点、难点分析不全面；资源投入基本满足本工程施工需要。</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jc w:val="center"/>
        </w:trPr>
        <w:tc>
          <w:tcPr>
            <w:tcW w:w="735" w:type="dxa"/>
            <w:vMerge w:val="restart"/>
            <w:vAlign w:val="center"/>
          </w:tcPr>
          <w:p>
            <w:pPr>
              <w:snapToGrid w:val="0"/>
              <w:jc w:val="center"/>
              <w:rPr>
                <w:b/>
                <w:szCs w:val="21"/>
                <w:highlight w:val="none"/>
              </w:rPr>
            </w:pPr>
            <w:r>
              <w:rPr>
                <w:b/>
                <w:szCs w:val="21"/>
                <w:highlight w:val="none"/>
              </w:rPr>
              <w:t>2</w:t>
            </w:r>
          </w:p>
        </w:tc>
        <w:tc>
          <w:tcPr>
            <w:tcW w:w="2066" w:type="dxa"/>
            <w:vMerge w:val="restart"/>
            <w:vAlign w:val="center"/>
          </w:tcPr>
          <w:p>
            <w:pPr>
              <w:snapToGrid w:val="0"/>
              <w:jc w:val="center"/>
              <w:rPr>
                <w:szCs w:val="21"/>
                <w:highlight w:val="none"/>
              </w:rPr>
            </w:pPr>
            <w:r>
              <w:rPr>
                <w:rFonts w:hint="eastAsia"/>
                <w:szCs w:val="21"/>
                <w:highlight w:val="none"/>
              </w:rPr>
              <w:t>质量目标和质量保证措施（</w:t>
            </w:r>
            <w:r>
              <w:rPr>
                <w:szCs w:val="21"/>
                <w:highlight w:val="none"/>
              </w:rPr>
              <w:t>3</w:t>
            </w:r>
            <w:r>
              <w:rPr>
                <w:rFonts w:hint="eastAsia"/>
                <w:szCs w:val="21"/>
                <w:highlight w:val="none"/>
              </w:rPr>
              <w:t>分）</w:t>
            </w:r>
          </w:p>
        </w:tc>
        <w:tc>
          <w:tcPr>
            <w:tcW w:w="4171" w:type="dxa"/>
            <w:vAlign w:val="center"/>
          </w:tcPr>
          <w:p>
            <w:pPr>
              <w:snapToGrid w:val="0"/>
              <w:spacing w:beforeLines="25" w:afterLines="25"/>
              <w:rPr>
                <w:szCs w:val="21"/>
                <w:highlight w:val="none"/>
              </w:rPr>
            </w:pPr>
            <w:r>
              <w:rPr>
                <w:rFonts w:hint="eastAsia"/>
                <w:szCs w:val="21"/>
                <w:highlight w:val="none"/>
              </w:rPr>
              <w:t>质量目标符合招标文件的要求，质量控制计划和保障措施科学、合理、有效。</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2≤</w:t>
            </w:r>
            <w:r>
              <w:rPr>
                <w:rFonts w:hint="eastAsia"/>
                <w:highlight w:val="none"/>
              </w:rPr>
              <w:t>分值</w:t>
            </w:r>
            <w:r>
              <w:rPr>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1"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zCs w:val="21"/>
                <w:highlight w:val="none"/>
              </w:rPr>
              <w:t>质量计划和保障措施较合理</w:t>
            </w:r>
            <w:r>
              <w:rPr>
                <w:rFonts w:hint="eastAsia"/>
                <w:spacing w:val="-6"/>
                <w:szCs w:val="21"/>
                <w:highlight w:val="none"/>
              </w:rPr>
              <w:t>，但细节待完善。</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zCs w:val="21"/>
                <w:highlight w:val="none"/>
              </w:rPr>
              <w:t>质量计划和保障措施一般。</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jc w:val="center"/>
        </w:trPr>
        <w:tc>
          <w:tcPr>
            <w:tcW w:w="735" w:type="dxa"/>
            <w:vMerge w:val="restart"/>
            <w:vAlign w:val="center"/>
          </w:tcPr>
          <w:p>
            <w:pPr>
              <w:snapToGrid w:val="0"/>
              <w:jc w:val="center"/>
              <w:rPr>
                <w:b/>
                <w:szCs w:val="21"/>
                <w:highlight w:val="none"/>
              </w:rPr>
            </w:pPr>
            <w:r>
              <w:rPr>
                <w:b/>
                <w:szCs w:val="21"/>
                <w:highlight w:val="none"/>
              </w:rPr>
              <w:t>3</w:t>
            </w:r>
          </w:p>
        </w:tc>
        <w:tc>
          <w:tcPr>
            <w:tcW w:w="2066" w:type="dxa"/>
            <w:vMerge w:val="restart"/>
            <w:vAlign w:val="center"/>
          </w:tcPr>
          <w:p>
            <w:pPr>
              <w:snapToGrid w:val="0"/>
              <w:jc w:val="center"/>
              <w:rPr>
                <w:szCs w:val="21"/>
                <w:highlight w:val="none"/>
              </w:rPr>
            </w:pPr>
            <w:r>
              <w:rPr>
                <w:rFonts w:hint="eastAsia"/>
                <w:szCs w:val="21"/>
                <w:highlight w:val="none"/>
              </w:rPr>
              <w:t>施工总体进度计划及保证措施（</w:t>
            </w:r>
            <w:r>
              <w:rPr>
                <w:szCs w:val="21"/>
                <w:highlight w:val="none"/>
              </w:rPr>
              <w:t>3</w:t>
            </w:r>
            <w:r>
              <w:rPr>
                <w:rFonts w:hint="eastAsia"/>
                <w:szCs w:val="21"/>
                <w:highlight w:val="none"/>
              </w:rPr>
              <w:t>分）</w:t>
            </w:r>
          </w:p>
        </w:tc>
        <w:tc>
          <w:tcPr>
            <w:tcW w:w="4171" w:type="dxa"/>
            <w:vAlign w:val="center"/>
          </w:tcPr>
          <w:p>
            <w:pPr>
              <w:snapToGrid w:val="0"/>
              <w:spacing w:beforeLines="25" w:afterLines="25"/>
              <w:rPr>
                <w:szCs w:val="21"/>
                <w:highlight w:val="none"/>
              </w:rPr>
            </w:pPr>
            <w:r>
              <w:rPr>
                <w:rFonts w:hint="eastAsia"/>
                <w:szCs w:val="21"/>
                <w:highlight w:val="none"/>
              </w:rPr>
              <w:t>计划科学、合理，满足</w:t>
            </w:r>
            <w:r>
              <w:rPr>
                <w:rFonts w:hint="eastAsia"/>
                <w:spacing w:val="-6"/>
                <w:szCs w:val="21"/>
                <w:highlight w:val="none"/>
              </w:rPr>
              <w:t>本招标项目的工期要求；</w:t>
            </w:r>
            <w:r>
              <w:rPr>
                <w:rFonts w:hint="eastAsia"/>
                <w:szCs w:val="21"/>
                <w:highlight w:val="none"/>
              </w:rPr>
              <w:t>保障措施科学、合理、可行，针对性强。</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2≤</w:t>
            </w:r>
            <w:r>
              <w:rPr>
                <w:rFonts w:hint="eastAsia"/>
                <w:highlight w:val="none"/>
              </w:rPr>
              <w:t>分值</w:t>
            </w:r>
            <w:r>
              <w:rPr>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zCs w:val="21"/>
                <w:highlight w:val="none"/>
              </w:rPr>
              <w:t>计划较合理，保障措施基本可行</w:t>
            </w:r>
            <w:r>
              <w:rPr>
                <w:rFonts w:hint="eastAsia"/>
                <w:spacing w:val="-6"/>
                <w:szCs w:val="21"/>
                <w:highlight w:val="none"/>
              </w:rPr>
              <w:t>，但细节待完善。</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zCs w:val="21"/>
                <w:highlight w:val="none"/>
              </w:rPr>
              <w:t>计划基本合理，保障措施一般。</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735" w:type="dxa"/>
            <w:vMerge w:val="restart"/>
            <w:vAlign w:val="center"/>
          </w:tcPr>
          <w:p>
            <w:pPr>
              <w:snapToGrid w:val="0"/>
              <w:jc w:val="center"/>
              <w:rPr>
                <w:b/>
                <w:szCs w:val="21"/>
                <w:highlight w:val="none"/>
              </w:rPr>
            </w:pPr>
            <w:r>
              <w:rPr>
                <w:b/>
                <w:szCs w:val="21"/>
                <w:highlight w:val="none"/>
              </w:rPr>
              <w:t>4</w:t>
            </w:r>
          </w:p>
        </w:tc>
        <w:tc>
          <w:tcPr>
            <w:tcW w:w="2066" w:type="dxa"/>
            <w:vMerge w:val="restart"/>
            <w:vAlign w:val="center"/>
          </w:tcPr>
          <w:p>
            <w:pPr>
              <w:snapToGrid w:val="0"/>
              <w:jc w:val="center"/>
              <w:rPr>
                <w:szCs w:val="21"/>
                <w:highlight w:val="none"/>
              </w:rPr>
            </w:pPr>
            <w:r>
              <w:rPr>
                <w:rFonts w:hint="eastAsia"/>
                <w:szCs w:val="21"/>
                <w:highlight w:val="none"/>
              </w:rPr>
              <w:t>安全和文明施工保障措施（</w:t>
            </w:r>
            <w:r>
              <w:rPr>
                <w:rFonts w:hint="eastAsia"/>
                <w:szCs w:val="21"/>
                <w:highlight w:val="none"/>
                <w:lang w:val="en-US" w:eastAsia="zh-CN"/>
              </w:rPr>
              <w:t>8</w:t>
            </w:r>
            <w:r>
              <w:rPr>
                <w:rFonts w:hint="eastAsia"/>
                <w:szCs w:val="21"/>
                <w:highlight w:val="none"/>
              </w:rPr>
              <w:t>分）</w:t>
            </w:r>
          </w:p>
        </w:tc>
        <w:tc>
          <w:tcPr>
            <w:tcW w:w="4171" w:type="dxa"/>
            <w:vAlign w:val="center"/>
          </w:tcPr>
          <w:p>
            <w:pPr>
              <w:snapToGrid w:val="0"/>
              <w:spacing w:beforeLines="25" w:afterLines="25"/>
              <w:rPr>
                <w:szCs w:val="21"/>
                <w:highlight w:val="none"/>
              </w:rPr>
            </w:pPr>
            <w:r>
              <w:rPr>
                <w:rFonts w:hint="eastAsia"/>
                <w:szCs w:val="21"/>
                <w:highlight w:val="none"/>
              </w:rPr>
              <w:t>措施科学、合理、可靠，针对性强。</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rFonts w:hint="eastAsia" w:eastAsia="宋体"/>
                <w:kern w:val="0"/>
                <w:szCs w:val="21"/>
                <w:highlight w:val="none"/>
                <w:lang w:eastAsia="zh-CN"/>
              </w:rPr>
            </w:pPr>
            <w:r>
              <w:rPr>
                <w:rFonts w:hint="eastAsia"/>
                <w:highlight w:val="none"/>
                <w:lang w:val="en-US" w:eastAsia="zh-CN"/>
              </w:rPr>
              <w:t>7</w:t>
            </w:r>
            <w:r>
              <w:rPr>
                <w:highlight w:val="none"/>
              </w:rPr>
              <w:t>≤</w:t>
            </w:r>
            <w:r>
              <w:rPr>
                <w:rFonts w:hint="eastAsia"/>
                <w:highlight w:val="none"/>
              </w:rPr>
              <w:t>分值</w:t>
            </w:r>
            <w:r>
              <w:rPr>
                <w:highlight w:val="none"/>
              </w:rPr>
              <w:t>≤</w:t>
            </w:r>
            <w:r>
              <w:rPr>
                <w:rFonts w:hint="eastAsia"/>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zCs w:val="21"/>
                <w:highlight w:val="none"/>
              </w:rPr>
              <w:t>措施合理。</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rFonts w:hint="eastAsia" w:eastAsia="宋体"/>
                <w:kern w:val="0"/>
                <w:szCs w:val="21"/>
                <w:highlight w:val="none"/>
                <w:lang w:eastAsia="zh-CN"/>
              </w:rPr>
            </w:pPr>
            <w:r>
              <w:rPr>
                <w:rFonts w:hint="eastAsia"/>
                <w:highlight w:val="none"/>
                <w:lang w:val="en-US" w:eastAsia="zh-CN"/>
              </w:rPr>
              <w:t>4</w:t>
            </w:r>
            <w:r>
              <w:rPr>
                <w:highlight w:val="none"/>
              </w:rPr>
              <w:t>≤</w:t>
            </w:r>
            <w:r>
              <w:rPr>
                <w:rFonts w:hint="eastAsia"/>
                <w:highlight w:val="none"/>
              </w:rPr>
              <w:t>分值</w:t>
            </w:r>
            <w:r>
              <w:rPr>
                <w:highlight w:val="none"/>
              </w:rPr>
              <w:t>&lt;</w:t>
            </w:r>
            <w:r>
              <w:rPr>
                <w:rFonts w:hint="eastAsia"/>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zCs w:val="21"/>
                <w:highlight w:val="none"/>
              </w:rPr>
            </w:pPr>
            <w:r>
              <w:rPr>
                <w:rFonts w:hint="eastAsia"/>
                <w:szCs w:val="21"/>
                <w:highlight w:val="none"/>
              </w:rPr>
              <w:t>措施一般。</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rFonts w:hint="eastAsia" w:eastAsia="宋体"/>
                <w:kern w:val="0"/>
                <w:szCs w:val="21"/>
                <w:highlight w:val="none"/>
                <w:lang w:eastAsia="zh-CN"/>
              </w:rPr>
            </w:pPr>
            <w:r>
              <w:rPr>
                <w:highlight w:val="none"/>
              </w:rPr>
              <w:t>0≤</w:t>
            </w:r>
            <w:r>
              <w:rPr>
                <w:rFonts w:hint="eastAsia"/>
                <w:highlight w:val="none"/>
              </w:rPr>
              <w:t>分值</w:t>
            </w:r>
            <w:r>
              <w:rPr>
                <w:highlight w:val="none"/>
              </w:rPr>
              <w:t>&lt;</w:t>
            </w:r>
            <w:r>
              <w:rPr>
                <w:rFonts w:hint="eastAsia"/>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735" w:type="dxa"/>
            <w:vMerge w:val="restart"/>
            <w:vAlign w:val="center"/>
          </w:tcPr>
          <w:p>
            <w:pPr>
              <w:snapToGrid w:val="0"/>
              <w:jc w:val="center"/>
              <w:rPr>
                <w:b/>
                <w:szCs w:val="21"/>
                <w:highlight w:val="none"/>
              </w:rPr>
            </w:pPr>
            <w:r>
              <w:rPr>
                <w:b/>
                <w:szCs w:val="21"/>
                <w:highlight w:val="none"/>
              </w:rPr>
              <w:t>5</w:t>
            </w:r>
          </w:p>
        </w:tc>
        <w:tc>
          <w:tcPr>
            <w:tcW w:w="2066" w:type="dxa"/>
            <w:vMerge w:val="restart"/>
            <w:vAlign w:val="center"/>
          </w:tcPr>
          <w:p>
            <w:pPr>
              <w:snapToGrid w:val="0"/>
              <w:jc w:val="center"/>
              <w:rPr>
                <w:szCs w:val="21"/>
                <w:highlight w:val="none"/>
              </w:rPr>
            </w:pPr>
            <w:r>
              <w:rPr>
                <w:rFonts w:hint="eastAsia"/>
                <w:szCs w:val="21"/>
                <w:highlight w:val="none"/>
              </w:rPr>
              <w:t>现场组织管理机构和劳动力计划及保障措施（</w:t>
            </w:r>
            <w:r>
              <w:rPr>
                <w:rFonts w:hint="eastAsia"/>
                <w:szCs w:val="21"/>
                <w:highlight w:val="none"/>
                <w:lang w:val="en-US" w:eastAsia="zh-CN"/>
              </w:rPr>
              <w:t>3</w:t>
            </w:r>
            <w:r>
              <w:rPr>
                <w:rFonts w:hint="eastAsia"/>
                <w:szCs w:val="21"/>
                <w:highlight w:val="none"/>
              </w:rPr>
              <w:t>分）</w:t>
            </w:r>
          </w:p>
        </w:tc>
        <w:tc>
          <w:tcPr>
            <w:tcW w:w="4171" w:type="dxa"/>
            <w:vAlign w:val="center"/>
          </w:tcPr>
          <w:p>
            <w:pPr>
              <w:snapToGrid w:val="0"/>
              <w:spacing w:beforeLines="25" w:afterLines="25"/>
              <w:rPr>
                <w:szCs w:val="21"/>
                <w:highlight w:val="none"/>
              </w:rPr>
            </w:pPr>
            <w:r>
              <w:rPr>
                <w:rFonts w:hint="eastAsia"/>
                <w:szCs w:val="21"/>
                <w:highlight w:val="none"/>
              </w:rPr>
              <w:t>组织机构设置合理，劳动力计划和施工队伍的选择能够满足本工程施工的劳动力需要，保障措施科学、合理、可靠、针对性强。</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2≤</w:t>
            </w:r>
            <w:r>
              <w:rPr>
                <w:rFonts w:hint="eastAsia"/>
                <w:highlight w:val="none"/>
              </w:rPr>
              <w:t>分值</w:t>
            </w:r>
            <w:r>
              <w:rPr>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1"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pacing w:val="-16"/>
                <w:szCs w:val="21"/>
                <w:highlight w:val="none"/>
              </w:rPr>
            </w:pPr>
            <w:r>
              <w:rPr>
                <w:rFonts w:hint="eastAsia"/>
                <w:szCs w:val="21"/>
                <w:highlight w:val="none"/>
              </w:rPr>
              <w:t>组织机构设置基本合理，劳动力计划和施工队伍的选择基本能满足本工程施工的劳动力需要，保障措施基本合理</w:t>
            </w:r>
            <w:r>
              <w:rPr>
                <w:rFonts w:hint="eastAsia"/>
                <w:spacing w:val="-6"/>
                <w:szCs w:val="21"/>
                <w:highlight w:val="none"/>
              </w:rPr>
              <w:t>，但细节待完善。</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pacing w:val="-16"/>
                <w:szCs w:val="21"/>
                <w:highlight w:val="none"/>
              </w:rPr>
            </w:pPr>
            <w:r>
              <w:rPr>
                <w:rFonts w:hint="eastAsia"/>
                <w:szCs w:val="21"/>
                <w:highlight w:val="none"/>
              </w:rPr>
              <w:t>组织机构设置不合理，劳动力配置和施工队伍的选择一般，措施一般。</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735" w:type="dxa"/>
            <w:vMerge w:val="restart"/>
            <w:vAlign w:val="center"/>
          </w:tcPr>
          <w:p>
            <w:pPr>
              <w:snapToGrid w:val="0"/>
              <w:jc w:val="center"/>
              <w:rPr>
                <w:b/>
                <w:szCs w:val="21"/>
                <w:highlight w:val="none"/>
              </w:rPr>
            </w:pPr>
            <w:r>
              <w:rPr>
                <w:b/>
                <w:szCs w:val="21"/>
                <w:highlight w:val="none"/>
              </w:rPr>
              <w:t>6</w:t>
            </w:r>
          </w:p>
        </w:tc>
        <w:tc>
          <w:tcPr>
            <w:tcW w:w="2066" w:type="dxa"/>
            <w:vMerge w:val="restart"/>
            <w:vAlign w:val="center"/>
          </w:tcPr>
          <w:p>
            <w:pPr>
              <w:snapToGrid w:val="0"/>
              <w:jc w:val="center"/>
              <w:rPr>
                <w:szCs w:val="21"/>
                <w:highlight w:val="none"/>
              </w:rPr>
            </w:pPr>
            <w:r>
              <w:rPr>
                <w:rFonts w:hint="eastAsia"/>
                <w:szCs w:val="21"/>
                <w:highlight w:val="none"/>
              </w:rPr>
              <w:t>主要材料、设备、构件的质量、用量计划与保证措施（</w:t>
            </w:r>
            <w:r>
              <w:rPr>
                <w:rFonts w:hint="eastAsia"/>
                <w:szCs w:val="21"/>
                <w:highlight w:val="none"/>
                <w:lang w:val="en-US" w:eastAsia="zh-CN"/>
              </w:rPr>
              <w:t>2</w:t>
            </w:r>
            <w:r>
              <w:rPr>
                <w:rFonts w:hint="eastAsia"/>
                <w:szCs w:val="21"/>
                <w:highlight w:val="none"/>
              </w:rPr>
              <w:t>分）</w:t>
            </w:r>
          </w:p>
        </w:tc>
        <w:tc>
          <w:tcPr>
            <w:tcW w:w="4171" w:type="dxa"/>
            <w:vAlign w:val="center"/>
          </w:tcPr>
          <w:p>
            <w:pPr>
              <w:snapToGrid w:val="0"/>
              <w:spacing w:beforeLines="25" w:afterLines="25"/>
              <w:rPr>
                <w:szCs w:val="21"/>
                <w:highlight w:val="none"/>
              </w:rPr>
            </w:pPr>
            <w:r>
              <w:rPr>
                <w:rFonts w:hint="eastAsia"/>
                <w:kern w:val="0"/>
                <w:szCs w:val="21"/>
                <w:highlight w:val="none"/>
              </w:rPr>
              <w:t>拟投入的主要材料、设备等的数量满足工程需要，配置科学合理，有针对性。</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1.5≤</w:t>
            </w:r>
            <w:r>
              <w:rPr>
                <w:rFonts w:hint="eastAsia"/>
                <w:highlight w:val="none"/>
              </w:rPr>
              <w:t>分值</w:t>
            </w: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rPr>
                <w:szCs w:val="21"/>
                <w:highlight w:val="none"/>
              </w:rPr>
            </w:pPr>
          </w:p>
        </w:tc>
        <w:tc>
          <w:tcPr>
            <w:tcW w:w="4171" w:type="dxa"/>
            <w:vAlign w:val="center"/>
          </w:tcPr>
          <w:p>
            <w:pPr>
              <w:snapToGrid w:val="0"/>
              <w:spacing w:beforeLines="25" w:afterLines="25"/>
              <w:rPr>
                <w:szCs w:val="21"/>
                <w:highlight w:val="none"/>
              </w:rPr>
            </w:pPr>
            <w:r>
              <w:rPr>
                <w:rFonts w:hint="eastAsia"/>
                <w:kern w:val="0"/>
                <w:szCs w:val="21"/>
                <w:highlight w:val="none"/>
              </w:rPr>
              <w:t>拟投入的主要材料、设备等的数量基本满足工程需要，科学合理，针对性一般。</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rPr>
                <w:szCs w:val="21"/>
                <w:highlight w:val="none"/>
              </w:rPr>
            </w:pPr>
          </w:p>
        </w:tc>
        <w:tc>
          <w:tcPr>
            <w:tcW w:w="4171" w:type="dxa"/>
            <w:vAlign w:val="center"/>
          </w:tcPr>
          <w:p>
            <w:pPr>
              <w:snapToGrid w:val="0"/>
              <w:spacing w:beforeLines="25" w:afterLines="25"/>
              <w:rPr>
                <w:kern w:val="0"/>
                <w:szCs w:val="21"/>
                <w:highlight w:val="none"/>
              </w:rPr>
            </w:pPr>
            <w:r>
              <w:rPr>
                <w:rFonts w:hint="eastAsia"/>
                <w:kern w:val="0"/>
                <w:szCs w:val="21"/>
                <w:highlight w:val="none"/>
              </w:rPr>
              <w:t>拟投入的主要材料、设备等的数量不能满足工程需要。</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jc w:val="center"/>
        </w:trPr>
        <w:tc>
          <w:tcPr>
            <w:tcW w:w="735" w:type="dxa"/>
            <w:vMerge w:val="restart"/>
            <w:vAlign w:val="center"/>
          </w:tcPr>
          <w:p>
            <w:pPr>
              <w:snapToGrid w:val="0"/>
              <w:jc w:val="center"/>
              <w:rPr>
                <w:b/>
                <w:szCs w:val="21"/>
                <w:highlight w:val="none"/>
              </w:rPr>
            </w:pPr>
            <w:r>
              <w:rPr>
                <w:b/>
                <w:szCs w:val="21"/>
                <w:highlight w:val="none"/>
              </w:rPr>
              <w:t>7</w:t>
            </w:r>
          </w:p>
        </w:tc>
        <w:tc>
          <w:tcPr>
            <w:tcW w:w="2066" w:type="dxa"/>
            <w:vMerge w:val="restart"/>
            <w:vAlign w:val="center"/>
          </w:tcPr>
          <w:p>
            <w:pPr>
              <w:snapToGrid w:val="0"/>
              <w:jc w:val="center"/>
              <w:rPr>
                <w:szCs w:val="21"/>
                <w:highlight w:val="none"/>
              </w:rPr>
            </w:pPr>
            <w:r>
              <w:rPr>
                <w:rFonts w:hint="eastAsia"/>
                <w:szCs w:val="21"/>
                <w:highlight w:val="none"/>
              </w:rPr>
              <w:t>与采购人等项目相关人的协调、配合措施（</w:t>
            </w:r>
            <w:r>
              <w:rPr>
                <w:rFonts w:hint="eastAsia"/>
                <w:szCs w:val="21"/>
                <w:highlight w:val="none"/>
                <w:lang w:val="en-US" w:eastAsia="zh-CN"/>
              </w:rPr>
              <w:t>2</w:t>
            </w:r>
            <w:r>
              <w:rPr>
                <w:rFonts w:hint="eastAsia"/>
                <w:szCs w:val="21"/>
                <w:highlight w:val="none"/>
              </w:rPr>
              <w:t>分）</w:t>
            </w:r>
          </w:p>
        </w:tc>
        <w:tc>
          <w:tcPr>
            <w:tcW w:w="4171" w:type="dxa"/>
            <w:vAlign w:val="center"/>
          </w:tcPr>
          <w:p>
            <w:pPr>
              <w:snapToGrid w:val="0"/>
              <w:spacing w:beforeLines="25" w:afterLines="25"/>
              <w:rPr>
                <w:spacing w:val="-6"/>
                <w:szCs w:val="21"/>
                <w:highlight w:val="none"/>
              </w:rPr>
            </w:pPr>
            <w:r>
              <w:rPr>
                <w:rFonts w:hint="eastAsia"/>
                <w:spacing w:val="-6"/>
                <w:szCs w:val="21"/>
                <w:highlight w:val="none"/>
              </w:rPr>
              <w:t>配合、协调、服务方案考虑全面；措施完善、科学、合理，针对性强。</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1.5≤</w:t>
            </w:r>
            <w:r>
              <w:rPr>
                <w:rFonts w:hint="eastAsia"/>
                <w:highlight w:val="none"/>
              </w:rPr>
              <w:t>分值</w:t>
            </w: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pacing w:val="-6"/>
                <w:szCs w:val="21"/>
                <w:highlight w:val="none"/>
              </w:rPr>
            </w:pPr>
            <w:r>
              <w:rPr>
                <w:rFonts w:hint="eastAsia"/>
                <w:spacing w:val="-6"/>
                <w:szCs w:val="21"/>
                <w:highlight w:val="none"/>
              </w:rPr>
              <w:t>配合、协调、服务方案较全面；措施基本合理，但细节待完善。</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pacing w:val="-6"/>
                <w:szCs w:val="21"/>
                <w:highlight w:val="none"/>
              </w:rPr>
            </w:pPr>
            <w:r>
              <w:rPr>
                <w:rFonts w:hint="eastAsia"/>
                <w:spacing w:val="-6"/>
                <w:szCs w:val="21"/>
                <w:highlight w:val="none"/>
              </w:rPr>
              <w:t>配合、协调、服务方案一般，措施一般。</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jc w:val="center"/>
        </w:trPr>
        <w:tc>
          <w:tcPr>
            <w:tcW w:w="735" w:type="dxa"/>
            <w:vMerge w:val="restart"/>
            <w:vAlign w:val="center"/>
          </w:tcPr>
          <w:p>
            <w:pPr>
              <w:snapToGrid w:val="0"/>
              <w:jc w:val="center"/>
              <w:rPr>
                <w:b/>
                <w:szCs w:val="21"/>
                <w:highlight w:val="none"/>
              </w:rPr>
            </w:pPr>
            <w:r>
              <w:rPr>
                <w:b/>
                <w:szCs w:val="21"/>
                <w:highlight w:val="none"/>
              </w:rPr>
              <w:t>8</w:t>
            </w:r>
          </w:p>
        </w:tc>
        <w:tc>
          <w:tcPr>
            <w:tcW w:w="2066" w:type="dxa"/>
            <w:vMerge w:val="restart"/>
            <w:vAlign w:val="center"/>
          </w:tcPr>
          <w:p>
            <w:pPr>
              <w:snapToGrid w:val="0"/>
              <w:jc w:val="center"/>
              <w:rPr>
                <w:szCs w:val="21"/>
                <w:highlight w:val="none"/>
              </w:rPr>
            </w:pPr>
            <w:r>
              <w:rPr>
                <w:rFonts w:hint="eastAsia"/>
                <w:szCs w:val="21"/>
                <w:highlight w:val="none"/>
              </w:rPr>
              <w:t>紧急情况的处理措施、风险预案及抵抗风险的措施、冬季、雨季施工方案措施（</w:t>
            </w:r>
            <w:r>
              <w:rPr>
                <w:szCs w:val="21"/>
                <w:highlight w:val="none"/>
              </w:rPr>
              <w:t>2</w:t>
            </w:r>
            <w:r>
              <w:rPr>
                <w:rFonts w:hint="eastAsia"/>
                <w:szCs w:val="21"/>
                <w:highlight w:val="none"/>
              </w:rPr>
              <w:t>分）</w:t>
            </w:r>
          </w:p>
        </w:tc>
        <w:tc>
          <w:tcPr>
            <w:tcW w:w="4171" w:type="dxa"/>
            <w:vAlign w:val="center"/>
          </w:tcPr>
          <w:p>
            <w:pPr>
              <w:snapToGrid w:val="0"/>
              <w:spacing w:beforeLines="25" w:afterLines="25"/>
              <w:rPr>
                <w:spacing w:val="-6"/>
                <w:szCs w:val="21"/>
                <w:highlight w:val="none"/>
              </w:rPr>
            </w:pPr>
            <w:r>
              <w:rPr>
                <w:rFonts w:hint="eastAsia"/>
                <w:spacing w:val="-6"/>
                <w:szCs w:val="21"/>
                <w:highlight w:val="none"/>
              </w:rPr>
              <w:t>措施科学、合理、可靠，针对性强。</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1.5≤</w:t>
            </w:r>
            <w:r>
              <w:rPr>
                <w:rFonts w:hint="eastAsia"/>
                <w:highlight w:val="none"/>
              </w:rPr>
              <w:t>分值</w:t>
            </w: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pacing w:val="-6"/>
                <w:szCs w:val="21"/>
                <w:highlight w:val="none"/>
              </w:rPr>
            </w:pPr>
            <w:r>
              <w:rPr>
                <w:rFonts w:hint="eastAsia"/>
                <w:spacing w:val="-6"/>
                <w:szCs w:val="21"/>
                <w:highlight w:val="none"/>
              </w:rPr>
              <w:t>措施合理，但细节待完善。</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jc w:val="center"/>
              <w:rPr>
                <w:szCs w:val="21"/>
                <w:highlight w:val="none"/>
              </w:rPr>
            </w:pPr>
          </w:p>
        </w:tc>
        <w:tc>
          <w:tcPr>
            <w:tcW w:w="4171" w:type="dxa"/>
            <w:vAlign w:val="center"/>
          </w:tcPr>
          <w:p>
            <w:pPr>
              <w:snapToGrid w:val="0"/>
              <w:spacing w:beforeLines="25" w:afterLines="25"/>
              <w:rPr>
                <w:spacing w:val="-6"/>
                <w:szCs w:val="21"/>
                <w:highlight w:val="none"/>
              </w:rPr>
            </w:pPr>
            <w:r>
              <w:rPr>
                <w:rFonts w:hint="eastAsia"/>
                <w:spacing w:val="-6"/>
                <w:szCs w:val="21"/>
                <w:highlight w:val="none"/>
              </w:rPr>
              <w:t>措施一般。</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jc w:val="center"/>
        </w:trPr>
        <w:tc>
          <w:tcPr>
            <w:tcW w:w="735" w:type="dxa"/>
            <w:vMerge w:val="restart"/>
            <w:vAlign w:val="center"/>
          </w:tcPr>
          <w:p>
            <w:pPr>
              <w:snapToGrid w:val="0"/>
              <w:jc w:val="center"/>
              <w:rPr>
                <w:b/>
                <w:szCs w:val="21"/>
                <w:highlight w:val="none"/>
              </w:rPr>
            </w:pPr>
            <w:r>
              <w:rPr>
                <w:b/>
                <w:szCs w:val="21"/>
                <w:highlight w:val="none"/>
              </w:rPr>
              <w:t>9</w:t>
            </w:r>
          </w:p>
        </w:tc>
        <w:tc>
          <w:tcPr>
            <w:tcW w:w="2066" w:type="dxa"/>
            <w:vMerge w:val="restart"/>
            <w:vAlign w:val="center"/>
          </w:tcPr>
          <w:p>
            <w:pPr>
              <w:snapToGrid w:val="0"/>
              <w:jc w:val="center"/>
              <w:rPr>
                <w:szCs w:val="21"/>
                <w:highlight w:val="none"/>
              </w:rPr>
            </w:pPr>
            <w:r>
              <w:rPr>
                <w:rFonts w:hint="eastAsia"/>
                <w:szCs w:val="21"/>
                <w:highlight w:val="none"/>
              </w:rPr>
              <w:t>施工现场总平面布置</w:t>
            </w:r>
          </w:p>
          <w:p>
            <w:pPr>
              <w:snapToGrid w:val="0"/>
              <w:jc w:val="center"/>
              <w:rPr>
                <w:szCs w:val="21"/>
                <w:highlight w:val="none"/>
              </w:rPr>
            </w:pPr>
            <w:r>
              <w:rPr>
                <w:rFonts w:hint="eastAsia"/>
                <w:szCs w:val="21"/>
                <w:highlight w:val="none"/>
              </w:rPr>
              <w:t>（</w:t>
            </w:r>
            <w:r>
              <w:rPr>
                <w:szCs w:val="21"/>
                <w:highlight w:val="none"/>
              </w:rPr>
              <w:t>2</w:t>
            </w:r>
            <w:r>
              <w:rPr>
                <w:rFonts w:hint="eastAsia"/>
                <w:szCs w:val="21"/>
                <w:highlight w:val="none"/>
              </w:rPr>
              <w:t>分）</w:t>
            </w:r>
          </w:p>
        </w:tc>
        <w:tc>
          <w:tcPr>
            <w:tcW w:w="4171" w:type="dxa"/>
            <w:vAlign w:val="center"/>
          </w:tcPr>
          <w:p>
            <w:pPr>
              <w:snapToGrid w:val="0"/>
              <w:spacing w:beforeLines="25" w:afterLines="25"/>
              <w:rPr>
                <w:spacing w:val="-6"/>
                <w:szCs w:val="21"/>
                <w:highlight w:val="none"/>
              </w:rPr>
            </w:pPr>
            <w:r>
              <w:rPr>
                <w:rFonts w:hint="eastAsia"/>
                <w:spacing w:val="-6"/>
                <w:szCs w:val="21"/>
                <w:highlight w:val="none"/>
              </w:rPr>
              <w:t>布置科学、合理、有序。</w:t>
            </w:r>
          </w:p>
        </w:tc>
        <w:tc>
          <w:tcPr>
            <w:tcW w:w="513" w:type="dxa"/>
            <w:vAlign w:val="center"/>
          </w:tcPr>
          <w:p>
            <w:pPr>
              <w:snapToGrid w:val="0"/>
              <w:ind w:left="2" w:firstLine="25" w:firstLineChars="13"/>
              <w:rPr>
                <w:spacing w:val="-6"/>
                <w:szCs w:val="21"/>
                <w:highlight w:val="none"/>
              </w:rPr>
            </w:pPr>
            <w:r>
              <w:rPr>
                <w:rFonts w:hint="eastAsia"/>
                <w:spacing w:val="-6"/>
                <w:szCs w:val="21"/>
                <w:highlight w:val="none"/>
              </w:rPr>
              <w:t>优</w:t>
            </w:r>
          </w:p>
        </w:tc>
        <w:tc>
          <w:tcPr>
            <w:tcW w:w="1325" w:type="dxa"/>
            <w:vAlign w:val="center"/>
          </w:tcPr>
          <w:p>
            <w:pPr>
              <w:widowControl/>
              <w:adjustRightInd w:val="0"/>
              <w:snapToGrid w:val="0"/>
              <w:jc w:val="center"/>
              <w:rPr>
                <w:kern w:val="0"/>
                <w:szCs w:val="21"/>
                <w:highlight w:val="none"/>
              </w:rPr>
            </w:pPr>
            <w:r>
              <w:rPr>
                <w:highlight w:val="none"/>
              </w:rPr>
              <w:t>1.5≤</w:t>
            </w:r>
            <w:r>
              <w:rPr>
                <w:rFonts w:hint="eastAsia"/>
                <w:highlight w:val="none"/>
              </w:rPr>
              <w:t>分值</w:t>
            </w:r>
            <w:r>
              <w:rPr>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rPr>
                <w:szCs w:val="21"/>
                <w:highlight w:val="none"/>
              </w:rPr>
            </w:pPr>
          </w:p>
        </w:tc>
        <w:tc>
          <w:tcPr>
            <w:tcW w:w="4171" w:type="dxa"/>
            <w:vAlign w:val="center"/>
          </w:tcPr>
          <w:p>
            <w:pPr>
              <w:snapToGrid w:val="0"/>
              <w:spacing w:beforeLines="25" w:afterLines="25"/>
              <w:rPr>
                <w:spacing w:val="-6"/>
                <w:szCs w:val="21"/>
                <w:highlight w:val="none"/>
              </w:rPr>
            </w:pPr>
            <w:r>
              <w:rPr>
                <w:rFonts w:hint="eastAsia"/>
                <w:spacing w:val="-6"/>
                <w:szCs w:val="21"/>
                <w:highlight w:val="none"/>
              </w:rPr>
              <w:t>布置较合理。</w:t>
            </w:r>
          </w:p>
        </w:tc>
        <w:tc>
          <w:tcPr>
            <w:tcW w:w="513" w:type="dxa"/>
            <w:vAlign w:val="center"/>
          </w:tcPr>
          <w:p>
            <w:pPr>
              <w:snapToGrid w:val="0"/>
              <w:ind w:left="2" w:firstLine="27" w:firstLineChars="13"/>
              <w:rPr>
                <w:szCs w:val="21"/>
                <w:highlight w:val="none"/>
              </w:rPr>
            </w:pPr>
            <w:r>
              <w:rPr>
                <w:rFonts w:hint="eastAsia"/>
                <w:szCs w:val="21"/>
                <w:highlight w:val="none"/>
              </w:rPr>
              <w:t>良</w:t>
            </w:r>
          </w:p>
        </w:tc>
        <w:tc>
          <w:tcPr>
            <w:tcW w:w="1325" w:type="dxa"/>
            <w:vAlign w:val="center"/>
          </w:tcPr>
          <w:p>
            <w:pPr>
              <w:widowControl/>
              <w:adjustRightInd w:val="0"/>
              <w:snapToGrid w:val="0"/>
              <w:ind w:left="-61" w:leftChars="-29"/>
              <w:jc w:val="center"/>
              <w:rPr>
                <w:kern w:val="0"/>
                <w:szCs w:val="21"/>
                <w:highlight w:val="none"/>
              </w:rPr>
            </w:pPr>
            <w:r>
              <w:rPr>
                <w:highlight w:val="none"/>
              </w:rPr>
              <w:t>1≤</w:t>
            </w:r>
            <w:r>
              <w:rPr>
                <w:rFonts w:hint="eastAsia"/>
                <w:highlight w:val="none"/>
              </w:rPr>
              <w:t>分值</w:t>
            </w:r>
            <w:r>
              <w:rPr>
                <w:highlight w:val="none"/>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jc w:val="center"/>
        </w:trPr>
        <w:tc>
          <w:tcPr>
            <w:tcW w:w="735" w:type="dxa"/>
            <w:vMerge w:val="continue"/>
            <w:vAlign w:val="center"/>
          </w:tcPr>
          <w:p>
            <w:pPr>
              <w:snapToGrid w:val="0"/>
              <w:jc w:val="center"/>
              <w:rPr>
                <w:b/>
                <w:szCs w:val="21"/>
                <w:highlight w:val="none"/>
              </w:rPr>
            </w:pPr>
          </w:p>
        </w:tc>
        <w:tc>
          <w:tcPr>
            <w:tcW w:w="2066" w:type="dxa"/>
            <w:vMerge w:val="continue"/>
            <w:vAlign w:val="center"/>
          </w:tcPr>
          <w:p>
            <w:pPr>
              <w:snapToGrid w:val="0"/>
              <w:rPr>
                <w:szCs w:val="21"/>
                <w:highlight w:val="none"/>
              </w:rPr>
            </w:pPr>
          </w:p>
        </w:tc>
        <w:tc>
          <w:tcPr>
            <w:tcW w:w="4171" w:type="dxa"/>
            <w:vAlign w:val="center"/>
          </w:tcPr>
          <w:p>
            <w:pPr>
              <w:snapToGrid w:val="0"/>
              <w:spacing w:beforeLines="25" w:afterLines="25"/>
              <w:rPr>
                <w:spacing w:val="-6"/>
                <w:szCs w:val="21"/>
                <w:highlight w:val="none"/>
              </w:rPr>
            </w:pPr>
            <w:r>
              <w:rPr>
                <w:rFonts w:hint="eastAsia"/>
                <w:spacing w:val="-6"/>
                <w:szCs w:val="21"/>
                <w:highlight w:val="none"/>
              </w:rPr>
              <w:t>布置较差。</w:t>
            </w:r>
          </w:p>
        </w:tc>
        <w:tc>
          <w:tcPr>
            <w:tcW w:w="513" w:type="dxa"/>
            <w:vAlign w:val="center"/>
          </w:tcPr>
          <w:p>
            <w:pPr>
              <w:snapToGrid w:val="0"/>
              <w:ind w:left="2" w:firstLine="27" w:firstLineChars="13"/>
              <w:rPr>
                <w:szCs w:val="21"/>
                <w:highlight w:val="none"/>
              </w:rPr>
            </w:pPr>
            <w:r>
              <w:rPr>
                <w:rFonts w:hint="eastAsia"/>
                <w:szCs w:val="21"/>
                <w:highlight w:val="none"/>
              </w:rPr>
              <w:t>差</w:t>
            </w:r>
          </w:p>
        </w:tc>
        <w:tc>
          <w:tcPr>
            <w:tcW w:w="1325" w:type="dxa"/>
            <w:vAlign w:val="center"/>
          </w:tcPr>
          <w:p>
            <w:pPr>
              <w:widowControl/>
              <w:adjustRightInd w:val="0"/>
              <w:snapToGrid w:val="0"/>
              <w:jc w:val="center"/>
              <w:rPr>
                <w:kern w:val="0"/>
                <w:szCs w:val="21"/>
                <w:highlight w:val="none"/>
              </w:rPr>
            </w:pPr>
            <w:r>
              <w:rPr>
                <w:highlight w:val="none"/>
              </w:rPr>
              <w:t>0≤</w:t>
            </w:r>
            <w:r>
              <w:rPr>
                <w:rFonts w:hint="eastAsia"/>
                <w:highlight w:val="none"/>
              </w:rPr>
              <w:t>分值</w:t>
            </w:r>
            <w:r>
              <w:rPr>
                <w:highlight w:val="none"/>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jc w:val="center"/>
        </w:trPr>
        <w:tc>
          <w:tcPr>
            <w:tcW w:w="735" w:type="dxa"/>
            <w:vAlign w:val="center"/>
          </w:tcPr>
          <w:p>
            <w:pPr>
              <w:snapToGrid w:val="0"/>
              <w:ind w:left="2" w:firstLine="27" w:firstLineChars="13"/>
              <w:rPr>
                <w:szCs w:val="21"/>
                <w:highlight w:val="none"/>
              </w:rPr>
            </w:pPr>
            <w:r>
              <w:rPr>
                <w:rFonts w:hint="eastAsia"/>
                <w:szCs w:val="21"/>
                <w:highlight w:val="none"/>
              </w:rPr>
              <w:t>合计</w:t>
            </w:r>
          </w:p>
        </w:tc>
        <w:tc>
          <w:tcPr>
            <w:tcW w:w="8075" w:type="dxa"/>
            <w:gridSpan w:val="4"/>
            <w:vAlign w:val="center"/>
          </w:tcPr>
          <w:p>
            <w:pPr>
              <w:widowControl/>
              <w:adjustRightInd w:val="0"/>
              <w:snapToGrid w:val="0"/>
              <w:jc w:val="center"/>
              <w:rPr>
                <w:b/>
                <w:highlight w:val="none"/>
              </w:rPr>
            </w:pPr>
            <w:r>
              <w:rPr>
                <w:b/>
                <w:szCs w:val="21"/>
                <w:highlight w:val="none"/>
              </w:rPr>
              <w:t>30</w:t>
            </w:r>
            <w:r>
              <w:rPr>
                <w:rFonts w:hint="eastAsia"/>
                <w:b/>
                <w:szCs w:val="21"/>
                <w:highlight w:val="none"/>
              </w:rPr>
              <w:t>分</w:t>
            </w:r>
          </w:p>
        </w:tc>
      </w:tr>
    </w:tbl>
    <w:p>
      <w:pPr>
        <w:spacing w:line="400" w:lineRule="exact"/>
        <w:ind w:firstLine="105" w:firstLineChars="50"/>
        <w:rPr>
          <w:rFonts w:ascii="宋体" w:cs="宋体"/>
          <w:szCs w:val="21"/>
          <w:highlight w:val="none"/>
        </w:rPr>
      </w:pPr>
      <w:r>
        <w:rPr>
          <w:rFonts w:hint="eastAsia" w:ascii="宋体" w:hAnsi="宋体" w:cs="宋体"/>
          <w:szCs w:val="21"/>
          <w:highlight w:val="none"/>
        </w:rPr>
        <w:t>注：</w:t>
      </w:r>
    </w:p>
    <w:p>
      <w:pPr>
        <w:spacing w:line="400" w:lineRule="exact"/>
        <w:ind w:firstLine="420" w:firstLineChars="200"/>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、缺项得</w:t>
      </w:r>
      <w:r>
        <w:rPr>
          <w:rFonts w:ascii="宋体" w:cs="宋体"/>
          <w:szCs w:val="21"/>
          <w:highlight w:val="none"/>
        </w:rPr>
        <w:t>0</w:t>
      </w:r>
      <w:r>
        <w:rPr>
          <w:rFonts w:hint="eastAsia" w:ascii="宋体" w:hAnsi="宋体" w:cs="宋体"/>
          <w:szCs w:val="21"/>
          <w:highlight w:val="none"/>
        </w:rPr>
        <w:t>分</w:t>
      </w:r>
    </w:p>
    <w:p>
      <w:pPr>
        <w:spacing w:line="400" w:lineRule="exact"/>
        <w:ind w:firstLine="420" w:firstLineChars="200"/>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、评分保留两位小数</w:t>
      </w:r>
    </w:p>
    <w:p>
      <w:pPr>
        <w:spacing w:line="360" w:lineRule="auto"/>
        <w:rPr>
          <w:rFonts w:ascii="宋体" w:cs="宋体"/>
          <w:szCs w:val="21"/>
          <w:highlight w:val="none"/>
        </w:rPr>
      </w:pPr>
      <w:r>
        <w:rPr>
          <w:rFonts w:hint="eastAsia" w:ascii="宋体" w:hAnsi="宋体" w:cs="宋体"/>
          <w:szCs w:val="21"/>
          <w:highlight w:val="none"/>
        </w:rPr>
        <w:t>三、</w:t>
      </w:r>
      <w:r>
        <w:rPr>
          <w:rFonts w:hint="eastAsia" w:ascii="宋体" w:hAnsi="宋体" w:cs="宋体"/>
          <w:b/>
          <w:szCs w:val="21"/>
          <w:highlight w:val="none"/>
        </w:rPr>
        <w:t>投标报价（</w:t>
      </w:r>
      <w:r>
        <w:rPr>
          <w:rFonts w:ascii="宋体" w:hAnsi="宋体" w:cs="宋体"/>
          <w:b/>
          <w:szCs w:val="21"/>
          <w:highlight w:val="none"/>
        </w:rPr>
        <w:t>60</w:t>
      </w:r>
      <w:r>
        <w:rPr>
          <w:rFonts w:hint="eastAsia" w:ascii="宋体" w:hAnsi="宋体" w:cs="宋体"/>
          <w:b/>
          <w:szCs w:val="21"/>
          <w:highlight w:val="none"/>
        </w:rPr>
        <w:t>分）（分数代码</w:t>
      </w:r>
      <w:r>
        <w:rPr>
          <w:rFonts w:ascii="宋体" w:hAnsi="宋体" w:cs="宋体"/>
          <w:b/>
          <w:szCs w:val="21"/>
          <w:highlight w:val="none"/>
        </w:rPr>
        <w:t>A3</w:t>
      </w:r>
      <w:r>
        <w:rPr>
          <w:rFonts w:hint="eastAsia" w:ascii="宋体" w:hAnsi="宋体" w:cs="宋体"/>
          <w:b/>
          <w:szCs w:val="21"/>
          <w:highlight w:val="none"/>
        </w:rPr>
        <w:t>）</w:t>
      </w:r>
    </w:p>
    <w:p>
      <w:pPr>
        <w:tabs>
          <w:tab w:val="left" w:pos="-100"/>
        </w:tabs>
        <w:autoSpaceDE w:val="0"/>
        <w:autoSpaceDN w:val="0"/>
        <w:adjustRightInd w:val="0"/>
        <w:spacing w:line="360" w:lineRule="auto"/>
        <w:ind w:left="-105" w:leftChars="-50" w:firstLine="86" w:firstLineChars="41"/>
        <w:rPr>
          <w:rFonts w:ascii="宋体" w:cs="宋体"/>
          <w:szCs w:val="21"/>
          <w:highlight w:val="none"/>
          <w:lang w:val="zh-CN"/>
        </w:rPr>
      </w:pPr>
      <w:r>
        <w:rPr>
          <w:rFonts w:ascii="宋体" w:hAnsi="宋体" w:cs="宋体"/>
          <w:szCs w:val="21"/>
          <w:highlight w:val="none"/>
          <w:lang w:val="zh-CN"/>
        </w:rPr>
        <w:t>1</w:t>
      </w:r>
      <w:r>
        <w:rPr>
          <w:rFonts w:hint="eastAsia" w:ascii="宋体" w:hAnsi="宋体" w:cs="宋体"/>
          <w:szCs w:val="21"/>
          <w:highlight w:val="none"/>
          <w:lang w:val="zh-CN"/>
        </w:rPr>
        <w:t>、本项目设置控制价；</w:t>
      </w:r>
    </w:p>
    <w:p>
      <w:pPr>
        <w:widowControl/>
        <w:tabs>
          <w:tab w:val="left" w:pos="420"/>
        </w:tabs>
        <w:autoSpaceDE w:val="0"/>
        <w:autoSpaceDN w:val="0"/>
        <w:adjustRightInd w:val="0"/>
        <w:spacing w:line="360" w:lineRule="auto"/>
        <w:ind w:left="31680" w:hanging="525" w:hangingChars="250"/>
        <w:jc w:val="left"/>
        <w:rPr>
          <w:rFonts w:ascii="宋体" w:cs="宋体"/>
          <w:b/>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w:t>
      </w:r>
      <w:r>
        <w:rPr>
          <w:rFonts w:hint="eastAsia" w:ascii="宋体" w:hAnsi="宋体" w:cs="宋体"/>
          <w:b/>
          <w:szCs w:val="21"/>
          <w:highlight w:val="none"/>
        </w:rPr>
        <w:t>本招标工程招标控制价：人民币</w:t>
      </w:r>
      <w:r>
        <w:rPr>
          <w:rFonts w:hint="eastAsia" w:ascii="宋体" w:hAnsi="宋体" w:cs="宋体"/>
          <w:b/>
          <w:szCs w:val="21"/>
          <w:highlight w:val="none"/>
          <w:lang w:val="en-US" w:eastAsia="zh-CN"/>
        </w:rPr>
        <w:t>35.374552</w:t>
      </w:r>
      <w:r>
        <w:rPr>
          <w:rFonts w:hint="eastAsia" w:ascii="宋体" w:hAnsi="宋体" w:cs="宋体"/>
          <w:b/>
          <w:szCs w:val="21"/>
          <w:highlight w:val="none"/>
        </w:rPr>
        <w:t>万元。</w:t>
      </w:r>
    </w:p>
    <w:p>
      <w:pPr>
        <w:tabs>
          <w:tab w:val="left" w:pos="69"/>
        </w:tabs>
        <w:spacing w:line="360" w:lineRule="auto"/>
        <w:rPr>
          <w:rFonts w:ascii="宋体" w:cs="宋体"/>
          <w:bCs/>
          <w:szCs w:val="21"/>
          <w:highlight w:val="none"/>
        </w:rPr>
      </w:pPr>
      <w:r>
        <w:rPr>
          <w:rFonts w:hint="eastAsia" w:ascii="宋体" w:hAnsi="宋体" w:cs="宋体"/>
          <w:bCs/>
          <w:szCs w:val="21"/>
          <w:highlight w:val="none"/>
        </w:rPr>
        <w:t>（</w:t>
      </w:r>
      <w:r>
        <w:rPr>
          <w:rFonts w:ascii="宋体" w:hAnsi="宋体" w:cs="宋体"/>
          <w:bCs/>
          <w:szCs w:val="21"/>
          <w:highlight w:val="none"/>
        </w:rPr>
        <w:t>2</w:t>
      </w:r>
      <w:r>
        <w:rPr>
          <w:rFonts w:hint="eastAsia" w:ascii="宋体" w:hAnsi="宋体" w:cs="宋体"/>
          <w:bCs/>
          <w:szCs w:val="21"/>
          <w:highlight w:val="none"/>
        </w:rPr>
        <w:t>）评标基准价计算方法</w:t>
      </w:r>
    </w:p>
    <w:p>
      <w:pPr>
        <w:spacing w:line="360" w:lineRule="auto"/>
        <w:rPr>
          <w:rFonts w:ascii="宋体" w:cs="宋体"/>
          <w:b/>
          <w:bCs/>
          <w:szCs w:val="21"/>
          <w:highlight w:val="none"/>
          <w:u w:val="single"/>
        </w:rPr>
      </w:pPr>
      <w:r>
        <w:rPr>
          <w:rFonts w:hint="eastAsia" w:ascii="宋体" w:hAnsi="宋体" w:cs="宋体"/>
          <w:b/>
          <w:bCs/>
          <w:szCs w:val="21"/>
          <w:highlight w:val="none"/>
          <w:u w:val="single"/>
        </w:rPr>
        <w:t>评标价格</w:t>
      </w:r>
      <w:r>
        <w:rPr>
          <w:rFonts w:ascii="宋体" w:hAnsi="宋体" w:cs="宋体"/>
          <w:b/>
          <w:bCs/>
          <w:szCs w:val="21"/>
          <w:highlight w:val="none"/>
          <w:u w:val="single"/>
        </w:rPr>
        <w:t>=</w:t>
      </w:r>
      <w:r>
        <w:rPr>
          <w:rFonts w:hint="eastAsia" w:ascii="宋体" w:hAnsi="宋体" w:cs="宋体"/>
          <w:b/>
          <w:bCs/>
          <w:szCs w:val="21"/>
          <w:highlight w:val="none"/>
          <w:u w:val="single"/>
        </w:rPr>
        <w:t>各有效投标的投标总报价</w:t>
      </w:r>
      <w:r>
        <w:rPr>
          <w:rFonts w:ascii="宋体" w:cs="宋体"/>
          <w:b/>
          <w:bCs/>
          <w:szCs w:val="21"/>
          <w:highlight w:val="none"/>
          <w:u w:val="single"/>
        </w:rPr>
        <w:t>-</w:t>
      </w:r>
      <w:r>
        <w:rPr>
          <w:rFonts w:hint="eastAsia" w:ascii="宋体" w:hAnsi="宋体" w:cs="宋体"/>
          <w:b/>
          <w:bCs/>
          <w:szCs w:val="21"/>
          <w:highlight w:val="none"/>
          <w:u w:val="single"/>
        </w:rPr>
        <w:t>磋商文件给定的暂估价专业分包工程暂估价合计金额</w:t>
      </w:r>
      <w:r>
        <w:rPr>
          <w:rFonts w:ascii="宋体" w:cs="宋体"/>
          <w:b/>
          <w:bCs/>
          <w:szCs w:val="21"/>
          <w:highlight w:val="none"/>
          <w:u w:val="single"/>
        </w:rPr>
        <w:t>-</w:t>
      </w:r>
      <w:r>
        <w:rPr>
          <w:rFonts w:hint="eastAsia" w:ascii="宋体" w:hAnsi="宋体" w:cs="宋体"/>
          <w:b/>
          <w:bCs/>
          <w:szCs w:val="21"/>
          <w:highlight w:val="none"/>
          <w:u w:val="single"/>
        </w:rPr>
        <w:t>磋商文件给定的材料和工程设备暂估价合计金额</w:t>
      </w:r>
      <w:r>
        <w:rPr>
          <w:rFonts w:ascii="宋体" w:cs="宋体"/>
          <w:b/>
          <w:bCs/>
          <w:szCs w:val="21"/>
          <w:highlight w:val="none"/>
          <w:u w:val="single"/>
        </w:rPr>
        <w:t>-</w:t>
      </w:r>
      <w:r>
        <w:rPr>
          <w:rFonts w:hint="eastAsia" w:ascii="宋体" w:hAnsi="宋体" w:cs="宋体"/>
          <w:b/>
          <w:bCs/>
          <w:szCs w:val="21"/>
          <w:highlight w:val="none"/>
          <w:u w:val="single"/>
        </w:rPr>
        <w:t>磋商文件给定的暂列金额合计金额。</w:t>
      </w:r>
    </w:p>
    <w:p>
      <w:pPr>
        <w:spacing w:line="360" w:lineRule="auto"/>
        <w:rPr>
          <w:rFonts w:ascii="宋体" w:cs="宋体"/>
          <w:b/>
          <w:bCs/>
          <w:szCs w:val="21"/>
          <w:highlight w:val="none"/>
          <w:u w:val="single"/>
        </w:rPr>
      </w:pPr>
      <w:r>
        <w:rPr>
          <w:rFonts w:hint="eastAsia" w:ascii="宋体" w:hAnsi="宋体" w:cs="宋体"/>
          <w:b/>
          <w:bCs/>
          <w:szCs w:val="21"/>
          <w:highlight w:val="none"/>
          <w:u w:val="single"/>
        </w:rPr>
        <w:t>评标基准价</w:t>
      </w:r>
      <w:r>
        <w:rPr>
          <w:rFonts w:ascii="宋体" w:hAnsi="宋体" w:cs="宋体"/>
          <w:b/>
          <w:bCs/>
          <w:szCs w:val="21"/>
          <w:highlight w:val="none"/>
          <w:u w:val="single"/>
        </w:rPr>
        <w:t>=</w:t>
      </w:r>
      <w:r>
        <w:rPr>
          <w:rFonts w:hint="eastAsia" w:ascii="宋体" w:hAnsi="宋体" w:cs="宋体"/>
          <w:b/>
          <w:bCs/>
          <w:szCs w:val="21"/>
          <w:highlight w:val="none"/>
          <w:u w:val="single"/>
        </w:rPr>
        <w:t>各有效投标报价去掉最高和最低各</w:t>
      </w:r>
      <w:r>
        <w:rPr>
          <w:rFonts w:ascii="宋体" w:hAnsi="宋体" w:cs="宋体"/>
          <w:b/>
          <w:bCs/>
          <w:szCs w:val="21"/>
          <w:highlight w:val="none"/>
          <w:u w:val="single"/>
        </w:rPr>
        <w:t>N</w:t>
      </w:r>
      <w:r>
        <w:rPr>
          <w:rFonts w:hint="eastAsia" w:ascii="宋体" w:hAnsi="宋体" w:cs="宋体"/>
          <w:b/>
          <w:bCs/>
          <w:szCs w:val="21"/>
          <w:highlight w:val="none"/>
          <w:u w:val="single"/>
        </w:rPr>
        <w:t>家后的评标价格的算术值。</w:t>
      </w:r>
    </w:p>
    <w:p>
      <w:pPr>
        <w:spacing w:line="360" w:lineRule="auto"/>
        <w:rPr>
          <w:rFonts w:ascii="宋体" w:cs="宋体"/>
          <w:b/>
          <w:bCs/>
          <w:szCs w:val="21"/>
          <w:highlight w:val="none"/>
          <w:u w:val="single"/>
        </w:rPr>
      </w:pPr>
      <w:r>
        <w:rPr>
          <w:rFonts w:hint="eastAsia" w:ascii="宋体" w:hAnsi="宋体" w:cs="宋体"/>
          <w:b/>
          <w:bCs/>
          <w:szCs w:val="21"/>
          <w:highlight w:val="none"/>
          <w:u w:val="single"/>
        </w:rPr>
        <w:t>注：当有效投标家数</w:t>
      </w:r>
      <w:r>
        <w:rPr>
          <w:rFonts w:ascii="宋体" w:hAnsi="宋体" w:cs="宋体"/>
          <w:b/>
          <w:bCs/>
          <w:szCs w:val="21"/>
          <w:highlight w:val="none"/>
          <w:u w:val="single"/>
        </w:rPr>
        <w:t>X</w:t>
      </w:r>
      <w:r>
        <w:rPr>
          <w:rFonts w:hint="eastAsia" w:ascii="宋体" w:hAnsi="宋体" w:cs="宋体"/>
          <w:b/>
          <w:bCs/>
          <w:szCs w:val="21"/>
          <w:highlight w:val="none"/>
          <w:u w:val="single"/>
        </w:rPr>
        <w:t>≧</w:t>
      </w:r>
      <w:r>
        <w:rPr>
          <w:rFonts w:ascii="宋体" w:hAnsi="宋体" w:cs="宋体"/>
          <w:b/>
          <w:bCs/>
          <w:szCs w:val="21"/>
          <w:highlight w:val="none"/>
          <w:u w:val="single"/>
        </w:rPr>
        <w:t xml:space="preserve">5 </w:t>
      </w:r>
      <w:r>
        <w:rPr>
          <w:rFonts w:hint="eastAsia" w:ascii="宋体" w:hAnsi="宋体" w:cs="宋体"/>
          <w:b/>
          <w:bCs/>
          <w:szCs w:val="21"/>
          <w:highlight w:val="none"/>
          <w:u w:val="single"/>
        </w:rPr>
        <w:t>时，</w:t>
      </w:r>
      <w:r>
        <w:rPr>
          <w:rFonts w:ascii="宋体" w:hAnsi="宋体" w:cs="宋体"/>
          <w:b/>
          <w:bCs/>
          <w:szCs w:val="21"/>
          <w:highlight w:val="none"/>
          <w:u w:val="single"/>
        </w:rPr>
        <w:t xml:space="preserve">N= 1  </w:t>
      </w:r>
      <w:r>
        <w:rPr>
          <w:rFonts w:hint="eastAsia" w:ascii="宋体" w:hAnsi="宋体" w:cs="宋体"/>
          <w:b/>
          <w:bCs/>
          <w:szCs w:val="21"/>
          <w:highlight w:val="none"/>
          <w:u w:val="single"/>
        </w:rPr>
        <w:t>；</w:t>
      </w:r>
    </w:p>
    <w:p>
      <w:pPr>
        <w:spacing w:line="360" w:lineRule="auto"/>
        <w:ind w:firstLine="413" w:firstLineChars="196"/>
        <w:rPr>
          <w:rFonts w:ascii="宋体" w:cs="宋体"/>
          <w:b/>
          <w:bCs/>
          <w:szCs w:val="21"/>
          <w:highlight w:val="none"/>
        </w:rPr>
      </w:pPr>
      <w:r>
        <w:rPr>
          <w:rFonts w:hint="eastAsia" w:ascii="宋体" w:hAnsi="宋体" w:cs="宋体"/>
          <w:b/>
          <w:bCs/>
          <w:szCs w:val="21"/>
          <w:highlight w:val="none"/>
          <w:u w:val="single"/>
        </w:rPr>
        <w:t>当有效投标家数</w:t>
      </w:r>
      <w:r>
        <w:rPr>
          <w:rFonts w:ascii="宋体" w:hAnsi="宋体" w:cs="宋体"/>
          <w:b/>
          <w:bCs/>
          <w:szCs w:val="21"/>
          <w:highlight w:val="none"/>
          <w:u w:val="single"/>
        </w:rPr>
        <w:t>X</w:t>
      </w:r>
      <w:r>
        <w:rPr>
          <w:rFonts w:hint="eastAsia" w:ascii="宋体" w:hAnsi="宋体" w:cs="宋体"/>
          <w:b/>
          <w:bCs/>
          <w:szCs w:val="21"/>
          <w:highlight w:val="none"/>
          <w:u w:val="single"/>
        </w:rPr>
        <w:t>﹤</w:t>
      </w:r>
      <w:r>
        <w:rPr>
          <w:rFonts w:ascii="宋体" w:hAnsi="宋体" w:cs="宋体"/>
          <w:b/>
          <w:bCs/>
          <w:szCs w:val="21"/>
          <w:highlight w:val="none"/>
          <w:u w:val="single"/>
        </w:rPr>
        <w:t xml:space="preserve">5 </w:t>
      </w:r>
      <w:r>
        <w:rPr>
          <w:rFonts w:hint="eastAsia" w:ascii="宋体" w:hAnsi="宋体" w:cs="宋体"/>
          <w:b/>
          <w:bCs/>
          <w:szCs w:val="21"/>
          <w:highlight w:val="none"/>
          <w:u w:val="single"/>
        </w:rPr>
        <w:t>时，</w:t>
      </w:r>
      <w:r>
        <w:rPr>
          <w:rFonts w:ascii="宋体" w:hAnsi="宋体" w:cs="宋体"/>
          <w:b/>
          <w:bCs/>
          <w:szCs w:val="21"/>
          <w:highlight w:val="none"/>
          <w:u w:val="single"/>
        </w:rPr>
        <w:t xml:space="preserve">N= 0  </w:t>
      </w:r>
      <w:r>
        <w:rPr>
          <w:rFonts w:hint="eastAsia" w:ascii="宋体" w:hAnsi="宋体" w:cs="宋体"/>
          <w:b/>
          <w:bCs/>
          <w:szCs w:val="21"/>
          <w:highlight w:val="none"/>
        </w:rPr>
        <w:t>。</w:t>
      </w:r>
    </w:p>
    <w:p>
      <w:pPr>
        <w:tabs>
          <w:tab w:val="left" w:pos="69"/>
        </w:tabs>
        <w:spacing w:line="360" w:lineRule="auto"/>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）投标人的最终评标价与基准价比较计算公式：</w:t>
      </w:r>
    </w:p>
    <w:p>
      <w:pPr>
        <w:tabs>
          <w:tab w:val="left" w:pos="69"/>
        </w:tabs>
        <w:spacing w:line="360" w:lineRule="auto"/>
        <w:ind w:firstLine="525" w:firstLineChars="250"/>
        <w:rPr>
          <w:rFonts w:ascii="宋体" w:hAnsi="宋体" w:cs="宋体"/>
          <w:szCs w:val="21"/>
          <w:highlight w:val="none"/>
        </w:rPr>
      </w:pPr>
      <w:r>
        <w:rPr>
          <w:rFonts w:ascii="宋体" w:hAnsi="宋体" w:cs="宋体"/>
          <w:szCs w:val="21"/>
          <w:highlight w:val="none"/>
        </w:rPr>
        <w:t>a=</w:t>
      </w:r>
      <w:r>
        <w:rPr>
          <w:rFonts w:hint="eastAsia" w:ascii="宋体" w:hAnsi="宋体" w:cs="宋体"/>
          <w:szCs w:val="21"/>
          <w:highlight w:val="none"/>
        </w:rPr>
        <w:t>【（各最终评标价）</w:t>
      </w:r>
      <w:r>
        <w:rPr>
          <w:rFonts w:ascii="宋体" w:hAnsi="宋体" w:cs="宋体"/>
          <w:szCs w:val="21"/>
          <w:highlight w:val="none"/>
        </w:rPr>
        <w:t>—</w:t>
      </w:r>
      <w:r>
        <w:rPr>
          <w:rFonts w:hint="eastAsia" w:ascii="宋体" w:hAnsi="宋体" w:cs="宋体"/>
          <w:szCs w:val="21"/>
          <w:highlight w:val="none"/>
        </w:rPr>
        <w:t>基准价】／基准价×</w:t>
      </w:r>
      <w:r>
        <w:rPr>
          <w:rFonts w:ascii="宋体" w:hAnsi="宋体" w:cs="宋体"/>
          <w:szCs w:val="21"/>
          <w:highlight w:val="none"/>
        </w:rPr>
        <w:t>100%</w:t>
      </w:r>
    </w:p>
    <w:p>
      <w:pPr>
        <w:tabs>
          <w:tab w:val="left" w:pos="69"/>
        </w:tabs>
        <w:spacing w:line="360" w:lineRule="auto"/>
        <w:rPr>
          <w:rFonts w:ascii="宋体"/>
          <w:sz w:val="24"/>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）有效投标报价评分表</w:t>
      </w:r>
      <w:r>
        <w:rPr>
          <w:rFonts w:ascii="宋体" w:hAnsi="宋体" w:cs="宋体"/>
          <w:szCs w:val="21"/>
          <w:highlight w:val="none"/>
        </w:rPr>
        <w:t>(60</w:t>
      </w:r>
      <w:r>
        <w:rPr>
          <w:rFonts w:hint="eastAsia" w:ascii="宋体" w:hAnsi="宋体" w:cs="宋体"/>
          <w:szCs w:val="21"/>
          <w:highlight w:val="none"/>
        </w:rPr>
        <w:t>分</w:t>
      </w:r>
      <w:r>
        <w:rPr>
          <w:rFonts w:ascii="宋体" w:hAnsi="宋体" w:cs="宋体"/>
          <w:szCs w:val="21"/>
          <w:highlight w:val="none"/>
        </w:rPr>
        <w:t>)</w:t>
      </w:r>
      <w:r>
        <w:rPr>
          <w:rFonts w:hint="eastAsia" w:ascii="宋体" w:hAnsi="宋体" w:cs="宋体"/>
          <w:szCs w:val="21"/>
          <w:highlight w:val="none"/>
        </w:rPr>
        <w:t>（分数代码</w:t>
      </w:r>
      <w:r>
        <w:rPr>
          <w:rFonts w:ascii="宋体" w:hAnsi="宋体" w:cs="宋体"/>
          <w:szCs w:val="21"/>
          <w:highlight w:val="none"/>
        </w:rPr>
        <w:t>A3</w:t>
      </w:r>
      <w:r>
        <w:rPr>
          <w:rFonts w:hint="eastAsia" w:ascii="宋体" w:hAnsi="宋体" w:cs="宋体"/>
          <w:szCs w:val="21"/>
          <w:highlight w:val="none"/>
        </w:rPr>
        <w:t>）</w:t>
      </w:r>
    </w:p>
    <w:tbl>
      <w:tblPr>
        <w:tblStyle w:val="60"/>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675"/>
        <w:gridCol w:w="1772"/>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b/>
                <w:bCs/>
                <w:szCs w:val="21"/>
                <w:highlight w:val="none"/>
              </w:rPr>
            </w:pPr>
            <w:r>
              <w:rPr>
                <w:rFonts w:hint="eastAsia" w:ascii="宋体" w:hAnsi="宋体"/>
                <w:b/>
                <w:bCs/>
                <w:szCs w:val="21"/>
                <w:highlight w:val="none"/>
              </w:rPr>
              <w:t>序号</w:t>
            </w:r>
          </w:p>
        </w:tc>
        <w:tc>
          <w:tcPr>
            <w:tcW w:w="3675" w:type="dxa"/>
            <w:vAlign w:val="center"/>
          </w:tcPr>
          <w:p>
            <w:pPr>
              <w:jc w:val="center"/>
              <w:rPr>
                <w:rFonts w:ascii="宋体"/>
                <w:b/>
                <w:bCs/>
                <w:szCs w:val="21"/>
                <w:highlight w:val="none"/>
              </w:rPr>
            </w:pPr>
            <w:r>
              <w:rPr>
                <w:rFonts w:hint="eastAsia" w:ascii="宋体" w:hAnsi="宋体"/>
                <w:b/>
                <w:bCs/>
                <w:szCs w:val="21"/>
                <w:highlight w:val="none"/>
              </w:rPr>
              <w:t>与基准价相比</w:t>
            </w:r>
          </w:p>
        </w:tc>
        <w:tc>
          <w:tcPr>
            <w:tcW w:w="1772" w:type="dxa"/>
            <w:vAlign w:val="center"/>
          </w:tcPr>
          <w:p>
            <w:pPr>
              <w:jc w:val="center"/>
              <w:rPr>
                <w:rFonts w:ascii="宋体"/>
                <w:b/>
                <w:bCs/>
                <w:szCs w:val="21"/>
                <w:highlight w:val="none"/>
              </w:rPr>
            </w:pPr>
            <w:r>
              <w:rPr>
                <w:rFonts w:hint="eastAsia" w:ascii="宋体" w:hAnsi="宋体"/>
                <w:b/>
                <w:bCs/>
                <w:szCs w:val="21"/>
                <w:highlight w:val="none"/>
              </w:rPr>
              <w:t>得分</w:t>
            </w:r>
          </w:p>
        </w:tc>
        <w:tc>
          <w:tcPr>
            <w:tcW w:w="2538" w:type="dxa"/>
            <w:vAlign w:val="center"/>
          </w:tcPr>
          <w:p>
            <w:pPr>
              <w:jc w:val="center"/>
              <w:rPr>
                <w:rFonts w:ascii="宋体"/>
                <w:b/>
                <w:bCs/>
                <w:szCs w:val="21"/>
                <w:highlight w:val="none"/>
              </w:rPr>
            </w:pPr>
            <w:r>
              <w:rPr>
                <w:rFonts w:hint="eastAsia" w:ascii="宋体" w:hAnsi="宋体"/>
                <w:b/>
                <w:bCs/>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1</w:t>
            </w:r>
          </w:p>
        </w:tc>
        <w:tc>
          <w:tcPr>
            <w:tcW w:w="3675" w:type="dxa"/>
            <w:vAlign w:val="center"/>
          </w:tcPr>
          <w:p>
            <w:pPr>
              <w:jc w:val="center"/>
              <w:rPr>
                <w:rFonts w:ascii="宋体"/>
                <w:szCs w:val="21"/>
                <w:highlight w:val="none"/>
              </w:rPr>
            </w:pPr>
            <w:r>
              <w:rPr>
                <w:rFonts w:ascii="宋体" w:hAnsi="宋体"/>
                <w:szCs w:val="21"/>
                <w:highlight w:val="none"/>
              </w:rPr>
              <w:t>-5%</w:t>
            </w:r>
            <w:r>
              <w:rPr>
                <w:rFonts w:hint="eastAsia" w:ascii="宋体" w:hAnsi="宋体"/>
                <w:szCs w:val="21"/>
                <w:highlight w:val="none"/>
              </w:rPr>
              <w:t>以外</w:t>
            </w:r>
          </w:p>
        </w:tc>
        <w:tc>
          <w:tcPr>
            <w:tcW w:w="1772" w:type="dxa"/>
            <w:vAlign w:val="center"/>
          </w:tcPr>
          <w:p>
            <w:pPr>
              <w:jc w:val="center"/>
              <w:rPr>
                <w:rFonts w:ascii="宋体"/>
                <w:szCs w:val="21"/>
                <w:highlight w:val="none"/>
              </w:rPr>
            </w:pPr>
            <w:r>
              <w:rPr>
                <w:rFonts w:hint="eastAsia" w:ascii="宋体" w:hAnsi="宋体"/>
                <w:szCs w:val="21"/>
                <w:highlight w:val="none"/>
              </w:rPr>
              <w:t>见注</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2</w:t>
            </w:r>
          </w:p>
        </w:tc>
        <w:tc>
          <w:tcPr>
            <w:tcW w:w="3675" w:type="dxa"/>
            <w:vAlign w:val="center"/>
          </w:tcPr>
          <w:p>
            <w:pPr>
              <w:jc w:val="center"/>
              <w:rPr>
                <w:rFonts w:ascii="宋体"/>
                <w:szCs w:val="21"/>
                <w:highlight w:val="none"/>
              </w:rPr>
            </w:pPr>
            <w:r>
              <w:rPr>
                <w:rFonts w:ascii="宋体" w:hAnsi="宋体"/>
                <w:szCs w:val="21"/>
                <w:highlight w:val="none"/>
              </w:rPr>
              <w:t>-5%</w:t>
            </w:r>
            <w:r>
              <w:rPr>
                <w:rFonts w:hint="eastAsia" w:ascii="宋体" w:hAnsi="宋体"/>
                <w:szCs w:val="21"/>
                <w:highlight w:val="none"/>
              </w:rPr>
              <w:t>～</w:t>
            </w:r>
            <w:r>
              <w:rPr>
                <w:rFonts w:ascii="宋体" w:hAnsi="宋体"/>
                <w:szCs w:val="21"/>
                <w:highlight w:val="none"/>
              </w:rPr>
              <w:t>-4%</w:t>
            </w:r>
            <w:r>
              <w:rPr>
                <w:rFonts w:hint="eastAsia" w:ascii="宋体" w:hAnsi="宋体"/>
                <w:szCs w:val="21"/>
                <w:highlight w:val="none"/>
              </w:rPr>
              <w:t>（含</w:t>
            </w:r>
            <w:r>
              <w:rPr>
                <w:rFonts w:ascii="宋体" w:hAnsi="宋体"/>
                <w:szCs w:val="21"/>
                <w:highlight w:val="none"/>
              </w:rPr>
              <w:t>-4%</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88</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3</w:t>
            </w:r>
          </w:p>
        </w:tc>
        <w:tc>
          <w:tcPr>
            <w:tcW w:w="3675" w:type="dxa"/>
            <w:vAlign w:val="center"/>
          </w:tcPr>
          <w:p>
            <w:pPr>
              <w:jc w:val="center"/>
              <w:rPr>
                <w:rFonts w:ascii="宋体"/>
                <w:szCs w:val="21"/>
                <w:highlight w:val="none"/>
              </w:rPr>
            </w:pPr>
            <w:r>
              <w:rPr>
                <w:rFonts w:ascii="宋体" w:hAnsi="宋体"/>
                <w:szCs w:val="21"/>
                <w:highlight w:val="none"/>
              </w:rPr>
              <w:t>-4%</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（含</w:t>
            </w:r>
            <w:r>
              <w:rPr>
                <w:rFonts w:ascii="宋体" w:hAnsi="宋体"/>
                <w:szCs w:val="21"/>
                <w:highlight w:val="none"/>
              </w:rPr>
              <w:t>-3%</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91</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4</w:t>
            </w:r>
          </w:p>
        </w:tc>
        <w:tc>
          <w:tcPr>
            <w:tcW w:w="3675" w:type="dxa"/>
            <w:vAlign w:val="center"/>
          </w:tcPr>
          <w:p>
            <w:pPr>
              <w:jc w:val="center"/>
              <w:rPr>
                <w:rFonts w:ascii="宋体"/>
                <w:szCs w:val="21"/>
                <w:highlight w:val="none"/>
              </w:rPr>
            </w:pPr>
            <w:r>
              <w:rPr>
                <w:rFonts w:ascii="宋体" w:hAnsi="宋体"/>
                <w:szCs w:val="21"/>
                <w:highlight w:val="none"/>
              </w:rPr>
              <w:t>-3%</w:t>
            </w: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（含</w:t>
            </w:r>
            <w:r>
              <w:rPr>
                <w:rFonts w:ascii="宋体" w:hAnsi="宋体"/>
                <w:szCs w:val="21"/>
                <w:highlight w:val="none"/>
              </w:rPr>
              <w:t>-2%</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94</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5</w:t>
            </w:r>
          </w:p>
        </w:tc>
        <w:tc>
          <w:tcPr>
            <w:tcW w:w="3675" w:type="dxa"/>
            <w:vAlign w:val="center"/>
          </w:tcPr>
          <w:p>
            <w:pPr>
              <w:jc w:val="center"/>
              <w:rPr>
                <w:rFonts w:ascii="宋体"/>
                <w:szCs w:val="21"/>
                <w:highlight w:val="none"/>
              </w:rPr>
            </w:pPr>
            <w:r>
              <w:rPr>
                <w:rFonts w:ascii="宋体" w:hAnsi="宋体"/>
                <w:szCs w:val="21"/>
                <w:highlight w:val="none"/>
              </w:rPr>
              <w:t>-2%</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（含</w:t>
            </w:r>
            <w:r>
              <w:rPr>
                <w:rFonts w:ascii="宋体" w:hAnsi="宋体"/>
                <w:szCs w:val="21"/>
                <w:highlight w:val="none"/>
              </w:rPr>
              <w:t>-1%</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97</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6</w:t>
            </w:r>
          </w:p>
        </w:tc>
        <w:tc>
          <w:tcPr>
            <w:tcW w:w="3675" w:type="dxa"/>
            <w:vAlign w:val="center"/>
          </w:tcPr>
          <w:p>
            <w:pPr>
              <w:jc w:val="center"/>
              <w:rPr>
                <w:rFonts w:ascii="宋体"/>
                <w:szCs w:val="21"/>
                <w:highlight w:val="none"/>
              </w:rPr>
            </w:pPr>
            <w:r>
              <w:rPr>
                <w:rFonts w:ascii="宋体" w:hAnsi="宋体"/>
                <w:szCs w:val="21"/>
                <w:highlight w:val="none"/>
              </w:rPr>
              <w:t>-1%</w:t>
            </w:r>
            <w:r>
              <w:rPr>
                <w:rFonts w:hint="eastAsia" w:ascii="宋体" w:hAnsi="宋体"/>
                <w:szCs w:val="21"/>
                <w:highlight w:val="none"/>
              </w:rPr>
              <w:t>～</w:t>
            </w:r>
            <w:r>
              <w:rPr>
                <w:rFonts w:ascii="宋体" w:hAnsi="宋体"/>
                <w:szCs w:val="21"/>
                <w:highlight w:val="none"/>
              </w:rPr>
              <w:t>0%</w:t>
            </w:r>
            <w:r>
              <w:rPr>
                <w:rFonts w:hint="eastAsia" w:ascii="宋体" w:hAnsi="宋体"/>
                <w:szCs w:val="21"/>
                <w:highlight w:val="none"/>
              </w:rPr>
              <w:t>（含</w:t>
            </w:r>
            <w:r>
              <w:rPr>
                <w:rFonts w:ascii="宋体" w:hAnsi="宋体"/>
                <w:szCs w:val="21"/>
                <w:highlight w:val="none"/>
              </w:rPr>
              <w:t>0%</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100</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7</w:t>
            </w:r>
          </w:p>
        </w:tc>
        <w:tc>
          <w:tcPr>
            <w:tcW w:w="3675" w:type="dxa"/>
            <w:vAlign w:val="center"/>
          </w:tcPr>
          <w:p>
            <w:pPr>
              <w:jc w:val="center"/>
              <w:rPr>
                <w:rFonts w:ascii="宋体"/>
                <w:szCs w:val="21"/>
                <w:highlight w:val="none"/>
              </w:rPr>
            </w:pPr>
            <w:r>
              <w:rPr>
                <w:rFonts w:ascii="宋体" w:hAnsi="宋体"/>
                <w:szCs w:val="21"/>
                <w:highlight w:val="none"/>
              </w:rPr>
              <w:t>0%</w:t>
            </w:r>
            <w:r>
              <w:rPr>
                <w:rFonts w:hint="eastAsia" w:ascii="宋体" w:hAnsi="宋体"/>
                <w:szCs w:val="21"/>
                <w:highlight w:val="none"/>
              </w:rPr>
              <w:t>～</w:t>
            </w:r>
            <w:r>
              <w:rPr>
                <w:rFonts w:ascii="宋体" w:hAnsi="宋体"/>
                <w:szCs w:val="21"/>
                <w:highlight w:val="none"/>
              </w:rPr>
              <w:t>1%</w:t>
            </w:r>
            <w:r>
              <w:rPr>
                <w:rFonts w:hint="eastAsia" w:ascii="宋体" w:hAnsi="宋体"/>
                <w:szCs w:val="21"/>
                <w:highlight w:val="none"/>
              </w:rPr>
              <w:t>（含</w:t>
            </w:r>
            <w:r>
              <w:rPr>
                <w:rFonts w:ascii="宋体" w:hAnsi="宋体"/>
                <w:szCs w:val="21"/>
                <w:highlight w:val="none"/>
              </w:rPr>
              <w:t>1%</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95</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8</w:t>
            </w:r>
          </w:p>
        </w:tc>
        <w:tc>
          <w:tcPr>
            <w:tcW w:w="3675" w:type="dxa"/>
            <w:vAlign w:val="center"/>
          </w:tcPr>
          <w:p>
            <w:pPr>
              <w:jc w:val="center"/>
              <w:rPr>
                <w:rFonts w:ascii="宋体" w:cs="黑体"/>
                <w:szCs w:val="21"/>
                <w:highlight w:val="none"/>
              </w:rPr>
            </w:pPr>
            <w:r>
              <w:rPr>
                <w:rFonts w:ascii="宋体" w:hAnsi="宋体"/>
                <w:szCs w:val="21"/>
                <w:highlight w:val="none"/>
              </w:rPr>
              <w:t>1%</w:t>
            </w: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（含</w:t>
            </w:r>
            <w:r>
              <w:rPr>
                <w:rFonts w:ascii="宋体" w:hAnsi="宋体"/>
                <w:szCs w:val="21"/>
                <w:highlight w:val="none"/>
              </w:rPr>
              <w:t>2%</w:t>
            </w:r>
            <w:r>
              <w:rPr>
                <w:rFonts w:hint="eastAsia" w:ascii="宋体" w:hAnsi="宋体" w:cs="黑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90</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835" w:type="dxa"/>
            <w:vAlign w:val="center"/>
          </w:tcPr>
          <w:p>
            <w:pPr>
              <w:jc w:val="center"/>
              <w:rPr>
                <w:rFonts w:ascii="宋体" w:hAnsi="宋体"/>
                <w:szCs w:val="21"/>
                <w:highlight w:val="none"/>
              </w:rPr>
            </w:pPr>
            <w:r>
              <w:rPr>
                <w:rFonts w:ascii="宋体" w:hAnsi="宋体"/>
                <w:szCs w:val="21"/>
                <w:highlight w:val="none"/>
              </w:rPr>
              <w:t>9</w:t>
            </w:r>
          </w:p>
        </w:tc>
        <w:tc>
          <w:tcPr>
            <w:tcW w:w="3675" w:type="dxa"/>
            <w:vAlign w:val="center"/>
          </w:tcPr>
          <w:p>
            <w:pPr>
              <w:jc w:val="center"/>
              <w:rPr>
                <w:rFonts w:ascii="宋体"/>
                <w:szCs w:val="21"/>
                <w:highlight w:val="none"/>
              </w:rPr>
            </w:pPr>
            <w:r>
              <w:rPr>
                <w:rFonts w:ascii="宋体" w:hAnsi="宋体"/>
                <w:szCs w:val="21"/>
                <w:highlight w:val="none"/>
              </w:rPr>
              <w:t>2%</w:t>
            </w:r>
            <w:r>
              <w:rPr>
                <w:rFonts w:hint="eastAsia" w:ascii="宋体" w:hAnsi="宋体"/>
                <w:szCs w:val="21"/>
                <w:highlight w:val="none"/>
              </w:rPr>
              <w:t>～</w:t>
            </w:r>
            <w:r>
              <w:rPr>
                <w:rFonts w:ascii="宋体" w:hAnsi="宋体"/>
                <w:szCs w:val="21"/>
                <w:highlight w:val="none"/>
              </w:rPr>
              <w:t>3%</w:t>
            </w:r>
            <w:r>
              <w:rPr>
                <w:rFonts w:hint="eastAsia" w:ascii="宋体" w:hAnsi="宋体"/>
                <w:szCs w:val="21"/>
                <w:highlight w:val="none"/>
              </w:rPr>
              <w:t>（含</w:t>
            </w:r>
            <w:r>
              <w:rPr>
                <w:rFonts w:ascii="宋体" w:hAnsi="宋体"/>
                <w:szCs w:val="21"/>
                <w:highlight w:val="none"/>
              </w:rPr>
              <w:t>3%</w:t>
            </w:r>
            <w:r>
              <w:rPr>
                <w:rFonts w:hint="eastAsia" w:ascii="宋体" w:hAnsi="宋体"/>
                <w:szCs w:val="21"/>
                <w:highlight w:val="none"/>
              </w:rPr>
              <w:t>）</w:t>
            </w:r>
          </w:p>
        </w:tc>
        <w:tc>
          <w:tcPr>
            <w:tcW w:w="1772" w:type="dxa"/>
            <w:vAlign w:val="center"/>
          </w:tcPr>
          <w:p>
            <w:pPr>
              <w:jc w:val="center"/>
              <w:rPr>
                <w:rFonts w:ascii="宋体" w:hAnsi="宋体"/>
                <w:szCs w:val="21"/>
                <w:highlight w:val="none"/>
              </w:rPr>
            </w:pPr>
            <w:r>
              <w:rPr>
                <w:rFonts w:ascii="宋体" w:hAnsi="宋体"/>
                <w:szCs w:val="21"/>
                <w:highlight w:val="none"/>
              </w:rPr>
              <w:t>85</w:t>
            </w:r>
          </w:p>
        </w:tc>
        <w:tc>
          <w:tcPr>
            <w:tcW w:w="2538" w:type="dxa"/>
            <w:vAlign w:val="center"/>
          </w:tcPr>
          <w:p>
            <w:pPr>
              <w:jc w:val="cente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835" w:type="dxa"/>
            <w:vAlign w:val="center"/>
          </w:tcPr>
          <w:p>
            <w:pPr>
              <w:jc w:val="center"/>
              <w:rPr>
                <w:rFonts w:ascii="宋体" w:hAnsi="宋体"/>
                <w:szCs w:val="21"/>
                <w:highlight w:val="none"/>
              </w:rPr>
            </w:pPr>
            <w:r>
              <w:rPr>
                <w:rFonts w:ascii="宋体" w:hAnsi="宋体"/>
                <w:szCs w:val="21"/>
                <w:highlight w:val="none"/>
              </w:rPr>
              <w:t>10</w:t>
            </w:r>
          </w:p>
        </w:tc>
        <w:tc>
          <w:tcPr>
            <w:tcW w:w="3675" w:type="dxa"/>
            <w:vAlign w:val="center"/>
          </w:tcPr>
          <w:p>
            <w:pPr>
              <w:jc w:val="center"/>
              <w:rPr>
                <w:rFonts w:ascii="宋体"/>
                <w:szCs w:val="21"/>
                <w:highlight w:val="none"/>
              </w:rPr>
            </w:pPr>
            <w:r>
              <w:rPr>
                <w:rFonts w:ascii="宋体" w:hAnsi="宋体"/>
                <w:szCs w:val="21"/>
                <w:highlight w:val="none"/>
              </w:rPr>
              <w:t>3%</w:t>
            </w:r>
            <w:r>
              <w:rPr>
                <w:rFonts w:hint="eastAsia" w:ascii="宋体" w:hAnsi="宋体"/>
                <w:szCs w:val="21"/>
                <w:highlight w:val="none"/>
              </w:rPr>
              <w:t>以外</w:t>
            </w:r>
          </w:p>
        </w:tc>
        <w:tc>
          <w:tcPr>
            <w:tcW w:w="1772" w:type="dxa"/>
            <w:vAlign w:val="center"/>
          </w:tcPr>
          <w:p>
            <w:pPr>
              <w:jc w:val="center"/>
              <w:rPr>
                <w:rFonts w:ascii="宋体"/>
                <w:szCs w:val="21"/>
                <w:highlight w:val="none"/>
              </w:rPr>
            </w:pPr>
            <w:r>
              <w:rPr>
                <w:rFonts w:hint="eastAsia" w:ascii="宋体" w:hAnsi="宋体"/>
                <w:szCs w:val="21"/>
                <w:highlight w:val="none"/>
              </w:rPr>
              <w:t>见注</w:t>
            </w:r>
          </w:p>
        </w:tc>
        <w:tc>
          <w:tcPr>
            <w:tcW w:w="2538" w:type="dxa"/>
            <w:vAlign w:val="center"/>
          </w:tcPr>
          <w:p>
            <w:pPr>
              <w:jc w:val="center"/>
              <w:rPr>
                <w:rFonts w:ascii="宋体"/>
                <w:szCs w:val="21"/>
                <w:highlight w:val="none"/>
              </w:rPr>
            </w:pPr>
          </w:p>
        </w:tc>
      </w:tr>
    </w:tbl>
    <w:p>
      <w:pPr>
        <w:spacing w:line="360" w:lineRule="auto"/>
        <w:rPr>
          <w:rFonts w:ascii="宋体" w:cs="宋体"/>
          <w:szCs w:val="21"/>
          <w:highlight w:val="none"/>
        </w:rPr>
      </w:pPr>
      <w:r>
        <w:rPr>
          <w:rFonts w:hint="eastAsia" w:ascii="宋体" w:hAnsi="宋体"/>
          <w:b/>
          <w:sz w:val="24"/>
          <w:highlight w:val="none"/>
        </w:rPr>
        <w:t>注</w:t>
      </w:r>
      <w:r>
        <w:rPr>
          <w:rFonts w:ascii="宋体" w:hAnsi="宋体"/>
          <w:b/>
          <w:sz w:val="24"/>
          <w:highlight w:val="none"/>
        </w:rPr>
        <w:t>: -5%</w:t>
      </w:r>
      <w:r>
        <w:rPr>
          <w:rFonts w:hint="eastAsia" w:ascii="宋体" w:hAnsi="宋体"/>
          <w:b/>
          <w:sz w:val="24"/>
          <w:highlight w:val="none"/>
        </w:rPr>
        <w:t>和</w:t>
      </w:r>
      <w:r>
        <w:rPr>
          <w:rFonts w:ascii="宋体" w:hAnsi="宋体"/>
          <w:b/>
          <w:sz w:val="24"/>
          <w:highlight w:val="none"/>
        </w:rPr>
        <w:t>3%</w:t>
      </w:r>
      <w:r>
        <w:rPr>
          <w:rFonts w:hint="eastAsia" w:ascii="宋体" w:hAnsi="宋体"/>
          <w:b/>
          <w:sz w:val="24"/>
          <w:highlight w:val="none"/>
        </w:rPr>
        <w:t>以外，每偏离</w:t>
      </w:r>
      <w:r>
        <w:rPr>
          <w:rFonts w:ascii="宋体" w:hAnsi="宋体"/>
          <w:b/>
          <w:sz w:val="24"/>
          <w:highlight w:val="none"/>
        </w:rPr>
        <w:t>1%</w:t>
      </w:r>
      <w:r>
        <w:rPr>
          <w:rFonts w:hint="eastAsia" w:ascii="宋体" w:hAnsi="宋体"/>
          <w:b/>
          <w:sz w:val="24"/>
          <w:highlight w:val="none"/>
        </w:rPr>
        <w:t>扣</w:t>
      </w:r>
      <w:r>
        <w:rPr>
          <w:rFonts w:ascii="宋体" w:hAnsi="宋体"/>
          <w:b/>
          <w:sz w:val="24"/>
          <w:highlight w:val="none"/>
        </w:rPr>
        <w:t>5</w:t>
      </w:r>
      <w:r>
        <w:rPr>
          <w:rFonts w:hint="eastAsia" w:ascii="宋体" w:hAnsi="宋体"/>
          <w:b/>
          <w:sz w:val="24"/>
          <w:highlight w:val="none"/>
        </w:rPr>
        <w:t>分，扣完为止。</w:t>
      </w:r>
    </w:p>
    <w:p>
      <w:pPr>
        <w:tabs>
          <w:tab w:val="left" w:pos="69"/>
        </w:tabs>
        <w:spacing w:line="360" w:lineRule="auto"/>
        <w:rPr>
          <w:rFonts w:ascii="宋体" w:hAnsi="宋体" w:cs="宋体"/>
          <w:szCs w:val="21"/>
          <w:highlight w:val="none"/>
        </w:rPr>
      </w:pPr>
      <w:r>
        <w:rPr>
          <w:rFonts w:ascii="宋体" w:hAnsi="宋体" w:cs="宋体"/>
          <w:szCs w:val="21"/>
          <w:highlight w:val="none"/>
        </w:rPr>
        <w:t>a=</w:t>
      </w:r>
      <w:r>
        <w:rPr>
          <w:rFonts w:hint="eastAsia" w:ascii="宋体" w:hAnsi="宋体" w:cs="宋体"/>
          <w:szCs w:val="21"/>
          <w:highlight w:val="none"/>
        </w:rPr>
        <w:t>【（各最终评标价）</w:t>
      </w:r>
      <w:r>
        <w:rPr>
          <w:rFonts w:ascii="宋体" w:hAnsi="宋体" w:cs="宋体"/>
          <w:szCs w:val="21"/>
          <w:highlight w:val="none"/>
        </w:rPr>
        <w:t>—</w:t>
      </w:r>
      <w:r>
        <w:rPr>
          <w:rFonts w:hint="eastAsia" w:ascii="宋体" w:hAnsi="宋体" w:cs="宋体"/>
          <w:szCs w:val="21"/>
          <w:highlight w:val="none"/>
        </w:rPr>
        <w:t>基准价】／基准价×</w:t>
      </w:r>
      <w:r>
        <w:rPr>
          <w:rFonts w:ascii="宋体" w:hAnsi="宋体" w:cs="宋体"/>
          <w:szCs w:val="21"/>
          <w:highlight w:val="none"/>
        </w:rPr>
        <w:t>100%</w:t>
      </w:r>
      <w:r>
        <w:rPr>
          <w:rFonts w:hint="eastAsia" w:ascii="宋体" w:hAnsi="宋体" w:cs="宋体"/>
          <w:szCs w:val="21"/>
          <w:highlight w:val="none"/>
        </w:rPr>
        <w:t>×</w:t>
      </w:r>
      <w:r>
        <w:rPr>
          <w:rFonts w:ascii="宋体" w:hAnsi="宋体" w:cs="宋体"/>
          <w:szCs w:val="21"/>
          <w:highlight w:val="none"/>
        </w:rPr>
        <w:t>0.6</w:t>
      </w:r>
    </w:p>
    <w:p>
      <w:pPr>
        <w:spacing w:line="360" w:lineRule="auto"/>
        <w:rPr>
          <w:rFonts w:ascii="宋体" w:cs="宋体"/>
          <w:szCs w:val="21"/>
          <w:highlight w:val="none"/>
        </w:rPr>
      </w:pPr>
      <w:r>
        <w:rPr>
          <w:rFonts w:ascii="宋体" w:hAnsi="宋体" w:cs="宋体"/>
          <w:szCs w:val="21"/>
          <w:highlight w:val="none"/>
        </w:rPr>
        <w:t>a</w:t>
      </w:r>
      <w:r>
        <w:rPr>
          <w:rFonts w:hint="eastAsia" w:ascii="宋体" w:hAnsi="宋体" w:cs="宋体"/>
          <w:szCs w:val="21"/>
          <w:highlight w:val="none"/>
        </w:rPr>
        <w:t>值保留两位小数，按四舍五入原则</w:t>
      </w:r>
    </w:p>
    <w:p>
      <w:pPr>
        <w:spacing w:line="360" w:lineRule="auto"/>
        <w:ind w:firstLine="420" w:firstLineChars="200"/>
        <w:rPr>
          <w:rFonts w:ascii="宋体" w:cs="宋体"/>
          <w:bCs/>
          <w:szCs w:val="21"/>
          <w:highlight w:val="none"/>
          <w:lang w:val="zh-CN"/>
        </w:rPr>
      </w:pPr>
      <w:r>
        <w:rPr>
          <w:rFonts w:hint="eastAsia" w:ascii="宋体" w:hAnsi="宋体" w:cs="宋体"/>
          <w:bCs/>
          <w:szCs w:val="21"/>
          <w:highlight w:val="none"/>
          <w:lang w:val="zh-CN"/>
        </w:rPr>
        <w:t>投标人的投标报价低于（不含）招标控制价：投标报价下浮</w:t>
      </w:r>
      <w:r>
        <w:rPr>
          <w:rFonts w:ascii="宋体" w:hAnsi="宋体" w:cs="宋体"/>
          <w:bCs/>
          <w:szCs w:val="21"/>
          <w:highlight w:val="none"/>
          <w:lang w:val="zh-CN"/>
        </w:rPr>
        <w:t>6%</w:t>
      </w:r>
      <w:r>
        <w:rPr>
          <w:rFonts w:hint="eastAsia" w:ascii="宋体" w:hAnsi="宋体" w:cs="宋体"/>
          <w:bCs/>
          <w:szCs w:val="21"/>
          <w:highlight w:val="none"/>
          <w:lang w:val="zh-CN"/>
        </w:rPr>
        <w:t>的，评标委员会认为投标报价组成明显不合理的，启动成本评审，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36" w:lineRule="auto"/>
        <w:rPr>
          <w:rFonts w:cs="Arial"/>
          <w:b/>
          <w:highlight w:val="none"/>
        </w:rPr>
      </w:pPr>
      <w:r>
        <w:rPr>
          <w:rFonts w:hint="eastAsia" w:cs="Arial"/>
          <w:b/>
          <w:highlight w:val="none"/>
        </w:rPr>
        <w:t>注：中小企业的价格扣除（如供报价人全部为中小企业的将均不做价格扣除）</w:t>
      </w:r>
    </w:p>
    <w:p>
      <w:pPr>
        <w:numPr>
          <w:ilvl w:val="0"/>
          <w:numId w:val="13"/>
        </w:numPr>
        <w:spacing w:line="336" w:lineRule="auto"/>
        <w:rPr>
          <w:rFonts w:cs="Arial"/>
          <w:highlight w:val="none"/>
        </w:rPr>
      </w:pPr>
      <w:r>
        <w:rPr>
          <w:rFonts w:hint="eastAsia" w:cs="Arial"/>
          <w:highlight w:val="none"/>
        </w:rPr>
        <w:t>在计算有效评标报价时，对于小型和微型企业在投标价格上给予</w:t>
      </w:r>
      <w:r>
        <w:rPr>
          <w:rFonts w:cs="Arial"/>
          <w:highlight w:val="none"/>
        </w:rPr>
        <w:t>6%</w:t>
      </w:r>
      <w:r>
        <w:rPr>
          <w:rFonts w:hint="eastAsia" w:cs="Arial"/>
          <w:highlight w:val="none"/>
        </w:rPr>
        <w:t>的扣除。</w:t>
      </w:r>
    </w:p>
    <w:p>
      <w:pPr>
        <w:numPr>
          <w:ilvl w:val="0"/>
          <w:numId w:val="13"/>
        </w:numPr>
        <w:spacing w:line="336" w:lineRule="auto"/>
        <w:rPr>
          <w:rFonts w:cs="Arial"/>
          <w:highlight w:val="none"/>
        </w:rPr>
      </w:pPr>
      <w:r>
        <w:rPr>
          <w:rFonts w:hint="eastAsia" w:cs="Arial"/>
          <w:highlight w:val="none"/>
        </w:rPr>
        <w:t>中小企业（含中型、小型、微型企业，下同）应当同时符合中小企业划分标准，以及提供本企业制造的货物、承担的工程或者服务，或者提供其他中小企业制造的货物。</w:t>
      </w:r>
    </w:p>
    <w:p>
      <w:pPr>
        <w:numPr>
          <w:ilvl w:val="0"/>
          <w:numId w:val="13"/>
        </w:numPr>
        <w:spacing w:line="336" w:lineRule="auto"/>
        <w:rPr>
          <w:rFonts w:cs="Arial"/>
          <w:highlight w:val="none"/>
        </w:rPr>
      </w:pPr>
      <w:r>
        <w:rPr>
          <w:rFonts w:hint="eastAsia" w:cs="Arial"/>
          <w:highlight w:val="none"/>
        </w:rPr>
        <w:t>中小企业划分标准，是指国务院有关部门根据企业从业人员、营业收入、资产总额等指标制定的中小企业划型标准。小型、微型企业提供中型企业制造的货物的，视同为中型企业。小型、微型企业提供大型企业制造的货物的，视同为大型企业。</w:t>
      </w:r>
    </w:p>
    <w:p>
      <w:pPr>
        <w:spacing w:line="480" w:lineRule="auto"/>
        <w:ind w:firstLine="525" w:firstLineChars="250"/>
        <w:jc w:val="left"/>
        <w:rPr>
          <w:rFonts w:cs="Arial"/>
          <w:highlight w:val="none"/>
        </w:rPr>
      </w:pPr>
      <w:r>
        <w:rPr>
          <w:rFonts w:hint="eastAsia" w:cs="Arial"/>
          <w:highlight w:val="none"/>
        </w:rPr>
        <w:t>参与本项目的中小企业应当提供本办法规定的《小型微型企业声明函》</w:t>
      </w:r>
    </w:p>
    <w:p>
      <w:pPr>
        <w:rPr>
          <w:highlight w:val="none"/>
        </w:rPr>
      </w:pPr>
    </w:p>
    <w:p>
      <w:pPr>
        <w:rPr>
          <w:highlight w:val="none"/>
        </w:rPr>
      </w:pPr>
    </w:p>
    <w:p>
      <w:pPr>
        <w:rPr>
          <w:highlight w:val="none"/>
        </w:rPr>
      </w:pPr>
    </w:p>
    <w:p>
      <w:pPr>
        <w:rPr>
          <w:highlight w:val="none"/>
        </w:rPr>
      </w:pPr>
    </w:p>
    <w:p>
      <w:pPr>
        <w:pStyle w:val="2"/>
        <w:rPr>
          <w:highlight w:val="none"/>
        </w:rPr>
      </w:pPr>
    </w:p>
    <w:p>
      <w:pPr>
        <w:pStyle w:val="2"/>
        <w:numPr>
          <w:ilvl w:val="0"/>
          <w:numId w:val="14"/>
        </w:numPr>
        <w:jc w:val="center"/>
        <w:rPr>
          <w:highlight w:val="none"/>
        </w:rPr>
      </w:pPr>
      <w:bookmarkStart w:id="90" w:name="_Toc508871666"/>
      <w:r>
        <w:rPr>
          <w:rFonts w:hint="eastAsia"/>
          <w:highlight w:val="none"/>
        </w:rPr>
        <w:t>合同条款</w:t>
      </w:r>
      <w:bookmarkEnd w:id="90"/>
    </w:p>
    <w:p>
      <w:pPr>
        <w:rPr>
          <w:highlight w:val="none"/>
        </w:rPr>
      </w:pPr>
    </w:p>
    <w:p>
      <w:pPr>
        <w:rPr>
          <w:highlight w:val="none"/>
        </w:rPr>
      </w:pPr>
    </w:p>
    <w:p>
      <w:pPr>
        <w:jc w:val="center"/>
        <w:rPr>
          <w:sz w:val="24"/>
          <w:highlight w:val="none"/>
        </w:rPr>
      </w:pPr>
      <w:r>
        <w:rPr>
          <w:rFonts w:hint="eastAsia"/>
          <w:sz w:val="24"/>
          <w:highlight w:val="none"/>
        </w:rPr>
        <w:t>（本合同为标准版施工合同，最终合同以最终双方签订的合同为准）</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spacing w:line="440" w:lineRule="exact"/>
        <w:jc w:val="center"/>
        <w:rPr>
          <w:b/>
          <w:highlight w:val="none"/>
        </w:rPr>
      </w:pPr>
      <w:r>
        <w:rPr>
          <w:highlight w:val="none"/>
        </w:rPr>
        <w:br w:type="page"/>
      </w:r>
      <w:bookmarkStart w:id="91" w:name="_Toc24067"/>
      <w:bookmarkStart w:id="92" w:name="_Toc371939022"/>
      <w:bookmarkStart w:id="93" w:name="_Toc391302917"/>
      <w:bookmarkStart w:id="94" w:name="_Toc2201"/>
      <w:bookmarkStart w:id="95" w:name="_Toc342296261"/>
      <w:r>
        <w:rPr>
          <w:rFonts w:hint="eastAsia"/>
          <w:b/>
          <w:highlight w:val="none"/>
        </w:rPr>
        <w:t>说</w:t>
      </w:r>
      <w:r>
        <w:rPr>
          <w:b/>
          <w:highlight w:val="none"/>
        </w:rPr>
        <w:t xml:space="preserve">   </w:t>
      </w:r>
      <w:r>
        <w:rPr>
          <w:rFonts w:hint="eastAsia"/>
          <w:b/>
          <w:highlight w:val="none"/>
        </w:rPr>
        <w:t>明</w:t>
      </w:r>
    </w:p>
    <w:p>
      <w:pPr>
        <w:spacing w:line="440" w:lineRule="exact"/>
        <w:rPr>
          <w:b/>
          <w:kern w:val="0"/>
          <w:szCs w:val="21"/>
          <w:highlight w:val="none"/>
        </w:rPr>
      </w:pPr>
      <w:r>
        <w:rPr>
          <w:b/>
          <w:kern w:val="0"/>
          <w:szCs w:val="21"/>
          <w:highlight w:val="none"/>
        </w:rPr>
        <w:t xml:space="preserve">  </w:t>
      </w:r>
      <w:r>
        <w:rPr>
          <w:rFonts w:hint="eastAsia"/>
          <w:b/>
          <w:kern w:val="0"/>
          <w:szCs w:val="21"/>
          <w:highlight w:val="none"/>
        </w:rPr>
        <w:t>一、合同类型</w:t>
      </w:r>
      <w:r>
        <w:rPr>
          <w:b/>
          <w:kern w:val="0"/>
          <w:szCs w:val="21"/>
          <w:highlight w:val="none"/>
        </w:rPr>
        <w:t xml:space="preserve"> </w:t>
      </w:r>
    </w:p>
    <w:p>
      <w:pPr>
        <w:spacing w:line="440" w:lineRule="exact"/>
        <w:rPr>
          <w:kern w:val="0"/>
          <w:szCs w:val="21"/>
          <w:highlight w:val="none"/>
        </w:rPr>
      </w:pPr>
      <w:r>
        <w:rPr>
          <w:kern w:val="0"/>
          <w:szCs w:val="21"/>
          <w:highlight w:val="none"/>
        </w:rPr>
        <w:t xml:space="preserve">    1</w:t>
      </w:r>
      <w:r>
        <w:rPr>
          <w:rFonts w:hint="eastAsia"/>
          <w:kern w:val="0"/>
          <w:szCs w:val="21"/>
          <w:highlight w:val="none"/>
        </w:rPr>
        <w:t>、固定总价合同。</w:t>
      </w:r>
    </w:p>
    <w:p>
      <w:pPr>
        <w:spacing w:line="440" w:lineRule="exact"/>
        <w:rPr>
          <w:color w:val="000000"/>
          <w:kern w:val="0"/>
          <w:szCs w:val="21"/>
          <w:highlight w:val="none"/>
        </w:rPr>
      </w:pPr>
      <w:r>
        <w:rPr>
          <w:kern w:val="0"/>
          <w:szCs w:val="21"/>
          <w:highlight w:val="none"/>
        </w:rPr>
        <w:t xml:space="preserve">    2</w:t>
      </w:r>
      <w:r>
        <w:rPr>
          <w:rFonts w:hint="eastAsia"/>
          <w:kern w:val="0"/>
          <w:szCs w:val="21"/>
          <w:highlight w:val="none"/>
        </w:rPr>
        <w:t>、</w:t>
      </w:r>
      <w:r>
        <w:rPr>
          <w:rFonts w:hint="eastAsia"/>
          <w:color w:val="000000"/>
          <w:kern w:val="0"/>
          <w:szCs w:val="21"/>
          <w:highlight w:val="none"/>
        </w:rPr>
        <w:t>合同价款中包括风险范围及计算方法：在约定的风险范围内，合同价款不再调整。风险范围以外的合同价款调整方法：</w:t>
      </w:r>
    </w:p>
    <w:p>
      <w:pPr>
        <w:spacing w:line="440" w:lineRule="exact"/>
        <w:rPr>
          <w:color w:val="000000"/>
          <w:kern w:val="0"/>
          <w:szCs w:val="21"/>
          <w:highlight w:val="none"/>
        </w:rPr>
      </w:pPr>
      <w:r>
        <w:rPr>
          <w:color w:val="000000"/>
          <w:kern w:val="0"/>
          <w:szCs w:val="21"/>
          <w:highlight w:val="none"/>
        </w:rPr>
        <w:t xml:space="preserve">    </w:t>
      </w:r>
      <w:r>
        <w:rPr>
          <w:rFonts w:hint="eastAsia"/>
          <w:color w:val="000000"/>
          <w:kern w:val="0"/>
          <w:szCs w:val="21"/>
          <w:highlight w:val="none"/>
        </w:rPr>
        <w:t>（</w:t>
      </w:r>
      <w:r>
        <w:rPr>
          <w:color w:val="000000"/>
          <w:kern w:val="0"/>
          <w:szCs w:val="21"/>
          <w:highlight w:val="none"/>
        </w:rPr>
        <w:t>1</w:t>
      </w:r>
      <w:r>
        <w:rPr>
          <w:rFonts w:hint="eastAsia"/>
          <w:color w:val="000000"/>
          <w:kern w:val="0"/>
          <w:szCs w:val="21"/>
          <w:highlight w:val="none"/>
        </w:rPr>
        <w:t>）响应清单中已有适用于变更工程的对应项目及单价的，按对应项目单价计价并实际测量变更部分工程量结算。</w:t>
      </w:r>
    </w:p>
    <w:p>
      <w:pPr>
        <w:spacing w:line="440" w:lineRule="exact"/>
        <w:rPr>
          <w:color w:val="000000"/>
          <w:kern w:val="0"/>
          <w:szCs w:val="21"/>
          <w:highlight w:val="none"/>
        </w:rPr>
      </w:pPr>
      <w:r>
        <w:rPr>
          <w:color w:val="000000"/>
          <w:kern w:val="0"/>
          <w:szCs w:val="21"/>
          <w:highlight w:val="none"/>
        </w:rPr>
        <w:t xml:space="preserve">    </w:t>
      </w:r>
      <w:r>
        <w:rPr>
          <w:rFonts w:hint="eastAsia"/>
          <w:color w:val="000000"/>
          <w:kern w:val="0"/>
          <w:szCs w:val="21"/>
          <w:highlight w:val="none"/>
        </w:rPr>
        <w:t>（</w:t>
      </w:r>
      <w:r>
        <w:rPr>
          <w:color w:val="000000"/>
          <w:kern w:val="0"/>
          <w:szCs w:val="21"/>
          <w:highlight w:val="none"/>
        </w:rPr>
        <w:t>2</w:t>
      </w:r>
      <w:r>
        <w:rPr>
          <w:rFonts w:hint="eastAsia"/>
          <w:color w:val="000000"/>
          <w:kern w:val="0"/>
          <w:szCs w:val="21"/>
          <w:highlight w:val="none"/>
        </w:rPr>
        <w:t>）响应清单中有类似于变更工程的对应项目及单价的，参照类似项目按类似项目单价计价并实际测量变更部分工程量结算。</w:t>
      </w:r>
    </w:p>
    <w:p>
      <w:pPr>
        <w:spacing w:line="400" w:lineRule="exact"/>
        <w:rPr>
          <w:highlight w:val="none"/>
        </w:rPr>
      </w:pPr>
      <w:r>
        <w:rPr>
          <w:highlight w:val="none"/>
        </w:rPr>
        <w:t xml:space="preserve">    </w:t>
      </w:r>
      <w:r>
        <w:rPr>
          <w:rFonts w:hint="eastAsia"/>
          <w:highlight w:val="none"/>
        </w:rPr>
        <w:t>（</w:t>
      </w:r>
      <w:r>
        <w:rPr>
          <w:highlight w:val="none"/>
        </w:rPr>
        <w:t>3</w:t>
      </w:r>
      <w:r>
        <w:rPr>
          <w:rFonts w:hint="eastAsia"/>
          <w:highlight w:val="none"/>
        </w:rPr>
        <w:t>）已标价工程量清单中没有适用也没有类似于变更工程项目的，人工费、企业管理费、利润取费参照合同取费；材料设备价格参照北京建设工程造价信息，若北京建设工程造价信息价格缺项的，应通过市场调查取得市场价格。</w:t>
      </w:r>
    </w:p>
    <w:p>
      <w:pPr>
        <w:spacing w:line="440" w:lineRule="exact"/>
        <w:rPr>
          <w:kern w:val="0"/>
          <w:szCs w:val="21"/>
          <w:highlight w:val="none"/>
        </w:rPr>
      </w:pPr>
      <w:r>
        <w:rPr>
          <w:kern w:val="0"/>
          <w:szCs w:val="21"/>
          <w:highlight w:val="none"/>
        </w:rPr>
        <w:t xml:space="preserve">    </w:t>
      </w:r>
      <w:r>
        <w:rPr>
          <w:rFonts w:hint="eastAsia"/>
          <w:b/>
          <w:kern w:val="0"/>
          <w:szCs w:val="21"/>
          <w:highlight w:val="none"/>
        </w:rPr>
        <w:t>上述单价</w:t>
      </w:r>
      <w:r>
        <w:rPr>
          <w:rFonts w:hint="eastAsia"/>
          <w:b/>
          <w:color w:val="000000"/>
          <w:kern w:val="0"/>
          <w:szCs w:val="21"/>
          <w:highlight w:val="none"/>
        </w:rPr>
        <w:t>决算时均适用供应商磋商时最终响应的优惠率。</w:t>
      </w:r>
    </w:p>
    <w:p>
      <w:pPr>
        <w:spacing w:line="440" w:lineRule="exact"/>
        <w:rPr>
          <w:b/>
          <w:kern w:val="0"/>
          <w:szCs w:val="21"/>
          <w:highlight w:val="none"/>
        </w:rPr>
      </w:pPr>
      <w:bookmarkStart w:id="96" w:name="_Toc452644901"/>
      <w:r>
        <w:rPr>
          <w:rFonts w:hint="eastAsia"/>
          <w:b/>
          <w:kern w:val="0"/>
          <w:szCs w:val="21"/>
          <w:highlight w:val="none"/>
        </w:rPr>
        <w:t>二、技术要求</w:t>
      </w:r>
    </w:p>
    <w:p>
      <w:pPr>
        <w:spacing w:line="440" w:lineRule="exact"/>
        <w:rPr>
          <w:kern w:val="0"/>
          <w:szCs w:val="21"/>
          <w:highlight w:val="none"/>
        </w:rPr>
      </w:pPr>
      <w:r>
        <w:rPr>
          <w:kern w:val="0"/>
          <w:szCs w:val="21"/>
          <w:highlight w:val="none"/>
        </w:rPr>
        <w:t xml:space="preserve">    1</w:t>
      </w:r>
      <w:r>
        <w:rPr>
          <w:rFonts w:hint="eastAsia"/>
          <w:kern w:val="0"/>
          <w:szCs w:val="21"/>
          <w:highlight w:val="none"/>
        </w:rPr>
        <w:t>、质量要求：合格。</w:t>
      </w:r>
    </w:p>
    <w:p>
      <w:pPr>
        <w:spacing w:line="440" w:lineRule="exact"/>
        <w:rPr>
          <w:kern w:val="0"/>
          <w:szCs w:val="21"/>
          <w:highlight w:val="none"/>
        </w:rPr>
      </w:pPr>
      <w:r>
        <w:rPr>
          <w:kern w:val="0"/>
          <w:szCs w:val="21"/>
          <w:highlight w:val="none"/>
        </w:rPr>
        <w:t xml:space="preserve">    2</w:t>
      </w:r>
      <w:r>
        <w:rPr>
          <w:rFonts w:hint="eastAsia"/>
          <w:kern w:val="0"/>
          <w:szCs w:val="21"/>
          <w:highlight w:val="none"/>
        </w:rPr>
        <w:t>、技术标准：工程须按国家和行业标准、设计规范、施工和验收。</w:t>
      </w:r>
    </w:p>
    <w:p>
      <w:pPr>
        <w:spacing w:line="440" w:lineRule="exact"/>
        <w:rPr>
          <w:b/>
          <w:kern w:val="0"/>
          <w:szCs w:val="21"/>
          <w:highlight w:val="none"/>
        </w:rPr>
      </w:pPr>
      <w:r>
        <w:rPr>
          <w:rFonts w:hint="eastAsia"/>
          <w:b/>
          <w:kern w:val="0"/>
          <w:szCs w:val="21"/>
          <w:highlight w:val="none"/>
        </w:rPr>
        <w:t>三、施工期限</w:t>
      </w:r>
    </w:p>
    <w:p>
      <w:pPr>
        <w:spacing w:line="440" w:lineRule="exact"/>
        <w:ind w:firstLine="420" w:firstLineChars="200"/>
        <w:rPr>
          <w:kern w:val="0"/>
          <w:szCs w:val="21"/>
          <w:highlight w:val="none"/>
        </w:rPr>
      </w:pPr>
      <w:r>
        <w:rPr>
          <w:rFonts w:hint="eastAsia"/>
          <w:kern w:val="0"/>
          <w:szCs w:val="21"/>
          <w:highlight w:val="none"/>
        </w:rPr>
        <w:t>自合同签订日起</w:t>
      </w:r>
      <w:r>
        <w:rPr>
          <w:kern w:val="0"/>
          <w:szCs w:val="21"/>
          <w:highlight w:val="none"/>
        </w:rPr>
        <w:t>30</w:t>
      </w:r>
      <w:r>
        <w:rPr>
          <w:rFonts w:hint="eastAsia"/>
          <w:kern w:val="0"/>
          <w:szCs w:val="21"/>
          <w:highlight w:val="none"/>
        </w:rPr>
        <w:t>个日历天。若无法按时完工，甲方不予支付剩余款项，前期已支付款项由乙方退回并赔偿因违约对甲方造成的损失。</w:t>
      </w:r>
    </w:p>
    <w:bookmarkEnd w:id="96"/>
    <w:p>
      <w:pPr>
        <w:spacing w:line="440" w:lineRule="exact"/>
        <w:rPr>
          <w:b/>
          <w:kern w:val="0"/>
          <w:szCs w:val="21"/>
          <w:highlight w:val="none"/>
        </w:rPr>
      </w:pPr>
      <w:r>
        <w:rPr>
          <w:rFonts w:hint="eastAsia"/>
          <w:b/>
          <w:kern w:val="0"/>
          <w:szCs w:val="21"/>
          <w:highlight w:val="none"/>
        </w:rPr>
        <w:t>四、付款方式</w:t>
      </w:r>
    </w:p>
    <w:p>
      <w:pPr>
        <w:spacing w:line="440" w:lineRule="exact"/>
        <w:ind w:firstLine="435"/>
        <w:rPr>
          <w:rFonts w:ascii="宋体"/>
          <w:szCs w:val="21"/>
          <w:highlight w:val="none"/>
        </w:rPr>
      </w:pPr>
      <w:r>
        <w:rPr>
          <w:kern w:val="0"/>
          <w:szCs w:val="21"/>
          <w:highlight w:val="none"/>
        </w:rPr>
        <w:t>1</w:t>
      </w:r>
      <w:r>
        <w:rPr>
          <w:rFonts w:hint="eastAsia"/>
          <w:kern w:val="0"/>
          <w:szCs w:val="21"/>
          <w:highlight w:val="none"/>
        </w:rPr>
        <w:t>、首付款：</w:t>
      </w:r>
      <w:r>
        <w:rPr>
          <w:rFonts w:hint="eastAsia" w:ascii="宋体" w:hAnsi="宋体"/>
          <w:szCs w:val="21"/>
          <w:highlight w:val="none"/>
        </w:rPr>
        <w:t>合同生效后经承包方书面申请，并提供</w:t>
      </w:r>
      <w:r>
        <w:rPr>
          <w:rFonts w:hint="eastAsia"/>
          <w:highlight w:val="none"/>
        </w:rPr>
        <w:t>增值税发票</w:t>
      </w:r>
      <w:r>
        <w:rPr>
          <w:rFonts w:hint="eastAsia" w:ascii="宋体" w:hAnsi="宋体"/>
          <w:szCs w:val="21"/>
          <w:highlight w:val="none"/>
        </w:rPr>
        <w:t>等相关支付凭证后，支付合同总价的</w:t>
      </w:r>
      <w:r>
        <w:rPr>
          <w:rFonts w:ascii="宋体" w:hAnsi="宋体"/>
          <w:szCs w:val="21"/>
          <w:highlight w:val="none"/>
        </w:rPr>
        <w:t>30%</w:t>
      </w:r>
      <w:r>
        <w:rPr>
          <w:rFonts w:hint="eastAsia" w:ascii="宋体" w:hAnsi="宋体"/>
          <w:szCs w:val="21"/>
          <w:highlight w:val="none"/>
        </w:rPr>
        <w:t>。</w:t>
      </w:r>
    </w:p>
    <w:p>
      <w:pPr>
        <w:spacing w:line="440" w:lineRule="exact"/>
        <w:ind w:firstLine="435"/>
        <w:rPr>
          <w:kern w:val="0"/>
          <w:szCs w:val="21"/>
          <w:highlight w:val="none"/>
        </w:rPr>
      </w:pPr>
      <w:r>
        <w:rPr>
          <w:rFonts w:ascii="宋体" w:hAnsi="宋体"/>
          <w:szCs w:val="21"/>
          <w:highlight w:val="none"/>
        </w:rPr>
        <w:t>2</w:t>
      </w:r>
      <w:r>
        <w:rPr>
          <w:rFonts w:hint="eastAsia" w:ascii="宋体" w:hAnsi="宋体"/>
          <w:szCs w:val="21"/>
          <w:highlight w:val="none"/>
        </w:rPr>
        <w:t>、进度款：工程进展过半时，经承包方书面申请，并提供</w:t>
      </w:r>
      <w:r>
        <w:rPr>
          <w:rFonts w:hint="eastAsia"/>
          <w:highlight w:val="none"/>
        </w:rPr>
        <w:t>增值税发票</w:t>
      </w:r>
      <w:r>
        <w:rPr>
          <w:rFonts w:hint="eastAsia" w:ascii="宋体" w:hAnsi="宋体"/>
          <w:szCs w:val="21"/>
          <w:highlight w:val="none"/>
        </w:rPr>
        <w:t>等相关支付凭证后，支付至合同总价的</w:t>
      </w:r>
      <w:r>
        <w:rPr>
          <w:rFonts w:ascii="宋体" w:hAnsi="宋体"/>
          <w:szCs w:val="21"/>
          <w:highlight w:val="none"/>
        </w:rPr>
        <w:t>50%</w:t>
      </w:r>
      <w:r>
        <w:rPr>
          <w:rFonts w:hint="eastAsia" w:ascii="宋体" w:hAnsi="宋体"/>
          <w:szCs w:val="21"/>
          <w:highlight w:val="none"/>
        </w:rPr>
        <w:t>。</w:t>
      </w:r>
    </w:p>
    <w:p>
      <w:pPr>
        <w:spacing w:line="440" w:lineRule="exact"/>
        <w:rPr>
          <w:kern w:val="0"/>
          <w:szCs w:val="21"/>
          <w:highlight w:val="none"/>
        </w:rPr>
      </w:pPr>
      <w:r>
        <w:rPr>
          <w:kern w:val="0"/>
          <w:szCs w:val="21"/>
          <w:highlight w:val="none"/>
        </w:rPr>
        <w:t xml:space="preserve">    3</w:t>
      </w:r>
      <w:r>
        <w:rPr>
          <w:rFonts w:hint="eastAsia"/>
          <w:kern w:val="0"/>
          <w:szCs w:val="21"/>
          <w:highlight w:val="none"/>
        </w:rPr>
        <w:t>、进度款：工程竣工验收合格，通过并经发包方审计后，支付至审定金额的</w:t>
      </w:r>
      <w:r>
        <w:rPr>
          <w:kern w:val="0"/>
          <w:szCs w:val="21"/>
          <w:highlight w:val="none"/>
        </w:rPr>
        <w:t xml:space="preserve">97% </w:t>
      </w:r>
      <w:r>
        <w:rPr>
          <w:rFonts w:hint="eastAsia"/>
          <w:kern w:val="0"/>
          <w:szCs w:val="21"/>
          <w:highlight w:val="none"/>
        </w:rPr>
        <w:t>。</w:t>
      </w:r>
    </w:p>
    <w:p>
      <w:pPr>
        <w:spacing w:line="440" w:lineRule="exact"/>
        <w:rPr>
          <w:kern w:val="0"/>
          <w:szCs w:val="21"/>
          <w:highlight w:val="none"/>
        </w:rPr>
      </w:pPr>
      <w:r>
        <w:rPr>
          <w:kern w:val="0"/>
          <w:szCs w:val="21"/>
          <w:highlight w:val="none"/>
        </w:rPr>
        <w:t xml:space="preserve">    4</w:t>
      </w:r>
      <w:r>
        <w:rPr>
          <w:rFonts w:hint="eastAsia"/>
          <w:kern w:val="0"/>
          <w:szCs w:val="21"/>
          <w:highlight w:val="none"/>
        </w:rPr>
        <w:t>、质保金：审定工程款金额的</w:t>
      </w:r>
      <w:r>
        <w:rPr>
          <w:kern w:val="0"/>
          <w:szCs w:val="21"/>
          <w:highlight w:val="none"/>
        </w:rPr>
        <w:t>3%</w:t>
      </w:r>
      <w:r>
        <w:rPr>
          <w:rFonts w:hint="eastAsia"/>
          <w:kern w:val="0"/>
          <w:szCs w:val="21"/>
          <w:highlight w:val="none"/>
        </w:rPr>
        <w:t>为质量保证金，本工程缺陷责任期为一年，在缺陷责任期满后且无质量问题，经承包方书面申请后，发包方一次性将质保金无息支付给承包方。</w:t>
      </w:r>
    </w:p>
    <w:p>
      <w:pPr>
        <w:spacing w:line="440" w:lineRule="exact"/>
        <w:rPr>
          <w:kern w:val="0"/>
          <w:szCs w:val="21"/>
          <w:highlight w:val="none"/>
        </w:rPr>
      </w:pPr>
      <w:r>
        <w:rPr>
          <w:kern w:val="0"/>
          <w:szCs w:val="21"/>
          <w:highlight w:val="none"/>
        </w:rPr>
        <w:t xml:space="preserve">    5</w:t>
      </w:r>
      <w:r>
        <w:rPr>
          <w:rFonts w:hint="eastAsia"/>
          <w:kern w:val="0"/>
          <w:szCs w:val="21"/>
          <w:highlight w:val="none"/>
        </w:rPr>
        <w:t>、承包方应于发包方支付各款项的同时向发包方出具符合发包方要求的国家正规增值税专用发票，否则发包方可拒绝付款，且不因此而承担任何责任。</w:t>
      </w:r>
    </w:p>
    <w:p>
      <w:pPr>
        <w:pStyle w:val="89"/>
        <w:spacing w:before="0" w:afterLines="50" w:line="300" w:lineRule="auto"/>
        <w:jc w:val="center"/>
        <w:rPr>
          <w:rFonts w:ascii="宋体" w:hAnsi="宋体" w:eastAsia="宋体" w:cs="Times New Roman"/>
          <w:b/>
          <w:color w:val="000000"/>
          <w:highlight w:val="none"/>
        </w:rPr>
      </w:pPr>
      <w:r>
        <w:rPr>
          <w:highlight w:val="none"/>
        </w:rPr>
        <w:br w:type="page"/>
      </w:r>
      <w:r>
        <w:rPr>
          <w:rFonts w:hint="eastAsia" w:ascii="宋体" w:hAnsi="宋体" w:eastAsia="宋体" w:cs="Times New Roman"/>
          <w:b/>
          <w:color w:val="000000"/>
          <w:highlight w:val="none"/>
        </w:rPr>
        <w:t>第一节</w:t>
      </w:r>
      <w:r>
        <w:rPr>
          <w:rFonts w:ascii="宋体" w:hAnsi="宋体" w:eastAsia="宋体" w:cs="Times New Roman"/>
          <w:b/>
          <w:color w:val="000000"/>
          <w:highlight w:val="none"/>
        </w:rPr>
        <w:t xml:space="preserve"> </w:t>
      </w:r>
      <w:r>
        <w:rPr>
          <w:rFonts w:hint="eastAsia" w:ascii="宋体" w:hAnsi="宋体" w:eastAsia="宋体" w:cs="Times New Roman"/>
          <w:b/>
          <w:color w:val="000000"/>
          <w:highlight w:val="none"/>
        </w:rPr>
        <w:t>通用合同条款</w:t>
      </w:r>
      <w:bookmarkEnd w:id="91"/>
      <w:bookmarkEnd w:id="92"/>
      <w:bookmarkEnd w:id="93"/>
      <w:bookmarkEnd w:id="94"/>
      <w:bookmarkEnd w:id="95"/>
    </w:p>
    <w:p>
      <w:pPr>
        <w:spacing w:line="360" w:lineRule="auto"/>
        <w:rPr>
          <w:rFonts w:ascii="宋体"/>
          <w:sz w:val="24"/>
          <w:szCs w:val="24"/>
          <w:highlight w:val="none"/>
        </w:rPr>
      </w:pPr>
      <w:r>
        <w:rPr>
          <w:rFonts w:hint="eastAsia"/>
          <w:b/>
          <w:sz w:val="24"/>
          <w:highlight w:val="none"/>
        </w:rPr>
        <w:t>“通用合同条款”采用</w:t>
      </w:r>
      <w:r>
        <w:rPr>
          <w:rFonts w:hint="eastAsia" w:ascii="宋体"/>
          <w:b/>
          <w:sz w:val="24"/>
          <w:szCs w:val="24"/>
          <w:highlight w:val="none"/>
        </w:rPr>
        <w:t>《建设工程施工合同（示范文本）》（</w:t>
      </w:r>
      <w:r>
        <w:rPr>
          <w:rFonts w:ascii="宋体"/>
          <w:b/>
          <w:sz w:val="24"/>
          <w:szCs w:val="24"/>
          <w:highlight w:val="none"/>
        </w:rPr>
        <w:t>GF-2013-0201</w:t>
      </w:r>
      <w:r>
        <w:rPr>
          <w:rFonts w:hint="eastAsia" w:ascii="宋体"/>
          <w:b/>
          <w:sz w:val="24"/>
          <w:szCs w:val="24"/>
          <w:highlight w:val="none"/>
        </w:rPr>
        <w:t>）的“通用条款”</w:t>
      </w:r>
    </w:p>
    <w:p>
      <w:pPr>
        <w:rPr>
          <w:highlight w:val="none"/>
        </w:rPr>
      </w:pPr>
    </w:p>
    <w:p>
      <w:pPr>
        <w:rPr>
          <w:highlight w:val="none"/>
        </w:rPr>
      </w:pPr>
    </w:p>
    <w:p>
      <w:pPr>
        <w:rPr>
          <w:highlight w:val="none"/>
        </w:rPr>
      </w:pPr>
    </w:p>
    <w:p>
      <w:pPr>
        <w:pStyle w:val="89"/>
        <w:spacing w:before="0" w:afterLines="50" w:line="300" w:lineRule="auto"/>
        <w:jc w:val="center"/>
        <w:rPr>
          <w:rFonts w:cs="Times New Roman"/>
          <w:color w:val="000000"/>
          <w:highlight w:val="none"/>
        </w:rPr>
      </w:pPr>
      <w:r>
        <w:rPr>
          <w:highlight w:val="none"/>
        </w:rPr>
        <w:br w:type="page"/>
      </w:r>
      <w:bookmarkStart w:id="97" w:name="_Toc28630"/>
      <w:bookmarkStart w:id="98" w:name="_Toc3003"/>
      <w:r>
        <w:rPr>
          <w:rFonts w:hint="eastAsia" w:cs="Times New Roman"/>
          <w:color w:val="000000"/>
          <w:highlight w:val="none"/>
        </w:rPr>
        <w:t>第二节</w:t>
      </w:r>
      <w:r>
        <w:rPr>
          <w:rFonts w:cs="Times New Roman"/>
          <w:color w:val="000000"/>
          <w:highlight w:val="none"/>
        </w:rPr>
        <w:t xml:space="preserve"> </w:t>
      </w:r>
      <w:r>
        <w:rPr>
          <w:rFonts w:hint="eastAsia" w:cs="Times New Roman"/>
          <w:color w:val="000000"/>
          <w:highlight w:val="none"/>
        </w:rPr>
        <w:t>专用合同条款</w:t>
      </w:r>
      <w:bookmarkEnd w:id="97"/>
      <w:bookmarkEnd w:id="98"/>
    </w:p>
    <w:p>
      <w:pPr>
        <w:pStyle w:val="89"/>
        <w:spacing w:before="0" w:line="360" w:lineRule="auto"/>
        <w:outlineLvl w:val="9"/>
        <w:rPr>
          <w:rFonts w:ascii="宋体" w:hAnsi="宋体" w:eastAsia="宋体"/>
          <w:color w:val="000000"/>
          <w:sz w:val="21"/>
          <w:szCs w:val="21"/>
          <w:highlight w:val="none"/>
        </w:rPr>
      </w:pPr>
      <w:bookmarkStart w:id="99" w:name="_Toc389141060"/>
      <w:bookmarkStart w:id="100" w:name="_Toc241459659"/>
      <w:bookmarkStart w:id="101" w:name="_Toc342296418"/>
      <w:bookmarkStart w:id="102" w:name="_Toc371939181"/>
      <w:bookmarkStart w:id="103" w:name="_Toc409517589"/>
      <w:bookmarkStart w:id="104" w:name="_Toc409517877"/>
      <w:bookmarkStart w:id="105" w:name="_Toc409518165"/>
      <w:bookmarkStart w:id="106" w:name="_Toc424289427"/>
      <w:bookmarkStart w:id="107" w:name="_Toc16037"/>
      <w:bookmarkStart w:id="108" w:name="_Toc1016"/>
      <w:r>
        <w:rPr>
          <w:rFonts w:ascii="宋体" w:hAnsi="宋体" w:eastAsia="宋体"/>
          <w:color w:val="000000"/>
          <w:sz w:val="21"/>
          <w:szCs w:val="21"/>
          <w:highlight w:val="none"/>
        </w:rPr>
        <w:t xml:space="preserve">1. </w:t>
      </w:r>
      <w:r>
        <w:rPr>
          <w:rFonts w:hint="eastAsia" w:ascii="宋体" w:hAnsi="宋体" w:eastAsia="宋体"/>
          <w:color w:val="000000"/>
          <w:sz w:val="21"/>
          <w:szCs w:val="21"/>
          <w:highlight w:val="none"/>
        </w:rPr>
        <w:t>一般约定</w:t>
      </w:r>
      <w:bookmarkEnd w:id="99"/>
      <w:bookmarkEnd w:id="100"/>
      <w:bookmarkEnd w:id="101"/>
      <w:bookmarkEnd w:id="102"/>
      <w:bookmarkEnd w:id="103"/>
      <w:bookmarkEnd w:id="104"/>
      <w:bookmarkEnd w:id="105"/>
      <w:bookmarkEnd w:id="106"/>
      <w:bookmarkEnd w:id="107"/>
      <w:bookmarkEnd w:id="108"/>
    </w:p>
    <w:p>
      <w:pPr>
        <w:pStyle w:val="126"/>
        <w:spacing w:line="360" w:lineRule="auto"/>
        <w:outlineLvl w:val="9"/>
        <w:rPr>
          <w:rFonts w:ascii="宋体" w:hAnsi="宋体" w:eastAsia="宋体"/>
          <w:color w:val="000000"/>
          <w:sz w:val="21"/>
          <w:szCs w:val="21"/>
          <w:highlight w:val="none"/>
        </w:rPr>
      </w:pPr>
      <w:bookmarkStart w:id="109" w:name="_Toc3455"/>
      <w:bookmarkStart w:id="110" w:name="_Toc424289428"/>
      <w:bookmarkStart w:id="111" w:name="_Toc144974580"/>
      <w:bookmarkStart w:id="112" w:name="_Toc152042390"/>
      <w:bookmarkStart w:id="113" w:name="_Toc152045612"/>
      <w:bookmarkStart w:id="114" w:name="_Toc179632630"/>
      <w:bookmarkStart w:id="115" w:name="_Toc241459660"/>
      <w:bookmarkStart w:id="116" w:name="_Toc342296419"/>
      <w:bookmarkStart w:id="117" w:name="_Toc371939182"/>
      <w:bookmarkStart w:id="118" w:name="_Toc389141061"/>
      <w:bookmarkStart w:id="119" w:name="_Toc409517590"/>
      <w:bookmarkStart w:id="120" w:name="_Toc409517878"/>
      <w:bookmarkStart w:id="121" w:name="_Toc409518166"/>
      <w:r>
        <w:rPr>
          <w:rFonts w:ascii="宋体" w:hAnsi="宋体" w:eastAsia="宋体"/>
          <w:color w:val="000000"/>
          <w:sz w:val="21"/>
          <w:szCs w:val="21"/>
          <w:highlight w:val="none"/>
        </w:rPr>
        <w:t xml:space="preserve">1.1 </w:t>
      </w:r>
      <w:r>
        <w:rPr>
          <w:rFonts w:hint="eastAsia" w:ascii="宋体" w:hAnsi="宋体" w:eastAsia="宋体"/>
          <w:color w:val="000000"/>
          <w:sz w:val="21"/>
          <w:szCs w:val="21"/>
          <w:highlight w:val="none"/>
        </w:rPr>
        <w:t>词语定义</w:t>
      </w:r>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1.1.2</w:t>
      </w:r>
      <w:r>
        <w:rPr>
          <w:rFonts w:hint="eastAsia" w:ascii="宋体" w:hAnsi="宋体" w:cs="宋体"/>
          <w:color w:val="000000"/>
          <w:szCs w:val="21"/>
          <w:highlight w:val="none"/>
        </w:rPr>
        <w:t>合同当事人和人员</w:t>
      </w:r>
    </w:p>
    <w:p>
      <w:pPr>
        <w:spacing w:line="360" w:lineRule="auto"/>
        <w:ind w:left="3150" w:leftChars="200" w:hanging="2730" w:hangingChars="1300"/>
        <w:jc w:val="left"/>
        <w:rPr>
          <w:rFonts w:ascii="宋体" w:cs="宋体"/>
          <w:szCs w:val="21"/>
          <w:highlight w:val="none"/>
        </w:rPr>
      </w:pPr>
      <w:r>
        <w:rPr>
          <w:rFonts w:ascii="宋体" w:hAnsi="宋体" w:cs="宋体"/>
          <w:szCs w:val="21"/>
          <w:highlight w:val="none"/>
        </w:rPr>
        <w:t>1.1.2.2</w:t>
      </w:r>
      <w:r>
        <w:rPr>
          <w:rFonts w:hint="eastAsia" w:ascii="宋体" w:hAnsi="宋体" w:cs="宋体"/>
          <w:szCs w:val="21"/>
          <w:highlight w:val="none"/>
        </w:rPr>
        <w:t>发包人：</w:t>
      </w:r>
      <w:r>
        <w:rPr>
          <w:rFonts w:ascii="宋体" w:hAnsi="宋体" w:cs="宋体"/>
          <w:szCs w:val="21"/>
          <w:highlight w:val="none"/>
          <w:u w:val="single"/>
        </w:rPr>
        <w:t xml:space="preserve">      </w:t>
      </w:r>
      <w:r>
        <w:rPr>
          <w:rFonts w:hint="eastAsia" w:ascii="宋体" w:hAnsi="宋体" w:cs="宋体"/>
          <w:szCs w:val="21"/>
          <w:highlight w:val="none"/>
          <w:u w:val="single"/>
        </w:rPr>
        <w:t>中央财经大学</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cs="宋体"/>
          <w:szCs w:val="21"/>
          <w:highlight w:val="none"/>
        </w:rPr>
      </w:pPr>
      <w:r>
        <w:rPr>
          <w:rFonts w:ascii="宋体" w:hAnsi="宋体" w:cs="宋体"/>
          <w:szCs w:val="21"/>
          <w:highlight w:val="none"/>
        </w:rPr>
        <w:t>1.1.2.6</w:t>
      </w:r>
      <w:r>
        <w:rPr>
          <w:rFonts w:hint="eastAsia" w:ascii="宋体" w:hAnsi="宋体" w:cs="宋体"/>
          <w:szCs w:val="21"/>
          <w:highlight w:val="none"/>
        </w:rPr>
        <w:t>监理人：</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cs="宋体"/>
          <w:szCs w:val="21"/>
          <w:highlight w:val="none"/>
        </w:rPr>
      </w:pPr>
      <w:r>
        <w:rPr>
          <w:rFonts w:ascii="宋体" w:hAnsi="宋体" w:cs="宋体"/>
          <w:szCs w:val="21"/>
          <w:highlight w:val="none"/>
        </w:rPr>
        <w:t>1.1.2.8</w:t>
      </w:r>
      <w:r>
        <w:rPr>
          <w:rFonts w:hint="eastAsia" w:ascii="宋体" w:hAnsi="宋体" w:cs="宋体"/>
          <w:szCs w:val="21"/>
          <w:highlight w:val="none"/>
        </w:rPr>
        <w:t>发包人代表：指发包人指定的派驻施工场地（现场）的全权代表。</w:t>
      </w:r>
    </w:p>
    <w:p>
      <w:pPr>
        <w:spacing w:line="360" w:lineRule="auto"/>
        <w:ind w:firstLine="420" w:firstLineChars="200"/>
        <w:jc w:val="left"/>
        <w:rPr>
          <w:rFonts w:ascii="宋体" w:cs="宋体"/>
          <w:szCs w:val="21"/>
          <w:highlight w:val="none"/>
        </w:rPr>
      </w:pPr>
      <w:r>
        <w:rPr>
          <w:rFonts w:hint="eastAsia" w:ascii="宋体" w:hAnsi="宋体" w:cs="宋体"/>
          <w:szCs w:val="21"/>
          <w:highlight w:val="none"/>
        </w:rPr>
        <w:t>姓</w:t>
      </w:r>
      <w:r>
        <w:rPr>
          <w:rFonts w:ascii="宋体" w:hAnsi="宋体" w:cs="宋体"/>
          <w:szCs w:val="21"/>
          <w:highlight w:val="none"/>
        </w:rPr>
        <w:t xml:space="preserve">    </w:t>
      </w:r>
      <w:r>
        <w:rPr>
          <w:rFonts w:hint="eastAsia" w:ascii="宋体" w:hAnsi="宋体" w:cs="宋体"/>
          <w:szCs w:val="21"/>
          <w:highlight w:val="none"/>
        </w:rPr>
        <w:t>名：</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cs="宋体"/>
          <w:szCs w:val="21"/>
          <w:highlight w:val="none"/>
        </w:rPr>
      </w:pPr>
      <w:r>
        <w:rPr>
          <w:rFonts w:hint="eastAsia" w:ascii="宋体" w:hAnsi="宋体" w:cs="宋体"/>
          <w:szCs w:val="21"/>
          <w:highlight w:val="none"/>
        </w:rPr>
        <w:t>职</w:t>
      </w:r>
      <w:r>
        <w:rPr>
          <w:rFonts w:ascii="宋体" w:hAnsi="宋体" w:cs="宋体"/>
          <w:szCs w:val="21"/>
          <w:highlight w:val="none"/>
        </w:rPr>
        <w:t xml:space="preserve">    </w:t>
      </w:r>
      <w:r>
        <w:rPr>
          <w:rFonts w:hint="eastAsia" w:ascii="宋体" w:hAnsi="宋体" w:cs="宋体"/>
          <w:szCs w:val="21"/>
          <w:highlight w:val="none"/>
        </w:rPr>
        <w:t>称：</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联系电话：</w:t>
      </w:r>
      <w:r>
        <w:rPr>
          <w:rFonts w:ascii="宋体" w:hAnsi="宋体" w:cs="宋体"/>
          <w:szCs w:val="21"/>
          <w:highlight w:val="none"/>
          <w:u w:val="single"/>
        </w:rPr>
        <w:t xml:space="preserve">                                </w:t>
      </w:r>
      <w:r>
        <w:rPr>
          <w:rFonts w:hint="eastAsia" w:ascii="宋体" w:hAnsi="宋体" w:cs="宋体"/>
          <w:szCs w:val="21"/>
          <w:highlight w:val="none"/>
        </w:rPr>
        <w:t>。</w:t>
      </w:r>
      <w:r>
        <w:rPr>
          <w:rFonts w:ascii="宋体" w:hAnsi="宋体" w:cs="宋体"/>
          <w:szCs w:val="21"/>
          <w:highlight w:val="none"/>
        </w:rPr>
        <w:t xml:space="preserve"> </w:t>
      </w:r>
    </w:p>
    <w:p>
      <w:pPr>
        <w:spacing w:line="360" w:lineRule="auto"/>
        <w:ind w:firstLine="420" w:firstLineChars="200"/>
        <w:jc w:val="left"/>
        <w:rPr>
          <w:rFonts w:ascii="宋体" w:cs="宋体"/>
          <w:szCs w:val="21"/>
          <w:highlight w:val="none"/>
        </w:rPr>
      </w:pPr>
      <w:r>
        <w:rPr>
          <w:rFonts w:hint="eastAsia" w:ascii="宋体" w:hAnsi="宋体" w:cs="宋体"/>
          <w:szCs w:val="21"/>
          <w:highlight w:val="none"/>
        </w:rPr>
        <w:t>电子信箱：</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cs="宋体"/>
          <w:szCs w:val="21"/>
          <w:highlight w:val="none"/>
        </w:rPr>
      </w:pPr>
      <w:r>
        <w:rPr>
          <w:rFonts w:hint="eastAsia" w:ascii="宋体" w:hAnsi="宋体" w:cs="宋体"/>
          <w:szCs w:val="21"/>
          <w:highlight w:val="none"/>
        </w:rPr>
        <w:t>通信地址：</w:t>
      </w:r>
      <w:r>
        <w:rPr>
          <w:rFonts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1.1.2.9</w:t>
      </w:r>
      <w:r>
        <w:rPr>
          <w:rFonts w:hint="eastAsia" w:ascii="宋体" w:hAnsi="宋体" w:cs="宋体"/>
          <w:color w:val="000000"/>
          <w:szCs w:val="21"/>
          <w:highlight w:val="none"/>
        </w:rPr>
        <w:t>专业分包人：指根据合同条款第</w:t>
      </w:r>
      <w:r>
        <w:rPr>
          <w:rFonts w:ascii="宋体" w:hAnsi="宋体" w:cs="宋体"/>
          <w:color w:val="000000"/>
          <w:szCs w:val="21"/>
          <w:highlight w:val="none"/>
        </w:rPr>
        <w:t>15.8.1</w:t>
      </w:r>
      <w:r>
        <w:rPr>
          <w:rFonts w:hint="eastAsia" w:ascii="宋体" w:hAnsi="宋体" w:cs="宋体"/>
          <w:color w:val="000000"/>
          <w:szCs w:val="21"/>
          <w:highlight w:val="none"/>
        </w:rPr>
        <w:t>项的约定，由发包人和承包人以招标方式选择的分包人。</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1.1.2.10</w:t>
      </w:r>
      <w:r>
        <w:rPr>
          <w:rFonts w:hint="eastAsia" w:ascii="宋体" w:hAnsi="宋体" w:cs="宋体"/>
          <w:color w:val="000000"/>
          <w:szCs w:val="21"/>
          <w:highlight w:val="none"/>
        </w:rPr>
        <w:t>专项供应商：指根据合同条款第</w:t>
      </w:r>
      <w:r>
        <w:rPr>
          <w:rFonts w:ascii="宋体" w:hAnsi="宋体" w:cs="宋体"/>
          <w:color w:val="000000"/>
          <w:szCs w:val="21"/>
          <w:highlight w:val="none"/>
        </w:rPr>
        <w:t>15.8.1</w:t>
      </w:r>
      <w:r>
        <w:rPr>
          <w:rFonts w:hint="eastAsia" w:ascii="宋体" w:hAnsi="宋体" w:cs="宋体"/>
          <w:color w:val="000000"/>
          <w:szCs w:val="21"/>
          <w:highlight w:val="none"/>
        </w:rPr>
        <w:t>项的约定，由发包人和承包人以招标方式选择的供应商。</w:t>
      </w:r>
    </w:p>
    <w:p>
      <w:pPr>
        <w:spacing w:line="360" w:lineRule="auto"/>
        <w:ind w:firstLine="420" w:firstLineChars="200"/>
        <w:jc w:val="left"/>
        <w:rPr>
          <w:rFonts w:ascii="宋体" w:cs="宋体"/>
          <w:color w:val="000000"/>
          <w:szCs w:val="21"/>
          <w:highlight w:val="none"/>
          <w:u w:val="single"/>
        </w:rPr>
      </w:pPr>
      <w:r>
        <w:rPr>
          <w:rFonts w:ascii="宋体" w:hAnsi="宋体" w:cs="宋体"/>
          <w:color w:val="000000"/>
          <w:szCs w:val="21"/>
          <w:highlight w:val="none"/>
        </w:rPr>
        <w:t>1.1.2.11</w:t>
      </w:r>
      <w:r>
        <w:rPr>
          <w:rFonts w:hint="eastAsia" w:ascii="宋体" w:hAnsi="宋体" w:cs="宋体"/>
          <w:color w:val="000000"/>
          <w:szCs w:val="21"/>
          <w:highlight w:val="none"/>
        </w:rPr>
        <w:t>独立承包人：指与发包人直接订立工程承包合同，负责实施与工程有关的其他工作的当事人。</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1.1.3</w:t>
      </w:r>
      <w:r>
        <w:rPr>
          <w:rFonts w:hint="eastAsia" w:ascii="宋体" w:hAnsi="宋体" w:cs="宋体"/>
          <w:color w:val="000000"/>
          <w:szCs w:val="21"/>
          <w:highlight w:val="none"/>
        </w:rPr>
        <w:t>工程和设备</w:t>
      </w:r>
    </w:p>
    <w:p>
      <w:pPr>
        <w:spacing w:line="360" w:lineRule="auto"/>
        <w:ind w:firstLine="420" w:firstLineChars="200"/>
        <w:jc w:val="left"/>
        <w:rPr>
          <w:rFonts w:ascii="宋体" w:cs="宋体"/>
          <w:color w:val="000000"/>
          <w:szCs w:val="21"/>
          <w:highlight w:val="none"/>
          <w:u w:val="single"/>
        </w:rPr>
      </w:pPr>
      <w:r>
        <w:rPr>
          <w:rFonts w:ascii="宋体" w:hAnsi="宋体" w:cs="宋体"/>
          <w:color w:val="000000"/>
          <w:szCs w:val="21"/>
          <w:highlight w:val="none"/>
        </w:rPr>
        <w:t>1.1.3.2</w:t>
      </w:r>
      <w:r>
        <w:rPr>
          <w:rFonts w:hint="eastAsia" w:ascii="宋体" w:hAnsi="宋体" w:cs="宋体"/>
          <w:color w:val="000000"/>
          <w:szCs w:val="21"/>
          <w:highlight w:val="none"/>
        </w:rPr>
        <w:t>永久工程：</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1.1.3.3</w:t>
      </w:r>
      <w:r>
        <w:rPr>
          <w:rFonts w:hint="eastAsia" w:ascii="宋体" w:hAnsi="宋体" w:cs="宋体"/>
          <w:color w:val="000000"/>
          <w:szCs w:val="21"/>
          <w:highlight w:val="none"/>
        </w:rPr>
        <w:t>临时工程：</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临时供电、临时供水</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、临时照明</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1.1.3.4</w:t>
      </w:r>
      <w:r>
        <w:rPr>
          <w:rFonts w:hint="eastAsia" w:ascii="宋体" w:hAnsi="宋体" w:cs="宋体"/>
          <w:color w:val="000000"/>
          <w:szCs w:val="21"/>
          <w:highlight w:val="none"/>
        </w:rPr>
        <w:t>单位工程：指具有相对独立的设计文件，能够独立组织施工并能形成独立使用功能的永久工程的组成部分。</w:t>
      </w:r>
    </w:p>
    <w:p>
      <w:pPr>
        <w:spacing w:line="360" w:lineRule="auto"/>
        <w:ind w:firstLine="420" w:firstLineChars="200"/>
        <w:jc w:val="left"/>
        <w:rPr>
          <w:rFonts w:ascii="宋体" w:cs="宋体"/>
          <w:color w:val="000000"/>
          <w:szCs w:val="21"/>
          <w:highlight w:val="none"/>
          <w:u w:val="single"/>
        </w:rPr>
      </w:pPr>
      <w:r>
        <w:rPr>
          <w:rFonts w:ascii="宋体" w:hAnsi="宋体" w:cs="宋体"/>
          <w:color w:val="000000"/>
          <w:szCs w:val="21"/>
          <w:highlight w:val="none"/>
        </w:rPr>
        <w:t>1.1.3.10</w:t>
      </w:r>
      <w:r>
        <w:rPr>
          <w:rFonts w:hint="eastAsia" w:ascii="宋体" w:hAnsi="宋体" w:cs="宋体"/>
          <w:color w:val="000000"/>
          <w:szCs w:val="21"/>
          <w:highlight w:val="none"/>
        </w:rPr>
        <w:t>永久占地：</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1.1.3.11</w:t>
      </w:r>
      <w:r>
        <w:rPr>
          <w:rFonts w:hint="eastAsia" w:ascii="宋体" w:hAnsi="宋体" w:cs="宋体"/>
          <w:color w:val="000000"/>
          <w:szCs w:val="21"/>
          <w:highlight w:val="none"/>
        </w:rPr>
        <w:t>临时占地：</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1.1.4</w:t>
      </w:r>
      <w:r>
        <w:rPr>
          <w:rFonts w:hint="eastAsia" w:ascii="宋体" w:hAnsi="宋体" w:cs="宋体"/>
          <w:color w:val="000000"/>
          <w:szCs w:val="21"/>
          <w:highlight w:val="none"/>
        </w:rPr>
        <w:t>日期</w:t>
      </w:r>
    </w:p>
    <w:p>
      <w:pPr>
        <w:spacing w:line="360" w:lineRule="auto"/>
        <w:ind w:firstLine="420" w:firstLineChars="200"/>
        <w:jc w:val="left"/>
        <w:rPr>
          <w:rFonts w:ascii="宋体" w:cs="宋体"/>
          <w:color w:val="000000"/>
          <w:szCs w:val="21"/>
          <w:highlight w:val="none"/>
          <w:u w:val="single"/>
        </w:rPr>
      </w:pPr>
      <w:r>
        <w:rPr>
          <w:rFonts w:ascii="宋体" w:hAnsi="宋体" w:cs="宋体"/>
          <w:color w:val="000000"/>
          <w:szCs w:val="21"/>
          <w:highlight w:val="none"/>
        </w:rPr>
        <w:t>1.1.4.5</w:t>
      </w:r>
      <w:r>
        <w:rPr>
          <w:rFonts w:hint="eastAsia" w:ascii="宋体" w:hAnsi="宋体" w:cs="宋体"/>
          <w:color w:val="000000"/>
          <w:szCs w:val="21"/>
          <w:highlight w:val="none"/>
        </w:rPr>
        <w:t>缺陷责任期期限：</w:t>
      </w:r>
      <w:r>
        <w:rPr>
          <w:rFonts w:ascii="宋体" w:hAnsi="宋体" w:cs="宋体"/>
          <w:color w:val="000000"/>
          <w:szCs w:val="21"/>
          <w:highlight w:val="none"/>
          <w:u w:val="single"/>
        </w:rPr>
        <w:t xml:space="preserve">   24 </w:t>
      </w:r>
      <w:r>
        <w:rPr>
          <w:rFonts w:hint="eastAsia" w:ascii="宋体" w:hAnsi="宋体" w:cs="宋体"/>
          <w:color w:val="000000"/>
          <w:szCs w:val="21"/>
          <w:highlight w:val="none"/>
          <w:u w:val="single"/>
        </w:rPr>
        <w:t>个</w:t>
      </w:r>
      <w:r>
        <w:rPr>
          <w:rFonts w:ascii="宋体" w:hAnsi="宋体" w:cs="宋体"/>
          <w:color w:val="000000"/>
          <w:szCs w:val="21"/>
          <w:highlight w:val="none"/>
          <w:u w:val="single"/>
        </w:rPr>
        <w:t xml:space="preserve">   </w:t>
      </w:r>
      <w:r>
        <w:rPr>
          <w:rFonts w:hint="eastAsia" w:ascii="宋体" w:hAnsi="宋体" w:cs="宋体"/>
          <w:color w:val="000000"/>
          <w:szCs w:val="21"/>
          <w:highlight w:val="none"/>
        </w:rPr>
        <w:t>月。</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1.1.4.8</w:t>
      </w:r>
      <w:r>
        <w:rPr>
          <w:rFonts w:hint="eastAsia" w:ascii="宋体" w:hAnsi="宋体" w:cs="宋体"/>
          <w:color w:val="000000"/>
          <w:szCs w:val="21"/>
          <w:highlight w:val="none"/>
        </w:rPr>
        <w:t>保修期：是根据现行有关法律规定，在合同条款第</w:t>
      </w:r>
      <w:r>
        <w:rPr>
          <w:rFonts w:ascii="宋体" w:hAnsi="宋体" w:cs="宋体"/>
          <w:color w:val="000000"/>
          <w:szCs w:val="21"/>
          <w:highlight w:val="none"/>
        </w:rPr>
        <w:t>19.7</w:t>
      </w:r>
      <w:r>
        <w:rPr>
          <w:rFonts w:hint="eastAsia" w:ascii="宋体" w:hAnsi="宋体" w:cs="宋体"/>
          <w:color w:val="000000"/>
          <w:szCs w:val="21"/>
          <w:highlight w:val="none"/>
        </w:rPr>
        <w:t>款中约定的由承包人负责对合同约定的保修范围内发生的质量问题履行保修义务并对造成的损失承担赔偿责任的期限。</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1.1.6</w:t>
      </w:r>
      <w:r>
        <w:rPr>
          <w:rFonts w:hint="eastAsia" w:ascii="宋体" w:hAnsi="宋体" w:cs="宋体"/>
          <w:color w:val="000000"/>
          <w:szCs w:val="21"/>
          <w:highlight w:val="none"/>
        </w:rPr>
        <w:t>其他</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1.1.6.2</w:t>
      </w:r>
      <w:r>
        <w:rPr>
          <w:rFonts w:hint="eastAsia" w:ascii="宋体" w:hAnsi="宋体" w:cs="宋体"/>
          <w:color w:val="000000"/>
          <w:szCs w:val="21"/>
          <w:highlight w:val="none"/>
        </w:rPr>
        <w:t>材料：指构成或将构成永久工程组成部分的各类物品</w:t>
      </w:r>
      <w:r>
        <w:rPr>
          <w:rFonts w:ascii="宋体" w:hAnsi="宋体" w:cs="宋体"/>
          <w:color w:val="000000"/>
          <w:szCs w:val="21"/>
          <w:highlight w:val="none"/>
        </w:rPr>
        <w:t>(</w:t>
      </w:r>
      <w:r>
        <w:rPr>
          <w:rFonts w:hint="eastAsia" w:ascii="宋体" w:hAnsi="宋体" w:cs="宋体"/>
          <w:color w:val="000000"/>
          <w:szCs w:val="21"/>
          <w:highlight w:val="none"/>
        </w:rPr>
        <w:t>工程设备除外</w:t>
      </w:r>
      <w:r>
        <w:rPr>
          <w:rFonts w:ascii="宋体" w:hAnsi="宋体" w:cs="宋体"/>
          <w:color w:val="000000"/>
          <w:szCs w:val="21"/>
          <w:highlight w:val="none"/>
        </w:rPr>
        <w:t>)</w:t>
      </w:r>
      <w:r>
        <w:rPr>
          <w:rFonts w:hint="eastAsia" w:ascii="宋体" w:hAnsi="宋体" w:cs="宋体"/>
          <w:color w:val="000000"/>
          <w:szCs w:val="21"/>
          <w:highlight w:val="none"/>
        </w:rPr>
        <w:t>，包括合同中可能约定的承包人仅负责供应的材料。</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1.1.6.3</w:t>
      </w:r>
      <w:r>
        <w:rPr>
          <w:rFonts w:hint="eastAsia" w:ascii="宋体" w:hAnsi="宋体" w:cs="宋体"/>
          <w:color w:val="000000"/>
          <w:szCs w:val="21"/>
          <w:highlight w:val="none"/>
        </w:rPr>
        <w:t>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pStyle w:val="17"/>
        <w:spacing w:line="360" w:lineRule="auto"/>
        <w:rPr>
          <w:rFonts w:ascii="宋体" w:cs="宋体"/>
          <w:color w:val="000000"/>
          <w:sz w:val="21"/>
          <w:szCs w:val="21"/>
          <w:highlight w:val="none"/>
        </w:rPr>
      </w:pPr>
      <w:bookmarkStart w:id="122" w:name="_Toc368209070"/>
      <w:bookmarkStart w:id="123" w:name="_Toc368209548"/>
      <w:bookmarkStart w:id="124" w:name="_Toc366504011"/>
      <w:bookmarkStart w:id="125" w:name="_Toc389141062"/>
      <w:bookmarkStart w:id="126" w:name="_Toc371939183"/>
      <w:r>
        <w:rPr>
          <w:rFonts w:ascii="宋体" w:hAnsi="宋体" w:cs="宋体"/>
          <w:color w:val="000000"/>
          <w:sz w:val="21"/>
          <w:szCs w:val="21"/>
          <w:highlight w:val="none"/>
        </w:rPr>
        <w:t xml:space="preserve">1.1.6.4 </w:t>
      </w:r>
      <w:r>
        <w:rPr>
          <w:rFonts w:hint="eastAsia" w:ascii="宋体" w:hAnsi="宋体" w:cs="宋体"/>
          <w:color w:val="000000"/>
          <w:sz w:val="21"/>
          <w:szCs w:val="21"/>
          <w:highlight w:val="none"/>
        </w:rPr>
        <w:t>除另有特别指明外，专用合同条款中使用的措辞“合同条款”指通用合同条款和（或）专用合同条款。</w:t>
      </w:r>
      <w:bookmarkEnd w:id="122"/>
      <w:bookmarkEnd w:id="123"/>
      <w:bookmarkEnd w:id="124"/>
      <w:bookmarkEnd w:id="125"/>
      <w:bookmarkEnd w:id="126"/>
    </w:p>
    <w:p>
      <w:pPr>
        <w:pStyle w:val="126"/>
        <w:spacing w:line="360" w:lineRule="auto"/>
        <w:outlineLvl w:val="9"/>
        <w:rPr>
          <w:rFonts w:ascii="宋体" w:hAnsi="宋体" w:eastAsia="宋体"/>
          <w:color w:val="000000"/>
          <w:sz w:val="21"/>
          <w:szCs w:val="21"/>
          <w:highlight w:val="none"/>
        </w:rPr>
      </w:pPr>
      <w:bookmarkStart w:id="127" w:name="_Toc144974583"/>
      <w:bookmarkStart w:id="128" w:name="_Toc152042393"/>
      <w:bookmarkStart w:id="129" w:name="_Toc152045615"/>
      <w:bookmarkStart w:id="130" w:name="_Toc179632633"/>
      <w:bookmarkStart w:id="131" w:name="_Toc241459661"/>
      <w:bookmarkStart w:id="132" w:name="_Toc342296420"/>
      <w:bookmarkStart w:id="133" w:name="_Toc371939184"/>
      <w:bookmarkStart w:id="134" w:name="_Toc389141063"/>
      <w:bookmarkStart w:id="135" w:name="_Toc409517591"/>
      <w:bookmarkStart w:id="136" w:name="_Toc409517879"/>
      <w:bookmarkStart w:id="137" w:name="_Toc409518167"/>
      <w:bookmarkStart w:id="138" w:name="_Toc424289429"/>
      <w:bookmarkStart w:id="139" w:name="_Toc21658"/>
      <w:r>
        <w:rPr>
          <w:rFonts w:ascii="宋体" w:hAnsi="宋体" w:eastAsia="宋体"/>
          <w:color w:val="000000"/>
          <w:sz w:val="21"/>
          <w:szCs w:val="21"/>
          <w:highlight w:val="none"/>
        </w:rPr>
        <w:t xml:space="preserve">1.4 </w:t>
      </w:r>
      <w:r>
        <w:rPr>
          <w:rFonts w:hint="eastAsia" w:ascii="宋体" w:hAnsi="宋体" w:eastAsia="宋体"/>
          <w:color w:val="000000"/>
          <w:sz w:val="21"/>
          <w:szCs w:val="21"/>
          <w:highlight w:val="none"/>
        </w:rPr>
        <w:t>合同文件的优先顺序</w:t>
      </w:r>
      <w:bookmarkEnd w:id="127"/>
      <w:bookmarkEnd w:id="128"/>
      <w:bookmarkEnd w:id="129"/>
      <w:bookmarkEnd w:id="130"/>
      <w:bookmarkEnd w:id="131"/>
      <w:bookmarkEnd w:id="132"/>
      <w:bookmarkEnd w:id="133"/>
      <w:bookmarkEnd w:id="134"/>
      <w:bookmarkEnd w:id="135"/>
      <w:bookmarkEnd w:id="136"/>
      <w:bookmarkEnd w:id="137"/>
      <w:bookmarkEnd w:id="138"/>
      <w:bookmarkEnd w:id="139"/>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合同文件的优先解释顺序如下：</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）合同协议书；</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）中标通知书；</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）投标函及投标函附录；</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）专用合同条款；</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）通用合同条款；</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6</w:t>
      </w:r>
      <w:r>
        <w:rPr>
          <w:rFonts w:hint="eastAsia" w:ascii="宋体" w:hAnsi="宋体" w:cs="宋体"/>
          <w:color w:val="000000"/>
          <w:szCs w:val="21"/>
          <w:highlight w:val="none"/>
        </w:rPr>
        <w:t>）</w:t>
      </w:r>
      <w:r>
        <w:rPr>
          <w:rFonts w:hint="eastAsia" w:ascii="宋体" w:hAnsi="宋体" w:cs="宋体"/>
          <w:color w:val="000000"/>
          <w:szCs w:val="21"/>
          <w:highlight w:val="none"/>
          <w:u w:val="single"/>
        </w:rPr>
        <w:t>已标价工程量清单</w:t>
      </w:r>
      <w:r>
        <w:rPr>
          <w:rFonts w:ascii="宋体" w:hAnsi="宋体" w:cs="宋体"/>
          <w:color w:val="000000"/>
          <w:szCs w:val="21"/>
          <w:highlight w:val="none"/>
          <w:u w:val="singl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7</w:t>
      </w:r>
      <w:r>
        <w:rPr>
          <w:rFonts w:hint="eastAsia" w:ascii="宋体" w:hAnsi="宋体" w:cs="宋体"/>
          <w:color w:val="000000"/>
          <w:szCs w:val="21"/>
          <w:highlight w:val="none"/>
        </w:rPr>
        <w:t>）</w:t>
      </w:r>
      <w:r>
        <w:rPr>
          <w:rFonts w:hint="eastAsia" w:ascii="宋体" w:hAnsi="宋体" w:cs="宋体"/>
          <w:color w:val="000000"/>
          <w:szCs w:val="21"/>
          <w:highlight w:val="none"/>
          <w:u w:val="single"/>
        </w:rPr>
        <w:t>图纸</w:t>
      </w:r>
      <w:r>
        <w:rPr>
          <w:rFonts w:ascii="宋体" w:hAnsi="宋体" w:cs="宋体"/>
          <w:color w:val="000000"/>
          <w:szCs w:val="21"/>
          <w:highlight w:val="none"/>
          <w:u w:val="singl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w:t>
      </w:r>
    </w:p>
    <w:p>
      <w:pPr>
        <w:spacing w:line="360" w:lineRule="auto"/>
        <w:ind w:firstLine="482"/>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8</w:t>
      </w:r>
      <w:r>
        <w:rPr>
          <w:rFonts w:hint="eastAsia" w:ascii="宋体" w:hAnsi="宋体" w:cs="宋体"/>
          <w:color w:val="000000"/>
          <w:szCs w:val="21"/>
          <w:highlight w:val="none"/>
        </w:rPr>
        <w:t>）</w:t>
      </w:r>
      <w:r>
        <w:rPr>
          <w:rFonts w:hint="eastAsia" w:ascii="宋体" w:hAnsi="宋体" w:cs="宋体"/>
          <w:color w:val="000000"/>
          <w:szCs w:val="21"/>
          <w:highlight w:val="none"/>
          <w:u w:val="single"/>
        </w:rPr>
        <w:t>技术标准和要求</w:t>
      </w:r>
      <w:r>
        <w:rPr>
          <w:rFonts w:ascii="宋体" w:hAnsi="宋体" w:cs="宋体"/>
          <w:color w:val="000000"/>
          <w:szCs w:val="21"/>
          <w:highlight w:val="none"/>
          <w:u w:val="singl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9</w:t>
      </w:r>
      <w:r>
        <w:rPr>
          <w:rFonts w:hint="eastAsia" w:ascii="宋体" w:hAnsi="宋体" w:cs="宋体"/>
          <w:color w:val="000000"/>
          <w:szCs w:val="21"/>
          <w:highlight w:val="none"/>
        </w:rPr>
        <w:t>）</w:t>
      </w:r>
      <w:r>
        <w:rPr>
          <w:rFonts w:hint="eastAsia" w:ascii="宋体" w:hAnsi="宋体" w:cs="宋体"/>
          <w:color w:val="000000"/>
          <w:szCs w:val="21"/>
          <w:highlight w:val="none"/>
          <w:u w:val="single"/>
        </w:rPr>
        <w:t>施工组织设计</w:t>
      </w:r>
      <w:r>
        <w:rPr>
          <w:rFonts w:ascii="宋体" w:hAnsi="宋体" w:cs="宋体"/>
          <w:color w:val="000000"/>
          <w:szCs w:val="21"/>
          <w:highlight w:val="none"/>
          <w:u w:val="singl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合同协议书中约定采用总价合同形式的，除非合同另有约定，已标价工程量清单中的各项工程量对合同双方不具合同约束力。</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图纸与技术标准和要求之间有矛盾或者不一致的，以其中要求较严格的标准为准。</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合同双方在合同履行过程中签订的补充协议亦构成合同文件的组成部分，其解释顺序视其内容与其他合同文件的相互关系而定。</w:t>
      </w:r>
    </w:p>
    <w:p>
      <w:pPr>
        <w:pStyle w:val="126"/>
        <w:spacing w:line="360" w:lineRule="auto"/>
        <w:outlineLvl w:val="9"/>
        <w:rPr>
          <w:rFonts w:ascii="宋体" w:hAnsi="宋体" w:eastAsia="宋体"/>
          <w:color w:val="000000"/>
          <w:sz w:val="21"/>
          <w:szCs w:val="21"/>
          <w:highlight w:val="none"/>
        </w:rPr>
      </w:pPr>
      <w:bookmarkStart w:id="140" w:name="_Toc144974584"/>
      <w:bookmarkStart w:id="141" w:name="_Toc152042394"/>
      <w:bookmarkStart w:id="142" w:name="_Toc152045616"/>
      <w:bookmarkStart w:id="143" w:name="_Toc179632634"/>
      <w:bookmarkStart w:id="144" w:name="_Toc241459662"/>
      <w:bookmarkStart w:id="145" w:name="_Toc342296421"/>
      <w:bookmarkStart w:id="146" w:name="_Toc371939185"/>
      <w:bookmarkStart w:id="147" w:name="_Toc389141064"/>
      <w:bookmarkStart w:id="148" w:name="_Toc409517592"/>
      <w:bookmarkStart w:id="149" w:name="_Toc409517880"/>
      <w:bookmarkStart w:id="150" w:name="_Toc409518168"/>
      <w:bookmarkStart w:id="151" w:name="_Toc424289430"/>
      <w:bookmarkStart w:id="152" w:name="_Toc25858"/>
      <w:r>
        <w:rPr>
          <w:rFonts w:ascii="宋体" w:hAnsi="宋体" w:eastAsia="宋体"/>
          <w:color w:val="000000"/>
          <w:sz w:val="21"/>
          <w:szCs w:val="21"/>
          <w:highlight w:val="none"/>
        </w:rPr>
        <w:t xml:space="preserve">1.5 </w:t>
      </w:r>
      <w:r>
        <w:rPr>
          <w:rFonts w:hint="eastAsia" w:ascii="宋体" w:hAnsi="宋体" w:eastAsia="宋体"/>
          <w:color w:val="000000"/>
          <w:sz w:val="21"/>
          <w:szCs w:val="21"/>
          <w:highlight w:val="none"/>
        </w:rPr>
        <w:t>合同协议书</w:t>
      </w:r>
      <w:bookmarkEnd w:id="140"/>
      <w:bookmarkEnd w:id="141"/>
      <w:bookmarkEnd w:id="142"/>
      <w:bookmarkEnd w:id="143"/>
      <w:bookmarkEnd w:id="144"/>
      <w:bookmarkEnd w:id="145"/>
      <w:bookmarkEnd w:id="146"/>
      <w:bookmarkEnd w:id="147"/>
      <w:bookmarkEnd w:id="148"/>
      <w:bookmarkEnd w:id="149"/>
      <w:bookmarkEnd w:id="150"/>
      <w:bookmarkEnd w:id="151"/>
      <w:bookmarkEnd w:id="152"/>
    </w:p>
    <w:p>
      <w:pPr>
        <w:spacing w:line="360" w:lineRule="auto"/>
        <w:ind w:firstLine="420" w:firstLineChars="200"/>
        <w:rPr>
          <w:rFonts w:ascii="宋体" w:cs="宋体"/>
          <w:color w:val="000000"/>
          <w:szCs w:val="21"/>
          <w:highlight w:val="none"/>
          <w:u w:val="single"/>
        </w:rPr>
      </w:pPr>
      <w:r>
        <w:rPr>
          <w:rFonts w:hint="eastAsia" w:ascii="宋体" w:hAnsi="宋体" w:cs="宋体"/>
          <w:color w:val="000000"/>
          <w:szCs w:val="21"/>
          <w:highlight w:val="none"/>
        </w:rPr>
        <w:t>合同生效的条件：</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发承包双方签字盖章后开始生效</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153" w:name="_Toc144974585"/>
      <w:bookmarkStart w:id="154" w:name="_Toc152042395"/>
      <w:bookmarkStart w:id="155" w:name="_Toc152045617"/>
      <w:bookmarkStart w:id="156" w:name="_Toc179632635"/>
      <w:bookmarkStart w:id="157" w:name="_Toc241459663"/>
      <w:bookmarkStart w:id="158" w:name="_Toc342296422"/>
      <w:bookmarkStart w:id="159" w:name="_Toc371939186"/>
      <w:bookmarkStart w:id="160" w:name="_Toc389141065"/>
      <w:bookmarkStart w:id="161" w:name="_Toc409517593"/>
      <w:bookmarkStart w:id="162" w:name="_Toc409517881"/>
      <w:bookmarkStart w:id="163" w:name="_Toc409518169"/>
      <w:bookmarkStart w:id="164" w:name="_Toc424289431"/>
      <w:bookmarkStart w:id="165" w:name="_Toc16533"/>
      <w:r>
        <w:rPr>
          <w:rFonts w:ascii="宋体" w:hAnsi="宋体" w:eastAsia="宋体"/>
          <w:color w:val="000000"/>
          <w:sz w:val="21"/>
          <w:szCs w:val="21"/>
          <w:highlight w:val="none"/>
        </w:rPr>
        <w:t xml:space="preserve">1.6 </w:t>
      </w:r>
      <w:r>
        <w:rPr>
          <w:rFonts w:hint="eastAsia" w:ascii="宋体" w:hAnsi="宋体" w:eastAsia="宋体"/>
          <w:color w:val="000000"/>
          <w:sz w:val="21"/>
          <w:szCs w:val="21"/>
          <w:highlight w:val="none"/>
        </w:rPr>
        <w:t>图纸和承包人文件</w:t>
      </w:r>
      <w:bookmarkEnd w:id="153"/>
      <w:bookmarkEnd w:id="154"/>
      <w:bookmarkEnd w:id="155"/>
      <w:bookmarkEnd w:id="156"/>
      <w:bookmarkEnd w:id="157"/>
      <w:bookmarkEnd w:id="158"/>
      <w:bookmarkEnd w:id="159"/>
      <w:bookmarkEnd w:id="160"/>
      <w:bookmarkEnd w:id="161"/>
      <w:bookmarkEnd w:id="162"/>
      <w:bookmarkEnd w:id="163"/>
      <w:bookmarkEnd w:id="164"/>
      <w:bookmarkEnd w:id="165"/>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1.6.1</w:t>
      </w:r>
      <w:r>
        <w:rPr>
          <w:rFonts w:hint="eastAsia" w:ascii="宋体" w:hAnsi="宋体" w:cs="宋体"/>
          <w:color w:val="000000"/>
          <w:szCs w:val="21"/>
          <w:highlight w:val="none"/>
        </w:rPr>
        <w:t>图纸的提供</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w:t>
      </w:r>
      <w:r>
        <w:rPr>
          <w:rFonts w:ascii="宋体" w:hAnsi="宋体" w:cs="宋体"/>
          <w:color w:val="000000"/>
          <w:szCs w:val="21"/>
          <w:highlight w:val="none"/>
        </w:rPr>
        <w:t xml:space="preserve"> </w:t>
      </w:r>
      <w:r>
        <w:rPr>
          <w:rFonts w:hint="eastAsia" w:ascii="宋体" w:hAnsi="宋体" w:cs="宋体"/>
          <w:color w:val="000000"/>
          <w:szCs w:val="21"/>
          <w:highlight w:val="none"/>
        </w:rPr>
        <w:t>发包人按照合同条款本项的约定向承包人提供图纸。承包人需要增加图纸套数的，发包人应代为复制，复制费用由承包人承担。</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w:t>
      </w:r>
      <w:r>
        <w:rPr>
          <w:rFonts w:ascii="宋体" w:hAnsi="宋体" w:cs="宋体"/>
          <w:color w:val="000000"/>
          <w:szCs w:val="21"/>
          <w:highlight w:val="none"/>
        </w:rPr>
        <w:t xml:space="preserve"> </w:t>
      </w:r>
      <w:r>
        <w:rPr>
          <w:rFonts w:hint="eastAsia" w:ascii="宋体" w:hAnsi="宋体" w:cs="宋体"/>
          <w:color w:val="000000"/>
          <w:szCs w:val="21"/>
          <w:highlight w:val="none"/>
        </w:rPr>
        <w:t>在监理人批准合同条款第</w:t>
      </w:r>
      <w:r>
        <w:rPr>
          <w:rFonts w:ascii="宋体" w:hAnsi="宋体" w:cs="宋体"/>
          <w:color w:val="000000"/>
          <w:szCs w:val="21"/>
          <w:highlight w:val="none"/>
        </w:rPr>
        <w:t>10.1</w:t>
      </w:r>
      <w:r>
        <w:rPr>
          <w:rFonts w:hint="eastAsia" w:ascii="宋体" w:hAnsi="宋体" w:cs="宋体"/>
          <w:color w:val="000000"/>
          <w:szCs w:val="21"/>
          <w:highlight w:val="none"/>
        </w:rPr>
        <w:t>款约定的合同进度计划或者合同条款</w:t>
      </w:r>
      <w:r>
        <w:rPr>
          <w:rFonts w:ascii="宋体" w:hAnsi="宋体" w:cs="宋体"/>
          <w:color w:val="000000"/>
          <w:szCs w:val="21"/>
          <w:highlight w:val="none"/>
        </w:rPr>
        <w:t>10.2</w:t>
      </w:r>
      <w:r>
        <w:rPr>
          <w:rFonts w:hint="eastAsia" w:ascii="宋体" w:hAnsi="宋体" w:cs="宋体"/>
          <w:color w:val="000000"/>
          <w:szCs w:val="21"/>
          <w:highlight w:val="none"/>
        </w:rPr>
        <w:t>款约定的合同进度计划修改后</w:t>
      </w:r>
      <w:r>
        <w:rPr>
          <w:rFonts w:ascii="宋体" w:hAnsi="宋体" w:cs="宋体"/>
          <w:color w:val="000000"/>
          <w:szCs w:val="21"/>
          <w:highlight w:val="none"/>
        </w:rPr>
        <w:t>7</w:t>
      </w:r>
      <w:r>
        <w:rPr>
          <w:rFonts w:hint="eastAsia" w:ascii="宋体" w:hAnsi="宋体" w:cs="宋体"/>
          <w:color w:val="000000"/>
          <w:szCs w:val="21"/>
          <w:highlight w:val="none"/>
        </w:rPr>
        <w:t>天内</w:t>
      </w:r>
      <w:r>
        <w:rPr>
          <w:rFonts w:ascii="宋体" w:cs="宋体"/>
          <w:color w:val="000000"/>
          <w:szCs w:val="21"/>
          <w:highlight w:val="none"/>
        </w:rPr>
        <w:t>,</w:t>
      </w:r>
      <w:r>
        <w:rPr>
          <w:rFonts w:hint="eastAsia" w:ascii="宋体" w:hAnsi="宋体" w:cs="宋体"/>
          <w:color w:val="000000"/>
          <w:szCs w:val="21"/>
          <w:highlight w:val="none"/>
        </w:rPr>
        <w:t>承包人应当根据合同进度计划和本项约定的图纸提供期限和数量，编制或者修改图纸供应计划并报送监理人，其中应当载明承包人对各区段最新版本图纸</w:t>
      </w:r>
      <w:r>
        <w:rPr>
          <w:rFonts w:ascii="宋体" w:hAnsi="宋体" w:cs="宋体"/>
          <w:color w:val="000000"/>
          <w:szCs w:val="21"/>
          <w:highlight w:val="none"/>
        </w:rPr>
        <w:t>(</w:t>
      </w:r>
      <w:r>
        <w:rPr>
          <w:rFonts w:hint="eastAsia" w:ascii="宋体" w:hAnsi="宋体" w:cs="宋体"/>
          <w:color w:val="000000"/>
          <w:szCs w:val="21"/>
          <w:highlight w:val="none"/>
        </w:rPr>
        <w:t>包括合同条款第</w:t>
      </w:r>
      <w:r>
        <w:rPr>
          <w:rFonts w:ascii="宋体" w:hAnsi="宋体" w:cs="宋体"/>
          <w:color w:val="000000"/>
          <w:szCs w:val="21"/>
          <w:highlight w:val="none"/>
        </w:rPr>
        <w:t>1.6.3</w:t>
      </w:r>
      <w:r>
        <w:rPr>
          <w:rFonts w:hint="eastAsia" w:ascii="宋体" w:hAnsi="宋体" w:cs="宋体"/>
          <w:color w:val="000000"/>
          <w:szCs w:val="21"/>
          <w:highlight w:val="none"/>
        </w:rPr>
        <w:t>项约定的图纸修改图</w:t>
      </w:r>
      <w:r>
        <w:rPr>
          <w:rFonts w:ascii="宋体" w:hAnsi="宋体" w:cs="宋体"/>
          <w:color w:val="000000"/>
          <w:szCs w:val="21"/>
          <w:highlight w:val="none"/>
        </w:rPr>
        <w:t>)</w:t>
      </w:r>
      <w:r>
        <w:rPr>
          <w:rFonts w:hint="eastAsia" w:ascii="宋体" w:hAnsi="宋体" w:cs="宋体"/>
          <w:color w:val="000000"/>
          <w:szCs w:val="21"/>
          <w:highlight w:val="none"/>
        </w:rPr>
        <w:t>的最迟需求时间，监理人应当在收到图纸供应计划后</w:t>
      </w:r>
      <w:r>
        <w:rPr>
          <w:rFonts w:ascii="宋体" w:hAnsi="宋体" w:cs="宋体"/>
          <w:color w:val="000000"/>
          <w:szCs w:val="21"/>
          <w:highlight w:val="none"/>
        </w:rPr>
        <w:t>7</w:t>
      </w:r>
      <w:r>
        <w:rPr>
          <w:rFonts w:hint="eastAsia" w:ascii="宋体" w:hAnsi="宋体" w:cs="宋体"/>
          <w:color w:val="000000"/>
          <w:szCs w:val="21"/>
          <w:highlight w:val="none"/>
        </w:rPr>
        <w:t>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w:t>
      </w:r>
      <w:r>
        <w:rPr>
          <w:rFonts w:ascii="宋体" w:cs="宋体"/>
          <w:color w:val="000000"/>
          <w:szCs w:val="21"/>
          <w:highlight w:val="none"/>
        </w:rPr>
        <w:t>,</w:t>
      </w:r>
      <w:r>
        <w:rPr>
          <w:rFonts w:hint="eastAsia" w:ascii="宋体" w:hAnsi="宋体" w:cs="宋体"/>
          <w:color w:val="000000"/>
          <w:szCs w:val="21"/>
          <w:highlight w:val="none"/>
        </w:rPr>
        <w:t>致使发包人或者监理人未能在合理的时间内提供相应图纸或者承包人未按照图纸供应计划组织施工所造成的费用增加和（或）工期延误由承包人承担。</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）发包人提供图纸的期限：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开工前七天</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）发包人提供图纸的数量：</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两套</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 xml:space="preserve">1.6.2 </w:t>
      </w:r>
      <w:r>
        <w:rPr>
          <w:rFonts w:hint="eastAsia" w:ascii="宋体" w:hAnsi="宋体" w:cs="宋体"/>
          <w:color w:val="000000"/>
          <w:szCs w:val="21"/>
          <w:highlight w:val="none"/>
        </w:rPr>
        <w:t>承包人提供的文件</w:t>
      </w:r>
    </w:p>
    <w:p>
      <w:pPr>
        <w:spacing w:line="360" w:lineRule="auto"/>
        <w:ind w:firstLine="315" w:firstLineChars="150"/>
        <w:rPr>
          <w:rFonts w:ascii="宋体" w:hAnsi="宋体" w:cs="宋体"/>
          <w:color w:val="000000"/>
          <w:szCs w:val="21"/>
          <w:highlight w:val="none"/>
          <w:u w:val="singl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）除专用合同条款第</w:t>
      </w:r>
      <w:r>
        <w:rPr>
          <w:rFonts w:ascii="宋体" w:hAnsi="宋体" w:cs="宋体"/>
          <w:color w:val="000000"/>
          <w:szCs w:val="21"/>
          <w:highlight w:val="none"/>
        </w:rPr>
        <w:t>4.1.10(1)</w:t>
      </w:r>
      <w:r>
        <w:rPr>
          <w:rFonts w:hint="eastAsia" w:ascii="宋体" w:hAnsi="宋体" w:cs="宋体"/>
          <w:color w:val="000000"/>
          <w:szCs w:val="21"/>
          <w:highlight w:val="none"/>
        </w:rPr>
        <w:t>目约定的由承包人提供的设计文件外，本项约定的其他应由承包人提供的文件，包括必要的加工图和大样图，均不是合同计量与支付的依据文件。由承包人提供的文件范围：</w:t>
      </w:r>
      <w:r>
        <w:rPr>
          <w:rFonts w:ascii="宋体" w:hAnsi="宋体" w:cs="宋体"/>
          <w:color w:val="000000"/>
          <w:szCs w:val="21"/>
          <w:highlight w:val="none"/>
          <w:u w:val="single"/>
        </w:rPr>
        <w:t xml:space="preserve">     /                             </w:t>
      </w:r>
    </w:p>
    <w:p>
      <w:pPr>
        <w:spacing w:line="360" w:lineRule="auto"/>
        <w:ind w:firstLine="315" w:firstLineChars="150"/>
        <w:rPr>
          <w:rFonts w:ascii="宋体" w:cs="宋体"/>
          <w:color w:val="000000"/>
          <w:szCs w:val="21"/>
          <w:highlight w:val="none"/>
          <w:u w:val="single"/>
        </w:rPr>
      </w:pPr>
      <w:r>
        <w:rPr>
          <w:rFonts w:ascii="宋体" w:hAnsi="宋体" w:cs="宋体"/>
          <w:color w:val="000000"/>
          <w:szCs w:val="21"/>
          <w:highlight w:val="none"/>
        </w:rPr>
        <w:t xml:space="preserve"> </w:t>
      </w: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）承包人提供文件的期限：</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u w:val="singl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）承包人提供文件的数量：</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315" w:firstLineChars="150"/>
        <w:rPr>
          <w:rFonts w:ascii="宋体" w:hAnsi="宋体" w:cs="宋体"/>
          <w:color w:val="000000"/>
          <w:szCs w:val="21"/>
          <w:highlight w:val="none"/>
          <w:u w:val="singl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）监理人批复承包人提供文件的期限：</w:t>
      </w:r>
      <w:r>
        <w:rPr>
          <w:rFonts w:ascii="宋体" w:hAnsi="宋体" w:cs="宋体"/>
          <w:color w:val="000000"/>
          <w:szCs w:val="21"/>
          <w:highlight w:val="none"/>
          <w:u w:val="single"/>
        </w:rPr>
        <w:t xml:space="preserve">/                                </w:t>
      </w:r>
    </w:p>
    <w:p>
      <w:pPr>
        <w:spacing w:line="360" w:lineRule="auto"/>
        <w:ind w:left="31680" w:hanging="315" w:hangingChars="150"/>
        <w:rPr>
          <w:rFonts w:ascii="宋体" w:cs="宋体"/>
          <w:color w:val="000000"/>
          <w:szCs w:val="21"/>
          <w:highlight w:val="none"/>
        </w:rPr>
      </w:pPr>
      <w:r>
        <w:rPr>
          <w:rFonts w:ascii="宋体" w:hAnsi="宋体" w:cs="宋体"/>
          <w:color w:val="000000"/>
          <w:szCs w:val="21"/>
          <w:highlight w:val="none"/>
        </w:rPr>
        <w:t xml:space="preserve">   </w:t>
      </w: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）其他约定：</w:t>
      </w:r>
      <w:r>
        <w:rPr>
          <w:rFonts w:ascii="宋体" w:hAnsi="宋体" w:cs="宋体"/>
          <w:color w:val="000000"/>
          <w:szCs w:val="21"/>
          <w:highlight w:val="none"/>
          <w:u w:val="single"/>
        </w:rPr>
        <w:t xml:space="preserve">         /                                               </w:t>
      </w:r>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 xml:space="preserve">1.6.3 </w:t>
      </w:r>
      <w:r>
        <w:rPr>
          <w:rFonts w:hint="eastAsia" w:ascii="宋体" w:hAnsi="宋体" w:cs="宋体"/>
          <w:color w:val="000000"/>
          <w:szCs w:val="21"/>
          <w:highlight w:val="none"/>
        </w:rPr>
        <w:t>图纸的修改</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监理人应当按照合同条款第</w:t>
      </w:r>
      <w:r>
        <w:rPr>
          <w:rFonts w:ascii="宋体" w:hAnsi="宋体" w:cs="宋体"/>
          <w:color w:val="000000"/>
          <w:szCs w:val="21"/>
          <w:highlight w:val="none"/>
        </w:rPr>
        <w:t>1.6.1</w:t>
      </w: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）目约定的有合同约束力的图纸供应计划，签发图纸修改图给承包人。</w:t>
      </w:r>
    </w:p>
    <w:p>
      <w:pPr>
        <w:pStyle w:val="126"/>
        <w:spacing w:line="360" w:lineRule="auto"/>
        <w:outlineLvl w:val="9"/>
        <w:rPr>
          <w:rFonts w:ascii="宋体" w:hAnsi="宋体" w:eastAsia="宋体"/>
          <w:color w:val="000000"/>
          <w:sz w:val="21"/>
          <w:szCs w:val="21"/>
          <w:highlight w:val="none"/>
        </w:rPr>
      </w:pPr>
      <w:bookmarkStart w:id="166" w:name="_Toc144974586"/>
      <w:bookmarkStart w:id="167" w:name="_Toc152042396"/>
      <w:bookmarkStart w:id="168" w:name="_Toc152045618"/>
      <w:bookmarkStart w:id="169" w:name="_Toc179632636"/>
      <w:bookmarkStart w:id="170" w:name="_Toc241459664"/>
      <w:bookmarkStart w:id="171" w:name="_Toc342296423"/>
      <w:bookmarkStart w:id="172" w:name="_Toc371939187"/>
      <w:bookmarkStart w:id="173" w:name="_Toc389141066"/>
      <w:bookmarkStart w:id="174" w:name="_Toc409517594"/>
      <w:bookmarkStart w:id="175" w:name="_Toc409517882"/>
      <w:bookmarkStart w:id="176" w:name="_Toc409518170"/>
      <w:bookmarkStart w:id="177" w:name="_Toc424289432"/>
      <w:bookmarkStart w:id="178" w:name="_Toc3497"/>
      <w:r>
        <w:rPr>
          <w:rFonts w:ascii="宋体" w:hAnsi="宋体" w:eastAsia="宋体"/>
          <w:color w:val="000000"/>
          <w:sz w:val="21"/>
          <w:szCs w:val="21"/>
          <w:highlight w:val="none"/>
        </w:rPr>
        <w:t xml:space="preserve">1.7 </w:t>
      </w:r>
      <w:r>
        <w:rPr>
          <w:rFonts w:hint="eastAsia" w:ascii="宋体" w:hAnsi="宋体" w:eastAsia="宋体"/>
          <w:color w:val="000000"/>
          <w:sz w:val="21"/>
          <w:szCs w:val="21"/>
          <w:highlight w:val="none"/>
        </w:rPr>
        <w:t>联</w:t>
      </w:r>
      <w:r>
        <w:rPr>
          <w:rFonts w:ascii="宋体" w:hAnsi="宋体" w:eastAsia="宋体"/>
          <w:color w:val="000000"/>
          <w:sz w:val="21"/>
          <w:szCs w:val="21"/>
          <w:highlight w:val="none"/>
        </w:rPr>
        <w:t xml:space="preserve"> </w:t>
      </w:r>
      <w:r>
        <w:rPr>
          <w:rFonts w:hint="eastAsia" w:ascii="宋体" w:hAnsi="宋体" w:eastAsia="宋体"/>
          <w:color w:val="000000"/>
          <w:sz w:val="21"/>
          <w:szCs w:val="21"/>
          <w:highlight w:val="none"/>
        </w:rPr>
        <w:t>络</w:t>
      </w:r>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360" w:lineRule="auto"/>
        <w:ind w:firstLine="420" w:firstLineChars="200"/>
        <w:jc w:val="left"/>
        <w:rPr>
          <w:rFonts w:ascii="宋体" w:cs="宋体"/>
          <w:color w:val="000000"/>
          <w:szCs w:val="21"/>
          <w:highlight w:val="none"/>
        </w:rPr>
      </w:pPr>
      <w:r>
        <w:rPr>
          <w:rFonts w:ascii="宋体" w:hAnsi="宋体" w:cs="宋体"/>
          <w:color w:val="000000"/>
          <w:szCs w:val="21"/>
          <w:highlight w:val="none"/>
        </w:rPr>
        <w:t>1.7.2</w:t>
      </w:r>
      <w:r>
        <w:rPr>
          <w:rFonts w:hint="eastAsia" w:ascii="宋体" w:hAnsi="宋体" w:cs="宋体"/>
          <w:color w:val="000000"/>
          <w:szCs w:val="21"/>
          <w:highlight w:val="none"/>
        </w:rPr>
        <w:t>联络来往函件的送达和接收</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）联络来往信函的送达期限：合同约定了发出期限的，送达期限为合同约定的发出期限后的</w:t>
      </w:r>
      <w:r>
        <w:rPr>
          <w:rFonts w:ascii="宋体" w:hAnsi="宋体" w:cs="宋体"/>
          <w:color w:val="000000"/>
          <w:szCs w:val="21"/>
          <w:highlight w:val="none"/>
        </w:rPr>
        <w:t>24</w:t>
      </w:r>
      <w:r>
        <w:rPr>
          <w:rFonts w:hint="eastAsia" w:ascii="宋体" w:hAnsi="宋体" w:cs="宋体"/>
          <w:color w:val="000000"/>
          <w:szCs w:val="21"/>
          <w:highlight w:val="none"/>
        </w:rPr>
        <w:t>小时内；合同约定了通知、提供或者报送期限的，通知、提供或者报送期限即为送达期限。</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）发包人指定的接收地点：</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合同签订时确定</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）发包人指定的接收人为：</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合同签订时确定</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）监理人指定的接收地点：</w:t>
      </w:r>
      <w:r>
        <w:rPr>
          <w:rFonts w:hint="eastAsia" w:ascii="宋体" w:hAnsi="宋体" w:cs="宋体"/>
          <w:color w:val="000000"/>
          <w:szCs w:val="21"/>
          <w:highlight w:val="none"/>
          <w:u w:val="single"/>
        </w:rPr>
        <w:t>合同签订时确定</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）监理人指定的接收人为：</w:t>
      </w:r>
      <w:r>
        <w:rPr>
          <w:rFonts w:hint="eastAsia" w:ascii="宋体" w:hAnsi="宋体" w:cs="宋体"/>
          <w:color w:val="000000"/>
          <w:szCs w:val="21"/>
          <w:highlight w:val="none"/>
          <w:u w:val="single"/>
        </w:rPr>
        <w:t>合同签订时确定</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6</w:t>
      </w:r>
      <w:r>
        <w:rPr>
          <w:rFonts w:hint="eastAsia" w:ascii="宋体" w:hAnsi="宋体" w:cs="宋体"/>
          <w:color w:val="000000"/>
          <w:szCs w:val="21"/>
          <w:highlight w:val="none"/>
        </w:rPr>
        <w:t>）承包人指定的接收人为合同协议书中载明的承包人项目经理本人或者项目经理的授权代表。承包人应在收到开工通知后</w:t>
      </w:r>
      <w:r>
        <w:rPr>
          <w:rFonts w:ascii="宋体" w:hAnsi="宋体" w:cs="宋体"/>
          <w:color w:val="000000"/>
          <w:szCs w:val="21"/>
          <w:highlight w:val="none"/>
        </w:rPr>
        <w:t>7</w:t>
      </w:r>
      <w:r>
        <w:rPr>
          <w:rFonts w:hint="eastAsia" w:ascii="宋体" w:hAnsi="宋体" w:cs="宋体"/>
          <w:color w:val="000000"/>
          <w:szCs w:val="21"/>
          <w:highlight w:val="none"/>
        </w:rPr>
        <w:t>天内，按照合同条款第</w:t>
      </w:r>
      <w:r>
        <w:rPr>
          <w:rFonts w:ascii="宋体" w:hAnsi="宋体" w:cs="宋体"/>
          <w:color w:val="000000"/>
          <w:szCs w:val="21"/>
          <w:highlight w:val="none"/>
        </w:rPr>
        <w:t>4.5.4</w:t>
      </w:r>
      <w:r>
        <w:rPr>
          <w:rFonts w:hint="eastAsia" w:ascii="宋体" w:hAnsi="宋体" w:cs="宋体"/>
          <w:color w:val="000000"/>
          <w:szCs w:val="21"/>
          <w:highlight w:val="none"/>
        </w:rPr>
        <w:t>项的约定，将授权代表其接收来往信函的项目经理的授权代表姓名和授权范围通知监理人。除合同另有约定外，承包人施工场地管理机构的办公地点即为承包人指定的接收地点。</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7</w:t>
      </w:r>
      <w:r>
        <w:rPr>
          <w:rFonts w:hint="eastAsia" w:ascii="宋体" w:hAnsi="宋体" w:cs="宋体"/>
          <w:color w:val="000000"/>
          <w:szCs w:val="21"/>
          <w:highlight w:val="none"/>
        </w:rPr>
        <w:t>）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8</w:t>
      </w:r>
      <w:r>
        <w:rPr>
          <w:rFonts w:hint="eastAsia" w:ascii="宋体" w:hAnsi="宋体" w:cs="宋体"/>
          <w:color w:val="000000"/>
          <w:szCs w:val="21"/>
          <w:highlight w:val="none"/>
        </w:rPr>
        <w:t>）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pStyle w:val="89"/>
        <w:spacing w:before="0" w:line="360" w:lineRule="auto"/>
        <w:outlineLvl w:val="9"/>
        <w:rPr>
          <w:rFonts w:ascii="宋体" w:hAnsi="宋体" w:eastAsia="宋体"/>
          <w:color w:val="000000"/>
          <w:sz w:val="21"/>
          <w:szCs w:val="21"/>
          <w:highlight w:val="none"/>
        </w:rPr>
      </w:pPr>
      <w:bookmarkStart w:id="179" w:name="_Toc144974592"/>
      <w:bookmarkStart w:id="180" w:name="_Toc152042402"/>
      <w:bookmarkStart w:id="181" w:name="_Toc342296424"/>
      <w:bookmarkStart w:id="182" w:name="_Toc13432"/>
      <w:bookmarkStart w:id="183" w:name="_Toc7414"/>
      <w:bookmarkStart w:id="184" w:name="_Toc409517883"/>
      <w:bookmarkStart w:id="185" w:name="_Toc424289433"/>
      <w:bookmarkStart w:id="186" w:name="_Toc409518171"/>
      <w:bookmarkStart w:id="187" w:name="_Toc389141067"/>
      <w:bookmarkStart w:id="188" w:name="_Toc371939188"/>
      <w:bookmarkStart w:id="189" w:name="_Toc409517595"/>
      <w:bookmarkStart w:id="190" w:name="_Toc179632642"/>
      <w:bookmarkStart w:id="191" w:name="_Toc152045624"/>
      <w:bookmarkStart w:id="192" w:name="_Toc241459665"/>
      <w:r>
        <w:rPr>
          <w:rFonts w:ascii="宋体" w:hAnsi="宋体" w:eastAsia="宋体"/>
          <w:color w:val="000000"/>
          <w:sz w:val="21"/>
          <w:szCs w:val="21"/>
          <w:highlight w:val="none"/>
        </w:rPr>
        <w:t xml:space="preserve">2. </w:t>
      </w:r>
      <w:r>
        <w:rPr>
          <w:rFonts w:hint="eastAsia" w:ascii="宋体" w:hAnsi="宋体" w:eastAsia="宋体"/>
          <w:color w:val="000000"/>
          <w:sz w:val="21"/>
          <w:szCs w:val="21"/>
          <w:highlight w:val="none"/>
        </w:rPr>
        <w:t>发包人义务</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126"/>
        <w:spacing w:line="360" w:lineRule="auto"/>
        <w:outlineLvl w:val="9"/>
        <w:rPr>
          <w:rFonts w:ascii="宋体" w:hAnsi="宋体" w:eastAsia="宋体"/>
          <w:color w:val="000000"/>
          <w:sz w:val="21"/>
          <w:szCs w:val="21"/>
          <w:highlight w:val="none"/>
        </w:rPr>
      </w:pPr>
      <w:bookmarkStart w:id="193" w:name="_Toc144974595"/>
      <w:bookmarkStart w:id="194" w:name="_Toc152042405"/>
      <w:bookmarkStart w:id="195" w:name="_Toc152045627"/>
      <w:bookmarkStart w:id="196" w:name="_Toc179632645"/>
      <w:bookmarkStart w:id="197" w:name="_Toc241459666"/>
      <w:bookmarkStart w:id="198" w:name="_Toc342296425"/>
      <w:bookmarkStart w:id="199" w:name="_Toc371939189"/>
      <w:bookmarkStart w:id="200" w:name="_Toc389141068"/>
      <w:bookmarkStart w:id="201" w:name="_Toc409517596"/>
      <w:bookmarkStart w:id="202" w:name="_Toc409517884"/>
      <w:bookmarkStart w:id="203" w:name="_Toc409518172"/>
      <w:bookmarkStart w:id="204" w:name="_Toc424289434"/>
      <w:bookmarkStart w:id="205" w:name="_Toc19868"/>
      <w:r>
        <w:rPr>
          <w:rFonts w:ascii="宋体" w:hAnsi="宋体" w:eastAsia="宋体"/>
          <w:color w:val="000000"/>
          <w:sz w:val="21"/>
          <w:szCs w:val="21"/>
          <w:highlight w:val="none"/>
        </w:rPr>
        <w:t xml:space="preserve">2.3 </w:t>
      </w:r>
      <w:r>
        <w:rPr>
          <w:rFonts w:hint="eastAsia" w:ascii="宋体" w:hAnsi="宋体" w:eastAsia="宋体"/>
          <w:color w:val="000000"/>
          <w:sz w:val="21"/>
          <w:szCs w:val="21"/>
          <w:highlight w:val="none"/>
        </w:rPr>
        <w:t>提供施工场地</w:t>
      </w:r>
      <w:bookmarkEnd w:id="193"/>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施工场地应当在监理人发出的开工通知中载明的开工日期前</w:t>
      </w:r>
      <w:r>
        <w:rPr>
          <w:rFonts w:ascii="宋体" w:hAnsi="宋体" w:cs="宋体"/>
          <w:color w:val="000000"/>
          <w:szCs w:val="21"/>
          <w:highlight w:val="none"/>
          <w:u w:val="single"/>
        </w:rPr>
        <w:t xml:space="preserve">7  </w:t>
      </w:r>
      <w:r>
        <w:rPr>
          <w:rFonts w:hint="eastAsia" w:ascii="宋体" w:hAnsi="宋体" w:cs="宋体"/>
          <w:color w:val="000000"/>
          <w:szCs w:val="21"/>
          <w:highlight w:val="none"/>
        </w:rPr>
        <w:t>天具备施工条件并移交给承包人，具体施工条件在</w:t>
      </w:r>
      <w:r>
        <w:rPr>
          <w:rFonts w:ascii="宋体" w:hAnsi="宋体" w:cs="宋体"/>
          <w:color w:val="000000"/>
          <w:szCs w:val="21"/>
          <w:highlight w:val="none"/>
        </w:rPr>
        <w:t xml:space="preserve"> </w:t>
      </w:r>
      <w:r>
        <w:rPr>
          <w:rFonts w:hint="eastAsia" w:ascii="宋体" w:hAnsi="宋体" w:cs="宋体"/>
          <w:color w:val="000000"/>
          <w:szCs w:val="21"/>
          <w:highlight w:val="none"/>
        </w:rPr>
        <w:t>“技术标准和要求”第一节“一般要求”中约定。发包人最迟应当在移交施工场地的同时向承包人提供施工场地内地下管线和地下设施等有关资料，并保证资料的真实、准确和完整。</w:t>
      </w:r>
    </w:p>
    <w:p>
      <w:pPr>
        <w:pStyle w:val="126"/>
        <w:spacing w:line="360" w:lineRule="auto"/>
        <w:outlineLvl w:val="9"/>
        <w:rPr>
          <w:rFonts w:ascii="宋体" w:hAnsi="宋体" w:eastAsia="宋体"/>
          <w:color w:val="000000"/>
          <w:sz w:val="21"/>
          <w:szCs w:val="21"/>
          <w:highlight w:val="none"/>
        </w:rPr>
      </w:pPr>
      <w:bookmarkStart w:id="206" w:name="_Toc144974597"/>
      <w:bookmarkStart w:id="207" w:name="_Toc152042407"/>
      <w:bookmarkStart w:id="208" w:name="_Toc152045629"/>
      <w:bookmarkStart w:id="209" w:name="_Toc179632647"/>
      <w:bookmarkStart w:id="210" w:name="_Toc241459667"/>
      <w:bookmarkStart w:id="211" w:name="_Toc342296426"/>
      <w:bookmarkStart w:id="212" w:name="_Toc371939190"/>
      <w:bookmarkStart w:id="213" w:name="_Toc389141069"/>
      <w:bookmarkStart w:id="214" w:name="_Toc409517597"/>
      <w:bookmarkStart w:id="215" w:name="_Toc409517885"/>
      <w:bookmarkStart w:id="216" w:name="_Toc409518173"/>
      <w:bookmarkStart w:id="217" w:name="_Toc424289435"/>
      <w:bookmarkStart w:id="218" w:name="_Toc29289"/>
      <w:r>
        <w:rPr>
          <w:rFonts w:ascii="宋体" w:hAnsi="宋体" w:eastAsia="宋体"/>
          <w:color w:val="000000"/>
          <w:sz w:val="21"/>
          <w:szCs w:val="21"/>
          <w:highlight w:val="none"/>
        </w:rPr>
        <w:t xml:space="preserve">2.5 </w:t>
      </w:r>
      <w:r>
        <w:rPr>
          <w:rFonts w:hint="eastAsia" w:ascii="宋体" w:hAnsi="宋体" w:eastAsia="宋体"/>
          <w:color w:val="000000"/>
          <w:sz w:val="21"/>
          <w:szCs w:val="21"/>
          <w:highlight w:val="none"/>
        </w:rPr>
        <w:t>组织设计交底</w:t>
      </w:r>
      <w:bookmarkEnd w:id="206"/>
      <w:bookmarkEnd w:id="207"/>
      <w:bookmarkEnd w:id="208"/>
      <w:bookmarkEnd w:id="209"/>
      <w:bookmarkEnd w:id="210"/>
      <w:bookmarkEnd w:id="211"/>
      <w:bookmarkEnd w:id="212"/>
      <w:bookmarkEnd w:id="213"/>
      <w:bookmarkEnd w:id="214"/>
      <w:bookmarkEnd w:id="215"/>
      <w:bookmarkEnd w:id="216"/>
      <w:bookmarkEnd w:id="217"/>
      <w:bookmarkEnd w:id="218"/>
    </w:p>
    <w:p>
      <w:pPr>
        <w:spacing w:line="360" w:lineRule="auto"/>
        <w:ind w:firstLine="420" w:firstLineChars="200"/>
        <w:rPr>
          <w:rFonts w:ascii="宋体" w:cs="宋体"/>
          <w:color w:val="000000"/>
          <w:szCs w:val="21"/>
          <w:highlight w:val="none"/>
        </w:rPr>
      </w:pPr>
      <w:bookmarkStart w:id="219" w:name="_Toc144974598"/>
      <w:bookmarkStart w:id="220" w:name="_Toc152042408"/>
      <w:bookmarkStart w:id="221" w:name="_Toc152045630"/>
      <w:bookmarkStart w:id="222" w:name="_Toc179632648"/>
      <w:r>
        <w:rPr>
          <w:rFonts w:hint="eastAsia" w:ascii="宋体" w:hAnsi="宋体" w:cs="宋体"/>
          <w:color w:val="000000"/>
          <w:szCs w:val="21"/>
          <w:highlight w:val="none"/>
        </w:rPr>
        <w:t>发包人应当在合同条款</w:t>
      </w:r>
      <w:r>
        <w:rPr>
          <w:rFonts w:ascii="宋体" w:hAnsi="宋体" w:cs="宋体"/>
          <w:color w:val="000000"/>
          <w:szCs w:val="21"/>
          <w:highlight w:val="none"/>
        </w:rPr>
        <w:t>11.1.1</w:t>
      </w:r>
      <w:r>
        <w:rPr>
          <w:rFonts w:hint="eastAsia" w:ascii="宋体" w:hAnsi="宋体" w:cs="宋体"/>
          <w:color w:val="000000"/>
          <w:szCs w:val="21"/>
          <w:highlight w:val="none"/>
        </w:rPr>
        <w:t>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bookmarkEnd w:id="219"/>
    <w:bookmarkEnd w:id="220"/>
    <w:bookmarkEnd w:id="221"/>
    <w:bookmarkEnd w:id="222"/>
    <w:p>
      <w:pPr>
        <w:pStyle w:val="126"/>
        <w:spacing w:line="360" w:lineRule="auto"/>
        <w:outlineLvl w:val="9"/>
        <w:rPr>
          <w:rFonts w:ascii="宋体" w:hAnsi="宋体" w:eastAsia="宋体"/>
          <w:color w:val="000000"/>
          <w:sz w:val="21"/>
          <w:szCs w:val="21"/>
          <w:highlight w:val="none"/>
        </w:rPr>
      </w:pPr>
      <w:bookmarkStart w:id="223" w:name="_Toc144974600"/>
      <w:bookmarkStart w:id="224" w:name="_Toc342296427"/>
      <w:bookmarkStart w:id="225" w:name="_Toc409518174"/>
      <w:bookmarkStart w:id="226" w:name="_Toc152042410"/>
      <w:bookmarkStart w:id="227" w:name="_Toc10368"/>
      <w:bookmarkStart w:id="228" w:name="_Toc424289436"/>
      <w:bookmarkStart w:id="229" w:name="_Toc409517886"/>
      <w:bookmarkStart w:id="230" w:name="_Toc409517598"/>
      <w:bookmarkStart w:id="231" w:name="_Toc371939191"/>
      <w:bookmarkStart w:id="232" w:name="_Toc389141070"/>
      <w:bookmarkStart w:id="233" w:name="_Toc241459668"/>
      <w:bookmarkStart w:id="234" w:name="_Toc179632650"/>
      <w:bookmarkStart w:id="235" w:name="_Toc152045632"/>
      <w:r>
        <w:rPr>
          <w:rFonts w:ascii="宋体" w:hAnsi="宋体" w:eastAsia="宋体"/>
          <w:color w:val="000000"/>
          <w:sz w:val="21"/>
          <w:szCs w:val="21"/>
          <w:highlight w:val="none"/>
        </w:rPr>
        <w:t xml:space="preserve">2.8 </w:t>
      </w:r>
      <w:r>
        <w:rPr>
          <w:rFonts w:hint="eastAsia" w:ascii="宋体" w:hAnsi="宋体" w:eastAsia="宋体"/>
          <w:color w:val="000000"/>
          <w:sz w:val="21"/>
          <w:szCs w:val="21"/>
          <w:highlight w:val="none"/>
        </w:rPr>
        <w:t>其他义务</w:t>
      </w:r>
      <w:bookmarkEnd w:id="223"/>
      <w:bookmarkEnd w:id="224"/>
      <w:bookmarkEnd w:id="225"/>
      <w:bookmarkEnd w:id="226"/>
      <w:bookmarkEnd w:id="227"/>
      <w:bookmarkEnd w:id="228"/>
      <w:bookmarkEnd w:id="229"/>
      <w:bookmarkEnd w:id="230"/>
      <w:bookmarkEnd w:id="231"/>
      <w:bookmarkEnd w:id="232"/>
      <w:bookmarkEnd w:id="233"/>
      <w:bookmarkEnd w:id="234"/>
      <w:bookmarkEnd w:id="235"/>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）向承包人提交对等的支付担保。在承包人按合同条款第</w:t>
      </w:r>
      <w:r>
        <w:rPr>
          <w:rFonts w:ascii="宋体" w:hAnsi="宋体" w:cs="宋体"/>
          <w:color w:val="000000"/>
          <w:szCs w:val="21"/>
          <w:highlight w:val="none"/>
        </w:rPr>
        <w:t>4.2</w:t>
      </w:r>
      <w:r>
        <w:rPr>
          <w:rFonts w:hint="eastAsia" w:ascii="宋体" w:hAnsi="宋体" w:cs="宋体"/>
          <w:color w:val="000000"/>
          <w:szCs w:val="21"/>
          <w:highlight w:val="none"/>
        </w:rPr>
        <w:t>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w:t>
      </w:r>
      <w:r>
        <w:rPr>
          <w:rFonts w:ascii="宋体" w:hAnsi="宋体" w:cs="宋体"/>
          <w:color w:val="000000"/>
          <w:szCs w:val="21"/>
          <w:highlight w:val="none"/>
        </w:rPr>
        <w:t>28</w:t>
      </w:r>
      <w:r>
        <w:rPr>
          <w:rFonts w:hint="eastAsia" w:ascii="宋体" w:hAnsi="宋体" w:cs="宋体"/>
          <w:color w:val="000000"/>
          <w:szCs w:val="21"/>
          <w:highlight w:val="none"/>
        </w:rPr>
        <w:t>天内退还给发包人。承包人不承担发包人与支付担保有关的任何利息或其它类似的费用或者收益。支付担保是本合同的附件。</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）按有关规定及时办理工程质量监督手续。</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）根据建设行政主管部门和（或）城市建设档案管理机构的规定，收集、整理、立卷、归档工程资料，并按规定时间向建设行政主管部门或者城市建设档案管理机构移交规定的工程档案。</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）发包人应当履行合同约定的其他义务以及下述义务：</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pStyle w:val="89"/>
        <w:spacing w:before="0" w:line="360" w:lineRule="auto"/>
        <w:outlineLvl w:val="9"/>
        <w:rPr>
          <w:rFonts w:ascii="宋体" w:hAnsi="宋体" w:eastAsia="宋体"/>
          <w:color w:val="000000"/>
          <w:sz w:val="21"/>
          <w:szCs w:val="21"/>
          <w:highlight w:val="none"/>
        </w:rPr>
      </w:pPr>
      <w:bookmarkStart w:id="236" w:name="_Toc11006"/>
      <w:bookmarkStart w:id="237" w:name="_Toc409518175"/>
      <w:bookmarkStart w:id="238" w:name="_Toc409517887"/>
      <w:bookmarkStart w:id="239" w:name="_Toc424289437"/>
      <w:bookmarkStart w:id="240" w:name="_Toc19680"/>
      <w:bookmarkStart w:id="241" w:name="_Toc144974601"/>
      <w:bookmarkStart w:id="242" w:name="_Toc152042411"/>
      <w:bookmarkStart w:id="243" w:name="_Toc152045633"/>
      <w:bookmarkStart w:id="244" w:name="_Toc179632651"/>
      <w:bookmarkStart w:id="245" w:name="_Toc241459669"/>
      <w:bookmarkStart w:id="246" w:name="_Toc342296428"/>
      <w:bookmarkStart w:id="247" w:name="_Toc371939192"/>
      <w:bookmarkStart w:id="248" w:name="_Toc389141071"/>
      <w:bookmarkStart w:id="249" w:name="_Toc409517599"/>
      <w:r>
        <w:rPr>
          <w:rFonts w:ascii="宋体" w:hAnsi="宋体" w:eastAsia="宋体"/>
          <w:color w:val="000000"/>
          <w:sz w:val="21"/>
          <w:szCs w:val="21"/>
          <w:highlight w:val="none"/>
        </w:rPr>
        <w:t xml:space="preserve">3. </w:t>
      </w:r>
      <w:r>
        <w:rPr>
          <w:rFonts w:hint="eastAsia" w:ascii="宋体" w:hAnsi="宋体" w:eastAsia="宋体"/>
          <w:color w:val="000000"/>
          <w:sz w:val="21"/>
          <w:szCs w:val="21"/>
          <w:highlight w:val="none"/>
        </w:rPr>
        <w:t>监理人</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126"/>
        <w:spacing w:line="360" w:lineRule="auto"/>
        <w:outlineLvl w:val="9"/>
        <w:rPr>
          <w:rFonts w:ascii="宋体" w:hAnsi="宋体" w:eastAsia="宋体"/>
          <w:color w:val="000000"/>
          <w:sz w:val="21"/>
          <w:szCs w:val="21"/>
          <w:highlight w:val="none"/>
        </w:rPr>
      </w:pPr>
      <w:bookmarkStart w:id="250" w:name="_Toc144974602"/>
      <w:bookmarkStart w:id="251" w:name="_Toc152042412"/>
      <w:bookmarkStart w:id="252" w:name="_Toc152045634"/>
      <w:bookmarkStart w:id="253" w:name="_Toc179632652"/>
      <w:bookmarkStart w:id="254" w:name="_Toc241459670"/>
      <w:bookmarkStart w:id="255" w:name="_Toc342296429"/>
      <w:bookmarkStart w:id="256" w:name="_Toc371939193"/>
      <w:bookmarkStart w:id="257" w:name="_Toc389141072"/>
      <w:bookmarkStart w:id="258" w:name="_Toc409517600"/>
      <w:bookmarkStart w:id="259" w:name="_Toc409517888"/>
      <w:bookmarkStart w:id="260" w:name="_Toc409518176"/>
      <w:bookmarkStart w:id="261" w:name="_Toc424289438"/>
      <w:bookmarkStart w:id="262" w:name="_Toc25715"/>
      <w:r>
        <w:rPr>
          <w:rFonts w:ascii="宋体" w:hAnsi="宋体" w:eastAsia="宋体"/>
          <w:color w:val="000000"/>
          <w:sz w:val="21"/>
          <w:szCs w:val="21"/>
          <w:highlight w:val="none"/>
        </w:rPr>
        <w:t xml:space="preserve">3.1 </w:t>
      </w:r>
      <w:r>
        <w:rPr>
          <w:rFonts w:hint="eastAsia" w:ascii="宋体" w:hAnsi="宋体" w:eastAsia="宋体"/>
          <w:color w:val="000000"/>
          <w:sz w:val="21"/>
          <w:szCs w:val="21"/>
          <w:highlight w:val="none"/>
        </w:rPr>
        <w:t>监理人的职责和权力</w:t>
      </w:r>
      <w:bookmarkEnd w:id="250"/>
      <w:bookmarkEnd w:id="251"/>
      <w:bookmarkEnd w:id="252"/>
      <w:bookmarkEnd w:id="253"/>
      <w:bookmarkEnd w:id="254"/>
      <w:bookmarkEnd w:id="255"/>
      <w:bookmarkEnd w:id="256"/>
      <w:bookmarkEnd w:id="257"/>
      <w:bookmarkEnd w:id="258"/>
      <w:bookmarkEnd w:id="259"/>
      <w:bookmarkEnd w:id="260"/>
      <w:bookmarkEnd w:id="261"/>
      <w:bookmarkEnd w:id="262"/>
    </w:p>
    <w:p>
      <w:pPr>
        <w:spacing w:line="360" w:lineRule="auto"/>
        <w:rPr>
          <w:rFonts w:ascii="宋体" w:cs="宋体"/>
          <w:color w:val="000000"/>
          <w:szCs w:val="21"/>
          <w:highlight w:val="none"/>
        </w:rPr>
      </w:pPr>
      <w:r>
        <w:rPr>
          <w:rFonts w:ascii="宋体" w:hAnsi="宋体" w:cs="宋体"/>
          <w:color w:val="000000"/>
          <w:szCs w:val="21"/>
          <w:highlight w:val="none"/>
        </w:rPr>
        <w:t>3.1.1</w:t>
      </w:r>
      <w:r>
        <w:rPr>
          <w:rFonts w:hint="eastAsia" w:ascii="宋体" w:hAnsi="宋体" w:cs="宋体"/>
          <w:color w:val="000000"/>
          <w:szCs w:val="21"/>
          <w:highlight w:val="none"/>
        </w:rPr>
        <w:t>须经发包人批准行使的权力：</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w:t>
      </w:r>
      <w:r>
        <w:rPr>
          <w:rFonts w:ascii="宋体" w:hAnsi="宋体" w:cs="宋体"/>
          <w:color w:val="000000"/>
          <w:szCs w:val="21"/>
          <w:highlight w:val="none"/>
          <w:u w:val="single"/>
        </w:rPr>
        <w:t>1</w:t>
      </w:r>
      <w:r>
        <w:rPr>
          <w:rFonts w:hint="eastAsia" w:ascii="宋体" w:hAnsi="宋体" w:cs="宋体"/>
          <w:color w:val="000000"/>
          <w:szCs w:val="21"/>
          <w:highlight w:val="none"/>
          <w:u w:val="single"/>
        </w:rPr>
        <w:t>）处理发包人与承包人所签订合同的变更事宜的权力（</w:t>
      </w:r>
      <w:r>
        <w:rPr>
          <w:rFonts w:ascii="宋体" w:hAnsi="宋体" w:cs="宋体"/>
          <w:color w:val="000000"/>
          <w:szCs w:val="21"/>
          <w:highlight w:val="none"/>
          <w:u w:val="single"/>
        </w:rPr>
        <w:t>2</w:t>
      </w:r>
      <w:r>
        <w:rPr>
          <w:rFonts w:hint="eastAsia" w:ascii="宋体" w:hAnsi="宋体" w:cs="宋体"/>
          <w:color w:val="000000"/>
          <w:szCs w:val="21"/>
          <w:highlight w:val="none"/>
          <w:u w:val="single"/>
        </w:rPr>
        <w:t>）要求承包人调换其不能胜任本职工作人员的权力</w:t>
      </w:r>
      <w:r>
        <w:rPr>
          <w:rFonts w:ascii="宋体" w:hAnsi="宋体" w:cs="宋体"/>
          <w:color w:val="000000"/>
          <w:szCs w:val="21"/>
          <w:highlight w:val="none"/>
          <w:u w:val="single"/>
        </w:rPr>
        <w:t xml:space="preserve">        </w:t>
      </w:r>
      <w:r>
        <w:rPr>
          <w:rFonts w:hint="eastAsia" w:ascii="宋体" w:hAnsi="宋体" w:cs="宋体"/>
          <w:color w:val="000000"/>
          <w:szCs w:val="21"/>
          <w:highlight w:val="none"/>
        </w:rPr>
        <w:t>。不管通用合同条款第</w:t>
      </w:r>
      <w:r>
        <w:rPr>
          <w:rFonts w:ascii="宋体" w:hAnsi="宋体" w:cs="宋体"/>
          <w:color w:val="000000"/>
          <w:szCs w:val="21"/>
          <w:highlight w:val="none"/>
        </w:rPr>
        <w:t>3.1.1</w:t>
      </w:r>
      <w:r>
        <w:rPr>
          <w:rFonts w:hint="eastAsia" w:ascii="宋体" w:hAnsi="宋体" w:cs="宋体"/>
          <w:color w:val="000000"/>
          <w:szCs w:val="21"/>
          <w:highlight w:val="none"/>
        </w:rPr>
        <w:t>项如何约定，监理人履行须经发包人批准行使的权力时，应当向承包人出示其行使该权力已经取得发包人批准的文件或者其他合法有效的证明。</w:t>
      </w:r>
    </w:p>
    <w:p>
      <w:pPr>
        <w:pStyle w:val="126"/>
        <w:spacing w:line="360" w:lineRule="auto"/>
        <w:outlineLvl w:val="9"/>
        <w:rPr>
          <w:rFonts w:ascii="宋体" w:hAnsi="宋体" w:eastAsia="宋体"/>
          <w:color w:val="000000"/>
          <w:sz w:val="21"/>
          <w:szCs w:val="21"/>
          <w:highlight w:val="none"/>
        </w:rPr>
      </w:pPr>
      <w:bookmarkStart w:id="263" w:name="_Toc144974604"/>
      <w:bookmarkStart w:id="264" w:name="_Toc152042414"/>
      <w:bookmarkStart w:id="265" w:name="_Toc152045636"/>
      <w:bookmarkStart w:id="266" w:name="_Toc179632654"/>
      <w:bookmarkStart w:id="267" w:name="_Toc241459671"/>
      <w:bookmarkStart w:id="268" w:name="_Toc342296430"/>
      <w:bookmarkStart w:id="269" w:name="_Toc371939194"/>
      <w:bookmarkStart w:id="270" w:name="_Toc389141073"/>
      <w:bookmarkStart w:id="271" w:name="_Toc409517601"/>
      <w:bookmarkStart w:id="272" w:name="_Toc409517889"/>
      <w:bookmarkStart w:id="273" w:name="_Toc409518177"/>
      <w:bookmarkStart w:id="274" w:name="_Toc424289439"/>
      <w:bookmarkStart w:id="275" w:name="_Toc31269"/>
      <w:r>
        <w:rPr>
          <w:rFonts w:ascii="宋体" w:hAnsi="宋体" w:eastAsia="宋体"/>
          <w:color w:val="000000"/>
          <w:sz w:val="21"/>
          <w:szCs w:val="21"/>
          <w:highlight w:val="none"/>
        </w:rPr>
        <w:t xml:space="preserve">3.3 </w:t>
      </w:r>
      <w:r>
        <w:rPr>
          <w:rFonts w:hint="eastAsia" w:ascii="宋体" w:hAnsi="宋体" w:eastAsia="宋体"/>
          <w:color w:val="000000"/>
          <w:sz w:val="21"/>
          <w:szCs w:val="21"/>
          <w:highlight w:val="none"/>
        </w:rPr>
        <w:t>监理人员</w:t>
      </w:r>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3.3.4 </w:t>
      </w:r>
      <w:r>
        <w:rPr>
          <w:rFonts w:hint="eastAsia" w:ascii="宋体" w:hAnsi="宋体" w:cs="宋体"/>
          <w:color w:val="000000"/>
          <w:szCs w:val="21"/>
          <w:highlight w:val="none"/>
        </w:rPr>
        <w:t>总监理工程师不应将第</w:t>
      </w:r>
      <w:r>
        <w:rPr>
          <w:rFonts w:ascii="宋体" w:hAnsi="宋体" w:cs="宋体"/>
          <w:color w:val="000000"/>
          <w:szCs w:val="21"/>
          <w:highlight w:val="none"/>
        </w:rPr>
        <w:t>3.5</w:t>
      </w:r>
      <w:r>
        <w:rPr>
          <w:rFonts w:hint="eastAsia" w:ascii="宋体" w:hAnsi="宋体" w:cs="宋体"/>
          <w:color w:val="000000"/>
          <w:szCs w:val="21"/>
          <w:highlight w:val="none"/>
        </w:rPr>
        <w:t>款约定应由总监理工程师作出确定的权力授权或者委托给其他监理人员。</w:t>
      </w:r>
    </w:p>
    <w:p>
      <w:pPr>
        <w:pStyle w:val="126"/>
        <w:spacing w:line="360" w:lineRule="auto"/>
        <w:outlineLvl w:val="9"/>
        <w:rPr>
          <w:rFonts w:ascii="宋体" w:hAnsi="宋体" w:eastAsia="宋体"/>
          <w:color w:val="000000"/>
          <w:sz w:val="21"/>
          <w:szCs w:val="21"/>
          <w:highlight w:val="none"/>
        </w:rPr>
      </w:pPr>
      <w:bookmarkStart w:id="276" w:name="_Toc144974605"/>
      <w:bookmarkStart w:id="277" w:name="_Toc152042415"/>
      <w:bookmarkStart w:id="278" w:name="_Toc152045637"/>
      <w:bookmarkStart w:id="279" w:name="_Toc179632655"/>
      <w:bookmarkStart w:id="280" w:name="_Toc241459672"/>
      <w:bookmarkStart w:id="281" w:name="_Toc342296431"/>
      <w:bookmarkStart w:id="282" w:name="_Toc371939195"/>
      <w:bookmarkStart w:id="283" w:name="_Toc389141074"/>
      <w:bookmarkStart w:id="284" w:name="_Toc409517602"/>
      <w:bookmarkStart w:id="285" w:name="_Toc409517890"/>
      <w:bookmarkStart w:id="286" w:name="_Toc409518178"/>
      <w:bookmarkStart w:id="287" w:name="_Toc424289440"/>
      <w:bookmarkStart w:id="288" w:name="_Toc10047"/>
      <w:r>
        <w:rPr>
          <w:rFonts w:ascii="宋体" w:hAnsi="宋体" w:eastAsia="宋体"/>
          <w:color w:val="000000"/>
          <w:sz w:val="21"/>
          <w:szCs w:val="21"/>
          <w:highlight w:val="none"/>
        </w:rPr>
        <w:t xml:space="preserve">3.4 </w:t>
      </w:r>
      <w:r>
        <w:rPr>
          <w:rFonts w:hint="eastAsia" w:ascii="宋体" w:hAnsi="宋体" w:eastAsia="宋体"/>
          <w:color w:val="000000"/>
          <w:sz w:val="21"/>
          <w:szCs w:val="21"/>
          <w:highlight w:val="none"/>
        </w:rPr>
        <w:t>监理人的指示</w:t>
      </w:r>
      <w:bookmarkEnd w:id="276"/>
      <w:bookmarkEnd w:id="277"/>
      <w:bookmarkEnd w:id="278"/>
      <w:bookmarkEnd w:id="279"/>
      <w:bookmarkEnd w:id="280"/>
      <w:bookmarkEnd w:id="281"/>
      <w:bookmarkEnd w:id="282"/>
      <w:bookmarkEnd w:id="283"/>
      <w:bookmarkEnd w:id="284"/>
      <w:bookmarkEnd w:id="285"/>
      <w:bookmarkEnd w:id="286"/>
      <w:bookmarkEnd w:id="287"/>
      <w:bookmarkEnd w:id="288"/>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3.4.4</w:t>
      </w:r>
      <w:r>
        <w:rPr>
          <w:rFonts w:hint="eastAsia" w:ascii="宋体" w:hAnsi="宋体" w:cs="宋体"/>
          <w:color w:val="000000"/>
          <w:szCs w:val="21"/>
          <w:highlight w:val="none"/>
        </w:rPr>
        <w:t>除通用合同条款已有的专门约定外，承包人只能从总监理工程师或按第</w:t>
      </w:r>
      <w:r>
        <w:rPr>
          <w:rFonts w:ascii="宋体" w:hAnsi="宋体" w:cs="宋体"/>
          <w:color w:val="000000"/>
          <w:szCs w:val="21"/>
          <w:highlight w:val="none"/>
        </w:rPr>
        <w:t>3.3.1</w:t>
      </w:r>
      <w:r>
        <w:rPr>
          <w:rFonts w:hint="eastAsia" w:ascii="宋体" w:hAnsi="宋体" w:cs="宋体"/>
          <w:color w:val="000000"/>
          <w:szCs w:val="21"/>
          <w:highlight w:val="none"/>
        </w:rPr>
        <w:t>项授权的监理人员处取得指示，发包人应当通过监理人向承包人发出指示。</w:t>
      </w:r>
      <w:bookmarkStart w:id="289" w:name="_Toc179632657"/>
      <w:bookmarkStart w:id="290" w:name="_Toc152042417"/>
      <w:bookmarkStart w:id="291" w:name="_Toc144974607"/>
      <w:bookmarkStart w:id="292" w:name="_Toc152045639"/>
    </w:p>
    <w:p>
      <w:pPr>
        <w:pStyle w:val="126"/>
        <w:spacing w:line="360" w:lineRule="auto"/>
        <w:outlineLvl w:val="9"/>
        <w:rPr>
          <w:rFonts w:ascii="宋体" w:hAnsi="宋体" w:eastAsia="宋体"/>
          <w:color w:val="000000"/>
          <w:sz w:val="21"/>
          <w:szCs w:val="21"/>
          <w:highlight w:val="none"/>
        </w:rPr>
      </w:pPr>
      <w:bookmarkStart w:id="293" w:name="_Toc371939196"/>
      <w:bookmarkStart w:id="294" w:name="_Toc389141075"/>
      <w:bookmarkStart w:id="295" w:name="_Toc409517603"/>
      <w:bookmarkStart w:id="296" w:name="_Toc2829"/>
      <w:bookmarkStart w:id="297" w:name="_Toc409517891"/>
      <w:bookmarkStart w:id="298" w:name="_Toc409518179"/>
      <w:bookmarkStart w:id="299" w:name="_Toc424289441"/>
      <w:bookmarkStart w:id="300" w:name="_Toc241459673"/>
      <w:bookmarkStart w:id="301" w:name="_Toc342296432"/>
      <w:r>
        <w:rPr>
          <w:rFonts w:ascii="宋体" w:hAnsi="宋体" w:eastAsia="宋体"/>
          <w:color w:val="000000"/>
          <w:sz w:val="21"/>
          <w:szCs w:val="21"/>
          <w:highlight w:val="none"/>
        </w:rPr>
        <w:t xml:space="preserve">3.6 </w:t>
      </w:r>
      <w:r>
        <w:rPr>
          <w:rFonts w:hint="eastAsia" w:ascii="宋体" w:hAnsi="宋体" w:eastAsia="宋体"/>
          <w:color w:val="000000"/>
          <w:sz w:val="21"/>
          <w:szCs w:val="21"/>
          <w:highlight w:val="none"/>
        </w:rPr>
        <w:t>监理人的宽恕</w:t>
      </w:r>
      <w:bookmarkEnd w:id="293"/>
      <w:bookmarkEnd w:id="294"/>
      <w:bookmarkEnd w:id="295"/>
      <w:bookmarkEnd w:id="296"/>
      <w:bookmarkEnd w:id="297"/>
      <w:bookmarkEnd w:id="298"/>
      <w:bookmarkEnd w:id="299"/>
      <w:bookmarkEnd w:id="300"/>
      <w:bookmarkEnd w:id="301"/>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pStyle w:val="89"/>
        <w:spacing w:before="0" w:line="360" w:lineRule="auto"/>
        <w:outlineLvl w:val="9"/>
        <w:rPr>
          <w:rFonts w:ascii="宋体" w:hAnsi="宋体" w:eastAsia="宋体"/>
          <w:color w:val="000000"/>
          <w:sz w:val="21"/>
          <w:szCs w:val="21"/>
          <w:highlight w:val="none"/>
        </w:rPr>
      </w:pPr>
      <w:bookmarkStart w:id="302" w:name="_Toc241459674"/>
      <w:bookmarkStart w:id="303" w:name="_Toc342296433"/>
      <w:bookmarkStart w:id="304" w:name="_Toc371939197"/>
      <w:bookmarkStart w:id="305" w:name="_Toc389141076"/>
      <w:bookmarkStart w:id="306" w:name="_Toc409517604"/>
      <w:bookmarkStart w:id="307" w:name="_Toc409517892"/>
      <w:bookmarkStart w:id="308" w:name="_Toc409518180"/>
      <w:bookmarkStart w:id="309" w:name="_Toc424289442"/>
      <w:bookmarkStart w:id="310" w:name="_Toc15682"/>
      <w:bookmarkStart w:id="311" w:name="_Toc10832"/>
      <w:r>
        <w:rPr>
          <w:rFonts w:ascii="宋体" w:hAnsi="宋体" w:eastAsia="宋体"/>
          <w:color w:val="000000"/>
          <w:sz w:val="21"/>
          <w:szCs w:val="21"/>
          <w:highlight w:val="none"/>
        </w:rPr>
        <w:t xml:space="preserve">4. </w:t>
      </w:r>
      <w:r>
        <w:rPr>
          <w:rFonts w:hint="eastAsia" w:ascii="宋体" w:hAnsi="宋体" w:eastAsia="宋体"/>
          <w:color w:val="000000"/>
          <w:sz w:val="21"/>
          <w:szCs w:val="21"/>
          <w:highlight w:val="none"/>
        </w:rPr>
        <w:t>承包人</w:t>
      </w:r>
      <w:bookmarkEnd w:id="289"/>
      <w:bookmarkEnd w:id="290"/>
      <w:bookmarkEnd w:id="291"/>
      <w:bookmarkEnd w:id="292"/>
      <w:bookmarkEnd w:id="302"/>
      <w:bookmarkEnd w:id="303"/>
      <w:bookmarkEnd w:id="304"/>
      <w:bookmarkEnd w:id="305"/>
      <w:bookmarkEnd w:id="306"/>
      <w:bookmarkEnd w:id="307"/>
      <w:bookmarkEnd w:id="308"/>
      <w:bookmarkEnd w:id="309"/>
      <w:bookmarkEnd w:id="310"/>
      <w:bookmarkEnd w:id="311"/>
    </w:p>
    <w:p>
      <w:pPr>
        <w:pStyle w:val="126"/>
        <w:spacing w:line="360" w:lineRule="auto"/>
        <w:outlineLvl w:val="9"/>
        <w:rPr>
          <w:rFonts w:ascii="宋体" w:hAnsi="宋体" w:eastAsia="宋体"/>
          <w:color w:val="000000"/>
          <w:sz w:val="21"/>
          <w:szCs w:val="21"/>
          <w:highlight w:val="none"/>
        </w:rPr>
      </w:pPr>
      <w:bookmarkStart w:id="312" w:name="_Toc144974608"/>
      <w:bookmarkStart w:id="313" w:name="_Toc152042418"/>
      <w:bookmarkStart w:id="314" w:name="_Toc152045640"/>
      <w:bookmarkStart w:id="315" w:name="_Toc179632658"/>
      <w:bookmarkStart w:id="316" w:name="_Toc241459675"/>
      <w:bookmarkStart w:id="317" w:name="_Toc342296434"/>
      <w:bookmarkStart w:id="318" w:name="_Toc371939198"/>
      <w:bookmarkStart w:id="319" w:name="_Toc389141077"/>
      <w:bookmarkStart w:id="320" w:name="_Toc409517605"/>
      <w:bookmarkStart w:id="321" w:name="_Toc409517893"/>
      <w:bookmarkStart w:id="322" w:name="_Toc409518181"/>
      <w:bookmarkStart w:id="323" w:name="_Toc424289443"/>
      <w:bookmarkStart w:id="324" w:name="_Toc28917"/>
      <w:r>
        <w:rPr>
          <w:rFonts w:ascii="宋体" w:hAnsi="宋体" w:eastAsia="宋体"/>
          <w:color w:val="000000"/>
          <w:sz w:val="21"/>
          <w:szCs w:val="21"/>
          <w:highlight w:val="none"/>
        </w:rPr>
        <w:t xml:space="preserve">4.1 </w:t>
      </w:r>
      <w:r>
        <w:rPr>
          <w:rFonts w:hint="eastAsia" w:ascii="宋体" w:hAnsi="宋体" w:eastAsia="宋体"/>
          <w:color w:val="000000"/>
          <w:sz w:val="21"/>
          <w:szCs w:val="21"/>
          <w:highlight w:val="none"/>
        </w:rPr>
        <w:t>承包人的一般义务</w:t>
      </w:r>
      <w:bookmarkEnd w:id="312"/>
      <w:bookmarkEnd w:id="313"/>
      <w:bookmarkEnd w:id="314"/>
      <w:bookmarkEnd w:id="315"/>
      <w:bookmarkEnd w:id="316"/>
      <w:bookmarkEnd w:id="317"/>
      <w:bookmarkEnd w:id="318"/>
      <w:bookmarkEnd w:id="319"/>
      <w:bookmarkEnd w:id="320"/>
      <w:bookmarkEnd w:id="321"/>
      <w:bookmarkEnd w:id="322"/>
      <w:bookmarkEnd w:id="323"/>
      <w:bookmarkEnd w:id="324"/>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4.1.3</w:t>
      </w:r>
      <w:r>
        <w:rPr>
          <w:rFonts w:hint="eastAsia" w:ascii="宋体" w:hAnsi="宋体" w:cs="宋体"/>
          <w:color w:val="000000"/>
          <w:szCs w:val="21"/>
          <w:highlight w:val="none"/>
        </w:rPr>
        <w:t>除专用合同条款第</w:t>
      </w:r>
      <w:r>
        <w:rPr>
          <w:rFonts w:ascii="宋体" w:hAnsi="宋体" w:cs="宋体"/>
          <w:color w:val="000000"/>
          <w:szCs w:val="21"/>
          <w:highlight w:val="none"/>
        </w:rPr>
        <w:t>5.2</w:t>
      </w:r>
      <w:r>
        <w:rPr>
          <w:rFonts w:hint="eastAsia" w:ascii="宋体" w:hAnsi="宋体" w:cs="宋体"/>
          <w:color w:val="000000"/>
          <w:szCs w:val="21"/>
          <w:highlight w:val="none"/>
        </w:rPr>
        <w:t>款约定由发包人提供的材料和工程设备和第</w:t>
      </w:r>
      <w:r>
        <w:rPr>
          <w:rFonts w:ascii="宋体" w:hAnsi="宋体" w:cs="宋体"/>
          <w:color w:val="000000"/>
          <w:szCs w:val="21"/>
          <w:highlight w:val="none"/>
        </w:rPr>
        <w:t>6.2</w:t>
      </w:r>
      <w:r>
        <w:rPr>
          <w:rFonts w:hint="eastAsia" w:ascii="宋体" w:hAnsi="宋体" w:cs="宋体"/>
          <w:color w:val="000000"/>
          <w:szCs w:val="21"/>
          <w:highlight w:val="none"/>
        </w:rPr>
        <w:t>款约定由发包人提供的施工设备和临时设施外，承包人应负责提供为完成合同工作所需的劳务、材料、施工设备、工程设备和其他物品，并按合同约定负责临时设施的设计、建造、运行、维护、管理和拆除。</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4.1.8</w:t>
      </w:r>
      <w:r>
        <w:rPr>
          <w:rFonts w:hint="eastAsia" w:ascii="宋体" w:hAnsi="宋体" w:cs="宋体"/>
          <w:color w:val="000000"/>
          <w:szCs w:val="21"/>
          <w:highlight w:val="none"/>
        </w:rPr>
        <w:t>为他人提供方便</w:t>
      </w:r>
    </w:p>
    <w:p>
      <w:pPr>
        <w:spacing w:line="360" w:lineRule="auto"/>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p>
    <w:p>
      <w:pPr>
        <w:spacing w:line="360" w:lineRule="auto"/>
        <w:rPr>
          <w:rFonts w:ascii="宋体" w:cs="宋体"/>
          <w:color w:val="000000"/>
          <w:szCs w:val="21"/>
          <w:highlight w:val="none"/>
          <w:u w:val="single"/>
        </w:rPr>
      </w:pPr>
      <w:r>
        <w:rPr>
          <w:rFonts w:ascii="宋体" w:hAnsi="宋体" w:cs="宋体"/>
          <w:color w:val="000000"/>
          <w:szCs w:val="21"/>
          <w:highlight w:val="none"/>
          <w:u w:val="single"/>
        </w:rPr>
        <w:t>a.</w:t>
      </w:r>
      <w:r>
        <w:rPr>
          <w:rFonts w:hint="eastAsia" w:ascii="宋体" w:hAnsi="宋体" w:cs="宋体"/>
          <w:color w:val="000000"/>
          <w:szCs w:val="21"/>
          <w:highlight w:val="none"/>
          <w:u w:val="single"/>
        </w:rPr>
        <w:t>提供施工现场水源、电源；</w:t>
      </w:r>
    </w:p>
    <w:p>
      <w:pPr>
        <w:spacing w:line="360" w:lineRule="auto"/>
        <w:rPr>
          <w:rFonts w:ascii="宋体" w:cs="宋体"/>
          <w:color w:val="000000"/>
          <w:szCs w:val="21"/>
          <w:highlight w:val="none"/>
          <w:u w:val="single"/>
        </w:rPr>
      </w:pPr>
      <w:r>
        <w:rPr>
          <w:rFonts w:ascii="宋体" w:hAnsi="宋体" w:cs="宋体"/>
          <w:color w:val="000000"/>
          <w:szCs w:val="21"/>
          <w:highlight w:val="none"/>
          <w:u w:val="single"/>
        </w:rPr>
        <w:t>b.</w:t>
      </w:r>
      <w:r>
        <w:rPr>
          <w:rFonts w:hint="eastAsia" w:ascii="宋体" w:hAnsi="宋体" w:cs="宋体"/>
          <w:color w:val="000000"/>
          <w:szCs w:val="21"/>
          <w:highlight w:val="none"/>
          <w:u w:val="single"/>
        </w:rPr>
        <w:t>如果根据工程实际进展情况，承包人需拆除现场已存在的临时设施时，承包人须征得发包人和监理人的认可后方可拆除；</w:t>
      </w:r>
    </w:p>
    <w:p>
      <w:pPr>
        <w:spacing w:line="360" w:lineRule="auto"/>
        <w:rPr>
          <w:rFonts w:ascii="宋体" w:cs="宋体"/>
          <w:color w:val="000000"/>
          <w:szCs w:val="21"/>
          <w:highlight w:val="none"/>
          <w:u w:val="single"/>
        </w:rPr>
      </w:pPr>
      <w:r>
        <w:rPr>
          <w:rFonts w:ascii="宋体" w:hAnsi="宋体" w:cs="宋体"/>
          <w:color w:val="000000"/>
          <w:szCs w:val="21"/>
          <w:highlight w:val="none"/>
          <w:u w:val="single"/>
        </w:rPr>
        <w:t>c.</w:t>
      </w:r>
      <w:r>
        <w:rPr>
          <w:rFonts w:hint="eastAsia" w:ascii="宋体" w:hAnsi="宋体" w:cs="宋体"/>
          <w:color w:val="000000"/>
          <w:szCs w:val="21"/>
          <w:highlight w:val="none"/>
          <w:u w:val="single"/>
        </w:rPr>
        <w:t>提供足够的和无障碍的工作面；</w:t>
      </w:r>
    </w:p>
    <w:p>
      <w:pPr>
        <w:spacing w:line="360" w:lineRule="auto"/>
        <w:rPr>
          <w:rFonts w:ascii="宋体" w:cs="宋体"/>
          <w:color w:val="000000"/>
          <w:szCs w:val="21"/>
          <w:highlight w:val="none"/>
          <w:u w:val="single"/>
        </w:rPr>
      </w:pPr>
      <w:r>
        <w:rPr>
          <w:rFonts w:ascii="宋体" w:hAnsi="宋体" w:cs="宋体"/>
          <w:color w:val="000000"/>
          <w:szCs w:val="21"/>
          <w:highlight w:val="none"/>
          <w:u w:val="single"/>
        </w:rPr>
        <w:t>d.</w:t>
      </w:r>
      <w:r>
        <w:rPr>
          <w:rFonts w:hint="eastAsia" w:ascii="宋体" w:hAnsi="宋体" w:cs="宋体"/>
          <w:color w:val="000000"/>
          <w:szCs w:val="21"/>
          <w:highlight w:val="none"/>
          <w:u w:val="single"/>
        </w:rPr>
        <w:t>提供正常的临时照明和施工及调试运行所必需的设施；</w:t>
      </w:r>
    </w:p>
    <w:p>
      <w:pPr>
        <w:spacing w:line="360" w:lineRule="auto"/>
        <w:rPr>
          <w:rFonts w:ascii="宋体" w:cs="宋体"/>
          <w:color w:val="000000"/>
          <w:szCs w:val="21"/>
          <w:highlight w:val="none"/>
          <w:u w:val="single"/>
        </w:rPr>
      </w:pPr>
      <w:r>
        <w:rPr>
          <w:rFonts w:ascii="宋体" w:hAnsi="宋体" w:cs="宋体"/>
          <w:color w:val="000000"/>
          <w:szCs w:val="21"/>
          <w:highlight w:val="none"/>
          <w:u w:val="single"/>
        </w:rPr>
        <w:t>e.</w:t>
      </w:r>
      <w:r>
        <w:rPr>
          <w:rFonts w:hint="eastAsia" w:ascii="宋体" w:hAnsi="宋体" w:cs="宋体"/>
          <w:color w:val="000000"/>
          <w:szCs w:val="21"/>
          <w:highlight w:val="none"/>
          <w:u w:val="single"/>
        </w:rPr>
        <w:t>负责清理现场垃圾运至指定地点；</w:t>
      </w:r>
      <w:r>
        <w:rPr>
          <w:rFonts w:hint="eastAsia" w:ascii="宋体" w:hAnsi="宋体" w:cs="宋体"/>
          <w:color w:val="000000"/>
          <w:szCs w:val="21"/>
          <w:highlight w:val="none"/>
        </w:rPr>
        <w:t>。</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）承包人还应按监理人指示为独立承包人以外的他人在施工场地或者附近实施与合同工程有关的其他工作提供可能的条件，可能发生费用由监理人按第</w:t>
      </w:r>
      <w:r>
        <w:rPr>
          <w:rFonts w:ascii="宋体" w:hAnsi="宋体" w:cs="宋体"/>
          <w:color w:val="000000"/>
          <w:szCs w:val="21"/>
          <w:highlight w:val="none"/>
        </w:rPr>
        <w:t>3.5</w:t>
      </w:r>
      <w:r>
        <w:rPr>
          <w:rFonts w:hint="eastAsia" w:ascii="宋体" w:hAnsi="宋体" w:cs="宋体"/>
          <w:color w:val="000000"/>
          <w:szCs w:val="21"/>
          <w:highlight w:val="none"/>
        </w:rPr>
        <w:t>款商定或者确定。</w:t>
      </w:r>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t>4.1.10</w:t>
      </w:r>
      <w:r>
        <w:rPr>
          <w:rFonts w:hint="eastAsia" w:ascii="宋体" w:hAnsi="宋体" w:cs="宋体"/>
          <w:color w:val="000000"/>
          <w:szCs w:val="21"/>
          <w:highlight w:val="none"/>
        </w:rPr>
        <w:t>其他义务</w:t>
      </w:r>
      <w:r>
        <w:rPr>
          <w:rFonts w:ascii="宋体" w:hAnsi="宋体" w:cs="宋体"/>
          <w:color w:val="000000"/>
          <w:szCs w:val="21"/>
          <w:highlight w:val="none"/>
        </w:rPr>
        <w:t xml:space="preserve">  </w:t>
      </w:r>
    </w:p>
    <w:p>
      <w:pPr>
        <w:spacing w:line="360" w:lineRule="auto"/>
        <w:ind w:firstLine="315" w:firstLineChars="150"/>
        <w:rPr>
          <w:rFonts w:ascii="宋体" w:hAnsi="宋体" w:cs="宋体"/>
          <w:color w:val="000000"/>
          <w:szCs w:val="21"/>
          <w:highlight w:val="none"/>
          <w:u w:val="singl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）根据发包人委托，在其设计资质等级和业务允许的范围内，完成施工图设计或与工程配套的设计，经监理人确认后使用，发包人承担由此发生的费用和合理利润。由承包人负责完成的设计文件属于合同条款第</w:t>
      </w:r>
      <w:r>
        <w:rPr>
          <w:rFonts w:ascii="宋体" w:hAnsi="宋体" w:cs="宋体"/>
          <w:color w:val="000000"/>
          <w:szCs w:val="21"/>
          <w:highlight w:val="none"/>
        </w:rPr>
        <w:t>1.6.2</w:t>
      </w:r>
      <w:r>
        <w:rPr>
          <w:rFonts w:hint="eastAsia" w:ascii="宋体" w:hAnsi="宋体" w:cs="宋体"/>
          <w:color w:val="000000"/>
          <w:szCs w:val="21"/>
          <w:highlight w:val="none"/>
        </w:rPr>
        <w:t>项约定的承包人提供的文件，承包人应按照专用合同条款第</w:t>
      </w:r>
      <w:r>
        <w:rPr>
          <w:rFonts w:ascii="宋体" w:hAnsi="宋体" w:cs="宋体"/>
          <w:color w:val="000000"/>
          <w:szCs w:val="21"/>
          <w:highlight w:val="none"/>
        </w:rPr>
        <w:t>1.6.2</w:t>
      </w:r>
      <w:r>
        <w:rPr>
          <w:rFonts w:hint="eastAsia" w:ascii="宋体" w:hAnsi="宋体" w:cs="宋体"/>
          <w:color w:val="000000"/>
          <w:szCs w:val="21"/>
          <w:highlight w:val="none"/>
        </w:rPr>
        <w:t>项约定的期限和数量提交，由此发生的费用被认为已经包括在承包人的签约合同价（投标总报价）中。由承包人承担的施工图设计或与工程配套的设计工作内容：</w:t>
      </w:r>
      <w:r>
        <w:rPr>
          <w:rFonts w:ascii="宋体" w:hAnsi="宋体" w:cs="宋体"/>
          <w:color w:val="000000"/>
          <w:szCs w:val="21"/>
          <w:highlight w:val="none"/>
          <w:u w:val="single"/>
        </w:rPr>
        <w:t xml:space="preserve">                             </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）承包人应履行合同约定的其他义务以及下述义务：</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a.</w:t>
      </w:r>
      <w:r>
        <w:rPr>
          <w:rFonts w:hint="eastAsia" w:ascii="宋体" w:hAnsi="宋体" w:cs="宋体"/>
          <w:color w:val="000000"/>
          <w:szCs w:val="21"/>
          <w:highlight w:val="none"/>
          <w:u w:val="single"/>
        </w:rPr>
        <w:t>委派负责现场管理的承包人代表须持有与本工程相应的资格证书；</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b.</w:t>
      </w:r>
      <w:r>
        <w:rPr>
          <w:rFonts w:hint="eastAsia" w:ascii="宋体" w:hAnsi="宋体" w:cs="宋体"/>
          <w:color w:val="000000"/>
          <w:szCs w:val="21"/>
          <w:highlight w:val="none"/>
          <w:u w:val="single"/>
        </w:rPr>
        <w:t>承包人负责办理市容、城管</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、交通、公安</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、环保</w:t>
      </w:r>
      <w:r>
        <w:rPr>
          <w:rFonts w:ascii="宋体" w:hAnsi="宋体" w:cs="宋体"/>
          <w:color w:val="000000"/>
          <w:szCs w:val="21"/>
          <w:highlight w:val="none"/>
          <w:u w:val="single"/>
        </w:rPr>
        <w:t xml:space="preserve"> , </w:t>
      </w:r>
      <w:r>
        <w:rPr>
          <w:rFonts w:hint="eastAsia" w:ascii="宋体" w:hAnsi="宋体" w:cs="宋体"/>
          <w:color w:val="000000"/>
          <w:szCs w:val="21"/>
          <w:highlight w:val="none"/>
          <w:u w:val="single"/>
        </w:rPr>
        <w:t>渣土消纳等一切手续；如发生违法、违规等问题由承包人自己解决，并负责赔偿由此给招标人造成的一切损失；</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c.</w:t>
      </w:r>
      <w:r>
        <w:rPr>
          <w:rFonts w:hint="eastAsia" w:ascii="宋体" w:hAnsi="宋体" w:cs="宋体"/>
          <w:color w:val="000000"/>
          <w:szCs w:val="21"/>
          <w:highlight w:val="none"/>
          <w:u w:val="single"/>
        </w:rPr>
        <w:t>承包人应自觉遵守执行国家及北京市行业主管部门颁布实施的有关安全生产的法规、规章、制度、标准；负责保护拆除范围内的树木及周边建筑、道路、地下管线等设施，如有损坏须承担由此产生的一切费用</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d.</w:t>
      </w:r>
      <w:r>
        <w:rPr>
          <w:rFonts w:hint="eastAsia" w:ascii="宋体" w:hAnsi="宋体" w:cs="宋体"/>
          <w:color w:val="000000"/>
          <w:szCs w:val="21"/>
          <w:highlight w:val="none"/>
          <w:u w:val="single"/>
        </w:rPr>
        <w:t>承包人应当遵守北京外国语大学的有关规章制度</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在拆除期间保证校内人员安全，必须对现场进行围挡，夜晚设警示灯，并设防火、降尘、防盗等拆除安全保护措施；禁止畜力车进入校区；</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e.</w:t>
      </w:r>
      <w:r>
        <w:rPr>
          <w:rFonts w:hint="eastAsia" w:ascii="宋体" w:hAnsi="宋体" w:cs="宋体"/>
          <w:color w:val="000000"/>
          <w:szCs w:val="21"/>
          <w:highlight w:val="none"/>
          <w:u w:val="single"/>
        </w:rPr>
        <w:t>承包人确保本工程无安全事故发生，并提供书面拆除安全责任保证书，明确拆除期间如出现人员伤亡事故和其他安全责任事故</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一切损失及相关赔偿由责任由承包人承担；</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f.</w:t>
      </w:r>
      <w:r>
        <w:rPr>
          <w:rFonts w:hint="eastAsia" w:ascii="宋体" w:hAnsi="宋体" w:cs="宋体"/>
          <w:color w:val="000000"/>
          <w:szCs w:val="21"/>
          <w:highlight w:val="none"/>
          <w:u w:val="single"/>
        </w:rPr>
        <w:t>已竣工工程未交付发包人之前，承包人负责其保护工作。保护期间发生损坏的，由承包人予以修复并承担相应费用；</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g.</w:t>
      </w:r>
      <w:r>
        <w:rPr>
          <w:rFonts w:hint="eastAsia" w:ascii="宋体" w:hAnsi="宋体" w:cs="宋体"/>
          <w:color w:val="000000"/>
          <w:szCs w:val="21"/>
          <w:highlight w:val="none"/>
          <w:u w:val="single"/>
        </w:rPr>
        <w:t>对竣工验收后保修期内发现的因承包人原因造成的工程质量问题负责免费返修，对造成的间接损失负责全部赔偿；</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h.</w:t>
      </w:r>
      <w:r>
        <w:rPr>
          <w:rFonts w:hint="eastAsia" w:ascii="宋体" w:hAnsi="宋体" w:cs="宋体"/>
          <w:color w:val="000000"/>
          <w:szCs w:val="21"/>
          <w:highlight w:val="none"/>
          <w:u w:val="single"/>
        </w:rPr>
        <w:t>由承包人采用招标方式选定专业分包人的项目，承包人应承担相关的全部费用（包括招标过程发生的招标代理费、造价咨询费、评标专家费、专业分包招标交易服务费及合同印花税等）；</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i.</w:t>
      </w:r>
      <w:r>
        <w:rPr>
          <w:rFonts w:hint="eastAsia" w:ascii="宋体" w:hAnsi="宋体" w:cs="宋体"/>
          <w:color w:val="000000"/>
          <w:szCs w:val="21"/>
          <w:highlight w:val="none"/>
          <w:u w:val="single"/>
        </w:rPr>
        <w:t>承包人应为发包人工作人员或监理提供如下服务：将承包人负责修建、维修及保养的任何道路或通道，提供给上述人员使用；</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允许上述人员使用承包人提供的临时工程或承包人在现场的垂直运输机械和设备（如果有）；为保证承包人和其它专业施工单位的工作不发生冲突，承包人应对他们的工作场所和材料存放等负责协调；</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j.</w:t>
      </w:r>
      <w:r>
        <w:rPr>
          <w:rFonts w:hint="eastAsia" w:ascii="宋体" w:hAnsi="宋体" w:cs="宋体"/>
          <w:color w:val="000000"/>
          <w:szCs w:val="21"/>
          <w:highlight w:val="none"/>
          <w:u w:val="single"/>
        </w:rPr>
        <w:t>除非合同文件中另有约定，从工程开工日期起直至颁发整个工程的竣工移交证书日期止，承包人应对工程以及材料和待安装的工程设备等的照管负完全责任。这种照管的责任应随工程一起移交给发包人。承包人还应对移交后发生的，由承包人负责的以前的事件引起的损失或损害负责；</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k.</w:t>
      </w:r>
      <w:r>
        <w:rPr>
          <w:rFonts w:hint="eastAsia" w:ascii="宋体" w:hAnsi="宋体" w:cs="宋体"/>
          <w:color w:val="000000"/>
          <w:szCs w:val="21"/>
          <w:highlight w:val="none"/>
          <w:u w:val="single"/>
        </w:rPr>
        <w:t>负责施工现场的所有施工临时设施、临时道路、备用发电机、水、电管线的修建安装，保证施工的正常进行；</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l.</w:t>
      </w:r>
      <w:r>
        <w:rPr>
          <w:rFonts w:hint="eastAsia" w:ascii="宋体" w:hAnsi="宋体" w:cs="宋体"/>
          <w:color w:val="000000"/>
          <w:szCs w:val="21"/>
          <w:highlight w:val="none"/>
          <w:u w:val="single"/>
        </w:rPr>
        <w:t>承包人应承担在施工中因承包人原因发生的停工、返工、材料及物件的倒运、机械二次进场等所造成的损失；</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m.</w:t>
      </w:r>
      <w:r>
        <w:rPr>
          <w:rFonts w:hint="eastAsia" w:ascii="宋体" w:hAnsi="宋体" w:cs="宋体"/>
          <w:color w:val="000000"/>
          <w:szCs w:val="21"/>
          <w:highlight w:val="none"/>
          <w:u w:val="single"/>
        </w:rPr>
        <w:t>承包人应对整个现场的施工组织和施工方案的适用性、稳定性和安全性负全面责任。同时根据施工现场的实际情况建立健全质量保证体系、环境保证体系和职业健康与安全保证体系；</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n.</w:t>
      </w:r>
      <w:r>
        <w:rPr>
          <w:rFonts w:hint="eastAsia" w:ascii="宋体" w:hAnsi="宋体" w:cs="宋体"/>
          <w:color w:val="000000"/>
          <w:szCs w:val="21"/>
          <w:highlight w:val="none"/>
          <w:u w:val="single"/>
        </w:rPr>
        <w:t>承包人应保证工程各部分的位置、标高、尺寸和基准线的正确性；监理对放线和标高的检查，绝不意味着解除承包人对放线定位的责任；</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o.</w:t>
      </w:r>
      <w:r>
        <w:rPr>
          <w:rFonts w:hint="eastAsia" w:ascii="宋体" w:hAnsi="宋体" w:cs="宋体"/>
          <w:color w:val="000000"/>
          <w:szCs w:val="21"/>
          <w:highlight w:val="none"/>
          <w:u w:val="single"/>
        </w:rPr>
        <w:t>无论何时，承包人向发包人提供的有关工程施工的书面文件虽经审批、修改，但亦不能免除承包人按合同文件或法律应承担的责任；</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u w:val="single"/>
        </w:rPr>
        <w:t>p.</w:t>
      </w:r>
      <w:r>
        <w:rPr>
          <w:rFonts w:hint="eastAsia" w:ascii="宋体" w:hAnsi="宋体" w:cs="宋体"/>
          <w:color w:val="000000"/>
          <w:szCs w:val="21"/>
          <w:highlight w:val="none"/>
          <w:u w:val="single"/>
        </w:rPr>
        <w:t>合同签订后</w:t>
      </w:r>
      <w:r>
        <w:rPr>
          <w:rFonts w:ascii="宋体" w:hAnsi="宋体" w:cs="宋体"/>
          <w:color w:val="000000"/>
          <w:szCs w:val="21"/>
          <w:highlight w:val="none"/>
          <w:u w:val="single"/>
        </w:rPr>
        <w:t>7</w:t>
      </w:r>
      <w:r>
        <w:rPr>
          <w:rFonts w:hint="eastAsia" w:ascii="宋体" w:hAnsi="宋体" w:cs="宋体"/>
          <w:color w:val="000000"/>
          <w:szCs w:val="21"/>
          <w:highlight w:val="none"/>
          <w:u w:val="single"/>
        </w:rPr>
        <w:t>个日历天内提交施工组织设计及施工总进度计划、人员资质等需承包人向监理人提交的发布动工令的全部要件；</w:t>
      </w:r>
    </w:p>
    <w:p>
      <w:pPr>
        <w:spacing w:line="360" w:lineRule="auto"/>
        <w:rPr>
          <w:rFonts w:ascii="宋体" w:cs="宋体"/>
          <w:color w:val="000000"/>
          <w:szCs w:val="21"/>
          <w:highlight w:val="none"/>
        </w:rPr>
      </w:pPr>
      <w:r>
        <w:rPr>
          <w:rFonts w:ascii="宋体" w:hAnsi="宋体" w:cs="宋体"/>
          <w:color w:val="000000"/>
          <w:szCs w:val="21"/>
          <w:highlight w:val="none"/>
          <w:u w:val="single"/>
        </w:rPr>
        <w:t>q.</w:t>
      </w:r>
      <w:r>
        <w:rPr>
          <w:rFonts w:hint="eastAsia" w:ascii="宋体" w:hAnsi="宋体" w:cs="宋体"/>
          <w:color w:val="000000"/>
          <w:szCs w:val="21"/>
          <w:highlight w:val="none"/>
          <w:u w:val="single"/>
        </w:rPr>
        <w:t>为避免正常施工时产生的噪音、震动、光线等因素导致周围的居民和公众对工程进展造成影响，承包人应当及时采取合理措施对施工场地周围的居民和公众进行协调，并在必要时支付补偿金，补偿金由发包人负担</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325" w:name="_Toc241459676"/>
      <w:bookmarkStart w:id="326" w:name="_Toc342296435"/>
      <w:bookmarkStart w:id="327" w:name="_Toc371939199"/>
      <w:bookmarkStart w:id="328" w:name="_Toc389141078"/>
      <w:bookmarkStart w:id="329" w:name="_Toc409517606"/>
      <w:bookmarkStart w:id="330" w:name="_Toc409517894"/>
      <w:bookmarkStart w:id="331" w:name="_Toc409518182"/>
      <w:bookmarkStart w:id="332" w:name="_Toc424289444"/>
      <w:bookmarkStart w:id="333" w:name="_Toc3712"/>
      <w:bookmarkStart w:id="334" w:name="_Toc144974610"/>
      <w:bookmarkStart w:id="335" w:name="_Toc152042420"/>
      <w:bookmarkStart w:id="336" w:name="_Toc152045642"/>
      <w:bookmarkStart w:id="337" w:name="_Toc179632660"/>
      <w:r>
        <w:rPr>
          <w:rFonts w:ascii="宋体" w:hAnsi="宋体" w:eastAsia="宋体"/>
          <w:color w:val="000000"/>
          <w:sz w:val="21"/>
          <w:szCs w:val="21"/>
          <w:highlight w:val="none"/>
        </w:rPr>
        <w:t xml:space="preserve">4.2 </w:t>
      </w:r>
      <w:r>
        <w:rPr>
          <w:rFonts w:hint="eastAsia" w:ascii="宋体" w:hAnsi="宋体" w:eastAsia="宋体"/>
          <w:color w:val="000000"/>
          <w:sz w:val="21"/>
          <w:szCs w:val="21"/>
          <w:highlight w:val="none"/>
        </w:rPr>
        <w:t>履约担保</w:t>
      </w:r>
      <w:bookmarkEnd w:id="325"/>
      <w:bookmarkEnd w:id="326"/>
      <w:bookmarkEnd w:id="327"/>
      <w:bookmarkEnd w:id="328"/>
      <w:bookmarkEnd w:id="329"/>
      <w:bookmarkEnd w:id="330"/>
      <w:bookmarkEnd w:id="331"/>
      <w:bookmarkEnd w:id="332"/>
      <w:bookmarkEnd w:id="333"/>
      <w:r>
        <w:rPr>
          <w:rFonts w:ascii="宋体" w:hAnsi="宋体" w:eastAsia="宋体"/>
          <w:color w:val="000000"/>
          <w:sz w:val="21"/>
          <w:szCs w:val="21"/>
          <w:highlight w:val="none"/>
        </w:rPr>
        <w:t xml:space="preserve"> </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4.2.1 </w:t>
      </w:r>
      <w:r>
        <w:rPr>
          <w:rFonts w:hint="eastAsia" w:ascii="宋体" w:hAnsi="宋体" w:cs="宋体"/>
          <w:color w:val="000000"/>
          <w:szCs w:val="21"/>
          <w:highlight w:val="none"/>
        </w:rPr>
        <w:t>履约担保的格式和金额</w:t>
      </w:r>
    </w:p>
    <w:p>
      <w:pPr>
        <w:spacing w:line="360" w:lineRule="auto"/>
        <w:ind w:firstLine="420" w:firstLineChars="200"/>
        <w:rPr>
          <w:rFonts w:ascii="宋体" w:cs="宋体"/>
          <w:szCs w:val="21"/>
          <w:highlight w:val="none"/>
        </w:rPr>
      </w:pPr>
      <w:r>
        <w:rPr>
          <w:rFonts w:hint="eastAsia" w:ascii="宋体" w:hAnsi="宋体" w:cs="宋体"/>
          <w:color w:val="000000"/>
          <w:szCs w:val="21"/>
          <w:highlight w:val="none"/>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w:t>
      </w:r>
      <w:r>
        <w:rPr>
          <w:rFonts w:hint="eastAsia" w:ascii="宋体" w:hAnsi="宋体" w:cs="宋体"/>
          <w:szCs w:val="21"/>
          <w:highlight w:val="none"/>
        </w:rPr>
        <w:t>定的格式内容保持一致。履约担保的金额为</w:t>
      </w:r>
      <w:r>
        <w:rPr>
          <w:rFonts w:ascii="宋体" w:hAnsi="宋体" w:cs="宋体"/>
          <w:szCs w:val="21"/>
          <w:highlight w:val="none"/>
          <w:u w:val="single"/>
        </w:rPr>
        <w:t xml:space="preserve">  5%   </w:t>
      </w:r>
      <w:r>
        <w:rPr>
          <w:rFonts w:hint="eastAsia" w:ascii="宋体" w:hAnsi="宋体" w:cs="宋体"/>
          <w:szCs w:val="21"/>
          <w:highlight w:val="none"/>
        </w:rPr>
        <w:t>。</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4.2.2 </w:t>
      </w:r>
      <w:r>
        <w:rPr>
          <w:rFonts w:hint="eastAsia" w:ascii="宋体" w:hAnsi="宋体" w:cs="宋体"/>
          <w:color w:val="000000"/>
          <w:szCs w:val="21"/>
          <w:highlight w:val="none"/>
        </w:rPr>
        <w:t>履约担保的有效期</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4.2.3 </w:t>
      </w:r>
      <w:r>
        <w:rPr>
          <w:rFonts w:hint="eastAsia" w:ascii="宋体" w:hAnsi="宋体" w:cs="宋体"/>
          <w:color w:val="000000"/>
          <w:szCs w:val="21"/>
          <w:highlight w:val="none"/>
        </w:rPr>
        <w:t>履约担保的退还</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履约担保应在监理人向承包人颁发（出具）工程接收证书之日后</w:t>
      </w:r>
      <w:r>
        <w:rPr>
          <w:rFonts w:ascii="宋体" w:hAnsi="宋体" w:cs="宋体"/>
          <w:color w:val="000000"/>
          <w:szCs w:val="21"/>
          <w:highlight w:val="none"/>
        </w:rPr>
        <w:t>28</w:t>
      </w:r>
      <w:r>
        <w:rPr>
          <w:rFonts w:hint="eastAsia" w:ascii="宋体" w:hAnsi="宋体" w:cs="宋体"/>
          <w:color w:val="000000"/>
          <w:szCs w:val="21"/>
          <w:highlight w:val="none"/>
        </w:rPr>
        <w:t>天内退还给承包人。发包人不承担承包人与履约担保有关的任何利息或其它类似的费用或者收益。</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4.2.4 </w:t>
      </w:r>
      <w:r>
        <w:rPr>
          <w:rFonts w:hint="eastAsia" w:ascii="宋体" w:hAnsi="宋体" w:cs="宋体"/>
          <w:color w:val="000000"/>
          <w:szCs w:val="21"/>
          <w:highlight w:val="none"/>
        </w:rPr>
        <w:t>通知义务</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不管履约担保条款中如何约定，发包人根据担保条款提出索赔或兑现要求</w:t>
      </w:r>
      <w:r>
        <w:rPr>
          <w:rFonts w:ascii="宋体" w:hAnsi="宋体" w:cs="宋体"/>
          <w:color w:val="000000"/>
          <w:szCs w:val="21"/>
          <w:highlight w:val="none"/>
        </w:rPr>
        <w:t>28</w:t>
      </w:r>
      <w:r>
        <w:rPr>
          <w:rFonts w:hint="eastAsia" w:ascii="宋体" w:hAnsi="宋体" w:cs="宋体"/>
          <w:color w:val="000000"/>
          <w:szCs w:val="21"/>
          <w:highlight w:val="none"/>
        </w:rPr>
        <w:t>天前，应通知承包人并说明导致此类索赔或兑现的违约性质或原因。相应地，不管专用合同条款</w:t>
      </w:r>
      <w:r>
        <w:rPr>
          <w:rFonts w:ascii="宋体" w:hAnsi="宋体" w:cs="宋体"/>
          <w:color w:val="000000"/>
          <w:szCs w:val="21"/>
          <w:highlight w:val="none"/>
        </w:rPr>
        <w:t>2.8(1)</w:t>
      </w:r>
      <w:r>
        <w:rPr>
          <w:rFonts w:hint="eastAsia" w:ascii="宋体" w:hAnsi="宋体" w:cs="宋体"/>
          <w:color w:val="000000"/>
          <w:szCs w:val="21"/>
          <w:highlight w:val="none"/>
        </w:rPr>
        <w:t>目约定的支付担保条款中如何约定，承包人根据担保条款提出索赔或兑现要求</w:t>
      </w:r>
      <w:r>
        <w:rPr>
          <w:rFonts w:ascii="宋体" w:hAnsi="宋体" w:cs="宋体"/>
          <w:color w:val="000000"/>
          <w:szCs w:val="21"/>
          <w:highlight w:val="none"/>
        </w:rPr>
        <w:t>28</w:t>
      </w:r>
      <w:r>
        <w:rPr>
          <w:rFonts w:hint="eastAsia" w:ascii="宋体" w:hAnsi="宋体" w:cs="宋体"/>
          <w:color w:val="000000"/>
          <w:szCs w:val="21"/>
          <w:highlight w:val="none"/>
        </w:rPr>
        <w:t>天前，也应通知发包人并说明导致此类索赔或兑现的违约性质或原因。但是，本项约定的通知不应理解为是在任何意义上寻求承包人或者发包人的同意。</w:t>
      </w:r>
    </w:p>
    <w:p>
      <w:pPr>
        <w:pStyle w:val="126"/>
        <w:spacing w:line="360" w:lineRule="auto"/>
        <w:outlineLvl w:val="9"/>
        <w:rPr>
          <w:rFonts w:ascii="宋体" w:hAnsi="宋体" w:eastAsia="宋体"/>
          <w:color w:val="000000"/>
          <w:sz w:val="21"/>
          <w:szCs w:val="21"/>
          <w:highlight w:val="none"/>
        </w:rPr>
      </w:pPr>
      <w:bookmarkStart w:id="338" w:name="_Toc241459677"/>
      <w:bookmarkStart w:id="339" w:name="_Toc342296436"/>
      <w:bookmarkStart w:id="340" w:name="_Toc371939200"/>
      <w:bookmarkStart w:id="341" w:name="_Toc389141079"/>
      <w:bookmarkStart w:id="342" w:name="_Toc409517607"/>
      <w:bookmarkStart w:id="343" w:name="_Toc409517895"/>
      <w:bookmarkStart w:id="344" w:name="_Toc409518183"/>
      <w:bookmarkStart w:id="345" w:name="_Toc424289445"/>
      <w:bookmarkStart w:id="346" w:name="_Toc21007"/>
      <w:r>
        <w:rPr>
          <w:rFonts w:ascii="宋体" w:hAnsi="宋体" w:eastAsia="宋体"/>
          <w:color w:val="000000"/>
          <w:sz w:val="21"/>
          <w:szCs w:val="21"/>
          <w:highlight w:val="none"/>
        </w:rPr>
        <w:t xml:space="preserve">4.3 </w:t>
      </w:r>
      <w:r>
        <w:rPr>
          <w:rFonts w:hint="eastAsia" w:ascii="宋体" w:hAnsi="宋体" w:eastAsia="宋体"/>
          <w:color w:val="000000"/>
          <w:sz w:val="21"/>
          <w:szCs w:val="21"/>
          <w:highlight w:val="none"/>
        </w:rPr>
        <w:t>分包</w:t>
      </w:r>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宋体" w:hAnsi="宋体" w:eastAsia="宋体"/>
          <w:color w:val="000000"/>
          <w:sz w:val="21"/>
          <w:szCs w:val="21"/>
          <w:highlight w:val="none"/>
        </w:rPr>
        <w:t xml:space="preserve"> </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4.3.2</w:t>
      </w:r>
      <w:r>
        <w:rPr>
          <w:rFonts w:hint="eastAsia" w:ascii="宋体" w:hAnsi="宋体" w:cs="宋体"/>
          <w:color w:val="000000"/>
          <w:szCs w:val="21"/>
          <w:highlight w:val="none"/>
        </w:rPr>
        <w:t>发包人同意承包人分包的非主体、非关键性工作见投标函附录。除通用合同条款第</w:t>
      </w:r>
      <w:r>
        <w:rPr>
          <w:rFonts w:ascii="宋体" w:hAnsi="宋体" w:cs="宋体"/>
          <w:color w:val="000000"/>
          <w:szCs w:val="21"/>
          <w:highlight w:val="none"/>
        </w:rPr>
        <w:t>4.3</w:t>
      </w:r>
      <w:r>
        <w:rPr>
          <w:rFonts w:hint="eastAsia" w:ascii="宋体" w:hAnsi="宋体" w:cs="宋体"/>
          <w:color w:val="000000"/>
          <w:szCs w:val="21"/>
          <w:highlight w:val="none"/>
        </w:rPr>
        <w:t>款的约定外，分包还应遵循以下约定：</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发包人在工程量清单中给定暂估价的专业工程，包括从暂列金额开支的专业工程，达到依法应当招标的规模标准的，以及虽未达到规定的规模标准但合同中约定采用分包方式或者招标方式实施的，应当按专用合同条款第</w:t>
      </w:r>
      <w:r>
        <w:rPr>
          <w:rFonts w:ascii="宋体" w:hAnsi="宋体" w:cs="宋体"/>
          <w:color w:val="000000"/>
          <w:szCs w:val="21"/>
          <w:highlight w:val="none"/>
        </w:rPr>
        <w:t>15.8.1</w:t>
      </w:r>
      <w:r>
        <w:rPr>
          <w:rFonts w:hint="eastAsia" w:ascii="宋体" w:hAnsi="宋体" w:cs="宋体"/>
          <w:color w:val="000000"/>
          <w:szCs w:val="21"/>
          <w:highlight w:val="none"/>
        </w:rPr>
        <w:t>项的约定，由发包人和承包人以招标方式确定专业分包人。除项目审批部门有特别核准外，暂估价的专业工程的招标应当采用与施工总承包同样的招标方式。</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）在相关分包合同签订并报送有关建设行政主管部门备案后</w:t>
      </w:r>
      <w:r>
        <w:rPr>
          <w:rFonts w:ascii="宋体" w:hAnsi="宋体" w:cs="宋体"/>
          <w:color w:val="000000"/>
          <w:szCs w:val="21"/>
          <w:highlight w:val="none"/>
        </w:rPr>
        <w:t>7</w:t>
      </w:r>
      <w:r>
        <w:rPr>
          <w:rFonts w:hint="eastAsia" w:ascii="宋体" w:hAnsi="宋体" w:cs="宋体"/>
          <w:color w:val="000000"/>
          <w:szCs w:val="21"/>
          <w:highlight w:val="none"/>
        </w:rPr>
        <w:t>天内，承包人应当将一份副本提交给监理人，承包人应保障分包工作不得再次分包。</w:t>
      </w:r>
    </w:p>
    <w:p>
      <w:pPr>
        <w:spacing w:line="360" w:lineRule="auto"/>
        <w:ind w:firstLine="315" w:firstLineChars="15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分包工程价款由承包人与分包人（包括专业分包人）结算。未经承包人同意，发包人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60" w:lineRule="auto"/>
        <w:ind w:firstLine="315" w:firstLineChars="150"/>
        <w:rPr>
          <w:rFonts w:ascii="宋体" w:cs="宋体"/>
          <w:color w:val="000000"/>
          <w:szCs w:val="21"/>
          <w:highlight w:val="none"/>
        </w:rPr>
      </w:pPr>
      <w:bookmarkStart w:id="347" w:name="_Toc144974612"/>
      <w:bookmarkStart w:id="348" w:name="_Toc152042422"/>
      <w:bookmarkStart w:id="349" w:name="_Toc152045644"/>
      <w:bookmarkStart w:id="350" w:name="_Toc179632662"/>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）未经发包人和监理人审批同意的分包工程和分包人，发包人有权拒绝验收分包工程和支付相应款项，由此引起的承包人费用增加和（或）延误的工期由承包人承担。</w:t>
      </w:r>
    </w:p>
    <w:p>
      <w:pPr>
        <w:pStyle w:val="126"/>
        <w:spacing w:line="360" w:lineRule="auto"/>
        <w:outlineLvl w:val="9"/>
        <w:rPr>
          <w:rFonts w:ascii="宋体" w:hAnsi="宋体" w:eastAsia="宋体"/>
          <w:color w:val="000000"/>
          <w:sz w:val="21"/>
          <w:szCs w:val="21"/>
          <w:highlight w:val="none"/>
        </w:rPr>
      </w:pPr>
      <w:bookmarkStart w:id="351" w:name="_Toc241459678"/>
      <w:bookmarkStart w:id="352" w:name="_Toc342296437"/>
      <w:bookmarkStart w:id="353" w:name="_Toc371939201"/>
      <w:bookmarkStart w:id="354" w:name="_Toc389141080"/>
      <w:bookmarkStart w:id="355" w:name="_Toc409517608"/>
      <w:bookmarkStart w:id="356" w:name="_Toc409517896"/>
      <w:bookmarkStart w:id="357" w:name="_Toc409518184"/>
      <w:bookmarkStart w:id="358" w:name="_Toc424289446"/>
      <w:bookmarkStart w:id="359" w:name="_Toc5212"/>
      <w:r>
        <w:rPr>
          <w:rFonts w:ascii="宋体" w:hAnsi="宋体" w:eastAsia="宋体"/>
          <w:color w:val="000000"/>
          <w:sz w:val="21"/>
          <w:szCs w:val="21"/>
          <w:highlight w:val="none"/>
        </w:rPr>
        <w:t xml:space="preserve">4.5 </w:t>
      </w:r>
      <w:r>
        <w:rPr>
          <w:rFonts w:hint="eastAsia" w:ascii="宋体" w:hAnsi="宋体" w:eastAsia="宋体"/>
          <w:color w:val="000000"/>
          <w:sz w:val="21"/>
          <w:szCs w:val="21"/>
          <w:highlight w:val="none"/>
        </w:rPr>
        <w:t>承包人项目经理</w:t>
      </w:r>
      <w:bookmarkEnd w:id="347"/>
      <w:bookmarkEnd w:id="348"/>
      <w:bookmarkEnd w:id="349"/>
      <w:bookmarkEnd w:id="350"/>
      <w:bookmarkEnd w:id="351"/>
      <w:bookmarkEnd w:id="352"/>
      <w:bookmarkEnd w:id="353"/>
      <w:bookmarkEnd w:id="354"/>
      <w:bookmarkEnd w:id="355"/>
      <w:bookmarkEnd w:id="356"/>
      <w:bookmarkEnd w:id="357"/>
      <w:bookmarkEnd w:id="358"/>
      <w:bookmarkEnd w:id="359"/>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4.5.1</w:t>
      </w:r>
      <w:r>
        <w:rPr>
          <w:rFonts w:hint="eastAsia" w:ascii="宋体" w:hAnsi="宋体" w:cs="宋体"/>
          <w:color w:val="000000"/>
          <w:szCs w:val="21"/>
          <w:highlight w:val="none"/>
        </w:rPr>
        <w:t>承包人项目经理必须与承包人投标时所承诺的人员一致，并在根据通用合同条款第</w:t>
      </w:r>
      <w:r>
        <w:rPr>
          <w:rFonts w:ascii="宋体" w:hAnsi="宋体" w:cs="宋体"/>
          <w:color w:val="000000"/>
          <w:szCs w:val="21"/>
          <w:highlight w:val="none"/>
        </w:rPr>
        <w:t>11.1.1</w:t>
      </w:r>
      <w:r>
        <w:rPr>
          <w:rFonts w:hint="eastAsia" w:ascii="宋体" w:hAnsi="宋体" w:cs="宋体"/>
          <w:color w:val="000000"/>
          <w:szCs w:val="21"/>
          <w:highlight w:val="none"/>
        </w:rPr>
        <w:t>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pStyle w:val="126"/>
        <w:spacing w:line="360" w:lineRule="auto"/>
        <w:outlineLvl w:val="9"/>
        <w:rPr>
          <w:rFonts w:ascii="宋体" w:hAnsi="宋体" w:eastAsia="宋体"/>
          <w:color w:val="000000"/>
          <w:sz w:val="21"/>
          <w:szCs w:val="21"/>
          <w:highlight w:val="none"/>
        </w:rPr>
      </w:pPr>
      <w:bookmarkStart w:id="360" w:name="_Toc424289447"/>
      <w:bookmarkStart w:id="361" w:name="_Toc409518185"/>
      <w:bookmarkStart w:id="362" w:name="_Toc144974618"/>
      <w:bookmarkStart w:id="363" w:name="_Toc152045650"/>
      <w:bookmarkStart w:id="364" w:name="_Toc179632668"/>
      <w:bookmarkStart w:id="365" w:name="_Toc152042428"/>
      <w:bookmarkStart w:id="366" w:name="_Toc241459679"/>
      <w:bookmarkStart w:id="367" w:name="_Toc409517609"/>
      <w:bookmarkStart w:id="368" w:name="_Toc342296438"/>
      <w:bookmarkStart w:id="369" w:name="_Toc409517897"/>
      <w:bookmarkStart w:id="370" w:name="_Toc16382"/>
      <w:r>
        <w:rPr>
          <w:rFonts w:ascii="宋体" w:hAnsi="宋体" w:eastAsia="宋体"/>
          <w:color w:val="000000"/>
          <w:sz w:val="21"/>
          <w:szCs w:val="21"/>
          <w:highlight w:val="none"/>
        </w:rPr>
        <w:t xml:space="preserve">4.11 </w:t>
      </w:r>
      <w:r>
        <w:rPr>
          <w:rFonts w:hint="eastAsia" w:ascii="宋体" w:hAnsi="宋体" w:eastAsia="宋体"/>
          <w:color w:val="000000"/>
          <w:sz w:val="21"/>
          <w:szCs w:val="21"/>
          <w:highlight w:val="none"/>
        </w:rPr>
        <w:t>不利物质条件</w:t>
      </w:r>
      <w:bookmarkEnd w:id="360"/>
      <w:bookmarkEnd w:id="361"/>
      <w:bookmarkEnd w:id="362"/>
      <w:bookmarkEnd w:id="363"/>
      <w:bookmarkEnd w:id="364"/>
      <w:bookmarkEnd w:id="365"/>
      <w:bookmarkEnd w:id="366"/>
      <w:bookmarkEnd w:id="367"/>
      <w:bookmarkEnd w:id="368"/>
      <w:bookmarkEnd w:id="369"/>
      <w:bookmarkEnd w:id="370"/>
    </w:p>
    <w:p>
      <w:pPr>
        <w:spacing w:line="360" w:lineRule="auto"/>
        <w:rPr>
          <w:rFonts w:ascii="宋体" w:cs="宋体"/>
          <w:color w:val="000000"/>
          <w:szCs w:val="21"/>
          <w:highlight w:val="none"/>
          <w:u w:val="single"/>
        </w:rPr>
      </w:pPr>
      <w:bookmarkStart w:id="371" w:name="_Toc144974619"/>
      <w:bookmarkStart w:id="372" w:name="_Toc152042429"/>
      <w:bookmarkStart w:id="373" w:name="_Toc152045651"/>
      <w:bookmarkStart w:id="374" w:name="_Toc179632669"/>
      <w:r>
        <w:rPr>
          <w:rFonts w:ascii="宋体" w:hAnsi="宋体" w:cs="宋体"/>
          <w:color w:val="000000"/>
          <w:szCs w:val="21"/>
          <w:highlight w:val="none"/>
        </w:rPr>
        <w:t>4.11.1</w:t>
      </w:r>
      <w:r>
        <w:rPr>
          <w:rFonts w:hint="eastAsia" w:ascii="宋体" w:hAnsi="宋体" w:cs="宋体"/>
          <w:color w:val="000000"/>
          <w:szCs w:val="21"/>
          <w:highlight w:val="none"/>
        </w:rPr>
        <w:t>不利物质条件的范围：</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无</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89"/>
        <w:spacing w:before="0" w:line="360" w:lineRule="auto"/>
        <w:outlineLvl w:val="9"/>
        <w:rPr>
          <w:rFonts w:ascii="宋体" w:hAnsi="宋体" w:eastAsia="宋体"/>
          <w:color w:val="000000"/>
          <w:sz w:val="21"/>
          <w:szCs w:val="21"/>
          <w:highlight w:val="none"/>
        </w:rPr>
      </w:pPr>
      <w:bookmarkStart w:id="375" w:name="_Toc241459680"/>
      <w:bookmarkStart w:id="376" w:name="_Toc342296439"/>
      <w:bookmarkStart w:id="377" w:name="_Toc371939202"/>
      <w:bookmarkStart w:id="378" w:name="_Toc389141081"/>
      <w:bookmarkStart w:id="379" w:name="_Toc409517610"/>
      <w:bookmarkStart w:id="380" w:name="_Toc409517898"/>
      <w:bookmarkStart w:id="381" w:name="_Toc409518186"/>
      <w:bookmarkStart w:id="382" w:name="_Toc424289448"/>
      <w:bookmarkStart w:id="383" w:name="_Toc22827"/>
      <w:bookmarkStart w:id="384" w:name="_Toc21198"/>
      <w:r>
        <w:rPr>
          <w:rFonts w:ascii="宋体" w:hAnsi="宋体" w:eastAsia="宋体"/>
          <w:color w:val="000000"/>
          <w:sz w:val="21"/>
          <w:szCs w:val="21"/>
          <w:highlight w:val="none"/>
        </w:rPr>
        <w:t xml:space="preserve">5. </w:t>
      </w:r>
      <w:r>
        <w:rPr>
          <w:rFonts w:hint="eastAsia" w:ascii="宋体" w:hAnsi="宋体" w:eastAsia="宋体"/>
          <w:color w:val="000000"/>
          <w:sz w:val="21"/>
          <w:szCs w:val="21"/>
          <w:highlight w:val="none"/>
        </w:rPr>
        <w:t>材料和工程设备</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126"/>
        <w:spacing w:line="360" w:lineRule="auto"/>
        <w:outlineLvl w:val="9"/>
        <w:rPr>
          <w:rFonts w:ascii="宋体" w:hAnsi="宋体" w:eastAsia="宋体"/>
          <w:color w:val="000000"/>
          <w:sz w:val="21"/>
          <w:szCs w:val="21"/>
          <w:highlight w:val="none"/>
        </w:rPr>
      </w:pPr>
      <w:bookmarkStart w:id="385" w:name="_Toc144974620"/>
      <w:bookmarkStart w:id="386" w:name="_Toc152042430"/>
      <w:bookmarkStart w:id="387" w:name="_Toc152045652"/>
      <w:bookmarkStart w:id="388" w:name="_Toc179632670"/>
      <w:bookmarkStart w:id="389" w:name="_Toc241459681"/>
      <w:bookmarkStart w:id="390" w:name="_Toc342296440"/>
      <w:bookmarkStart w:id="391" w:name="_Toc371939203"/>
      <w:bookmarkStart w:id="392" w:name="_Toc389141082"/>
      <w:bookmarkStart w:id="393" w:name="_Toc409517611"/>
      <w:bookmarkStart w:id="394" w:name="_Toc409517899"/>
      <w:bookmarkStart w:id="395" w:name="_Toc409518187"/>
      <w:bookmarkStart w:id="396" w:name="_Toc424289449"/>
      <w:bookmarkStart w:id="397" w:name="_Toc7768"/>
      <w:r>
        <w:rPr>
          <w:rFonts w:ascii="宋体" w:hAnsi="宋体" w:eastAsia="宋体"/>
          <w:color w:val="000000"/>
          <w:sz w:val="21"/>
          <w:szCs w:val="21"/>
          <w:highlight w:val="none"/>
        </w:rPr>
        <w:t xml:space="preserve">5.1 </w:t>
      </w:r>
      <w:r>
        <w:rPr>
          <w:rFonts w:hint="eastAsia" w:ascii="宋体" w:hAnsi="宋体" w:eastAsia="宋体"/>
          <w:color w:val="000000"/>
          <w:sz w:val="21"/>
          <w:szCs w:val="21"/>
          <w:highlight w:val="none"/>
        </w:rPr>
        <w:t>承包人提供的材料和工程设备</w:t>
      </w:r>
      <w:bookmarkEnd w:id="385"/>
      <w:bookmarkEnd w:id="386"/>
      <w:bookmarkEnd w:id="387"/>
      <w:bookmarkEnd w:id="388"/>
      <w:bookmarkEnd w:id="389"/>
      <w:bookmarkEnd w:id="390"/>
      <w:bookmarkEnd w:id="391"/>
      <w:bookmarkEnd w:id="392"/>
      <w:bookmarkEnd w:id="393"/>
      <w:bookmarkEnd w:id="394"/>
      <w:bookmarkEnd w:id="395"/>
      <w:bookmarkEnd w:id="396"/>
      <w:bookmarkEnd w:id="397"/>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5.1.1</w:t>
      </w:r>
      <w:r>
        <w:rPr>
          <w:rFonts w:hint="eastAsia" w:ascii="宋体" w:hAnsi="宋体" w:cs="宋体"/>
          <w:color w:val="000000"/>
          <w:szCs w:val="21"/>
          <w:highlight w:val="none"/>
        </w:rPr>
        <w:t>除专用合同条款第</w:t>
      </w:r>
      <w:r>
        <w:rPr>
          <w:rFonts w:ascii="宋体" w:hAnsi="宋体" w:cs="宋体"/>
          <w:color w:val="000000"/>
          <w:szCs w:val="21"/>
          <w:highlight w:val="none"/>
        </w:rPr>
        <w:t>5.2</w:t>
      </w:r>
      <w:r>
        <w:rPr>
          <w:rFonts w:hint="eastAsia" w:ascii="宋体" w:hAnsi="宋体" w:cs="宋体"/>
          <w:color w:val="000000"/>
          <w:szCs w:val="21"/>
          <w:highlight w:val="none"/>
        </w:rPr>
        <w:t>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w:t>
      </w:r>
      <w:r>
        <w:rPr>
          <w:rFonts w:ascii="宋体" w:hAnsi="宋体" w:cs="宋体"/>
          <w:color w:val="000000"/>
          <w:szCs w:val="21"/>
          <w:highlight w:val="none"/>
        </w:rPr>
        <w:t>15.8.1</w:t>
      </w:r>
      <w:r>
        <w:rPr>
          <w:rFonts w:hint="eastAsia" w:ascii="宋体" w:hAnsi="宋体" w:cs="宋体"/>
          <w:color w:val="000000"/>
          <w:szCs w:val="21"/>
          <w:highlight w:val="none"/>
        </w:rPr>
        <w:t>项的约定，由发包人和承包人以招标方式确定专项供应商。承包人负责提供的主要材料和工程设备清单见合同附件二“承包人提供的材料和工程设备一览表”。</w:t>
      </w:r>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t xml:space="preserve">5.1.2 </w:t>
      </w:r>
      <w:r>
        <w:rPr>
          <w:rFonts w:hint="eastAsia" w:ascii="宋体" w:hAnsi="宋体" w:cs="宋体"/>
          <w:color w:val="000000"/>
          <w:szCs w:val="21"/>
          <w:highlight w:val="none"/>
        </w:rPr>
        <w:t>承包人将由其提供的材料和工程设备的供货人及品种、规格、数量和供货时间等报送监理人审批的期限：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不少于</w:t>
      </w:r>
      <w:r>
        <w:rPr>
          <w:rFonts w:ascii="宋体" w:hAnsi="宋体" w:cs="宋体"/>
          <w:color w:val="000000"/>
          <w:szCs w:val="21"/>
          <w:highlight w:val="none"/>
          <w:u w:val="single"/>
        </w:rPr>
        <w:t>15</w:t>
      </w:r>
      <w:r>
        <w:rPr>
          <w:rFonts w:hint="eastAsia" w:ascii="宋体" w:hAnsi="宋体" w:cs="宋体"/>
          <w:color w:val="000000"/>
          <w:szCs w:val="21"/>
          <w:highlight w:val="none"/>
          <w:u w:val="single"/>
        </w:rPr>
        <w:t>天</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pStyle w:val="126"/>
        <w:spacing w:line="360" w:lineRule="auto"/>
        <w:outlineLvl w:val="9"/>
        <w:rPr>
          <w:rFonts w:ascii="宋体" w:hAnsi="宋体" w:eastAsia="宋体"/>
          <w:color w:val="000000"/>
          <w:sz w:val="21"/>
          <w:szCs w:val="21"/>
          <w:highlight w:val="none"/>
        </w:rPr>
      </w:pPr>
      <w:bookmarkStart w:id="398" w:name="_Toc152042431"/>
      <w:bookmarkStart w:id="399" w:name="_Toc152045653"/>
      <w:bookmarkStart w:id="400" w:name="_Toc179632671"/>
      <w:bookmarkStart w:id="401" w:name="_Toc342296441"/>
      <w:bookmarkStart w:id="402" w:name="_Toc371939204"/>
      <w:bookmarkStart w:id="403" w:name="_Toc241459682"/>
      <w:bookmarkStart w:id="404" w:name="_Toc144974621"/>
      <w:bookmarkStart w:id="405" w:name="_Toc389141083"/>
      <w:bookmarkStart w:id="406" w:name="_Toc409517612"/>
      <w:bookmarkStart w:id="407" w:name="_Toc409517900"/>
      <w:bookmarkStart w:id="408" w:name="_Toc409518188"/>
      <w:bookmarkStart w:id="409" w:name="_Toc424289450"/>
      <w:bookmarkStart w:id="410" w:name="_Toc11753"/>
      <w:r>
        <w:rPr>
          <w:rFonts w:ascii="宋体" w:hAnsi="宋体" w:eastAsia="宋体"/>
          <w:color w:val="000000"/>
          <w:sz w:val="21"/>
          <w:szCs w:val="21"/>
          <w:highlight w:val="none"/>
        </w:rPr>
        <w:t xml:space="preserve">5.2 </w:t>
      </w:r>
      <w:r>
        <w:rPr>
          <w:rFonts w:hint="eastAsia" w:ascii="宋体" w:hAnsi="宋体" w:eastAsia="宋体"/>
          <w:color w:val="000000"/>
          <w:sz w:val="21"/>
          <w:szCs w:val="21"/>
          <w:highlight w:val="none"/>
        </w:rPr>
        <w:t>发包人提供的材料和工程设备</w:t>
      </w:r>
      <w:bookmarkEnd w:id="398"/>
      <w:bookmarkEnd w:id="399"/>
      <w:bookmarkEnd w:id="400"/>
      <w:bookmarkEnd w:id="401"/>
      <w:bookmarkEnd w:id="402"/>
      <w:bookmarkEnd w:id="403"/>
      <w:bookmarkEnd w:id="404"/>
      <w:bookmarkEnd w:id="405"/>
      <w:bookmarkEnd w:id="406"/>
      <w:bookmarkEnd w:id="407"/>
      <w:bookmarkEnd w:id="408"/>
      <w:bookmarkEnd w:id="409"/>
      <w:bookmarkEnd w:id="410"/>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5.2.1</w:t>
      </w:r>
      <w:r>
        <w:rPr>
          <w:rFonts w:hint="eastAsia" w:ascii="宋体" w:hAnsi="宋体" w:cs="宋体"/>
          <w:color w:val="000000"/>
          <w:szCs w:val="21"/>
          <w:highlight w:val="none"/>
        </w:rPr>
        <w:t>发包人负责提供的材料和工程设备的名称、规格、数量、价格、交货方式、交货地点和计划交货日期等见合同附件三“发包人提供的材料和工程设备一览表”。</w:t>
      </w:r>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t>5.2.3</w:t>
      </w:r>
      <w:r>
        <w:rPr>
          <w:rFonts w:hint="eastAsia" w:ascii="宋体" w:hAnsi="宋体" w:cs="宋体"/>
          <w:color w:val="000000"/>
          <w:szCs w:val="21"/>
          <w:highlight w:val="none"/>
        </w:rPr>
        <w:t>由发包人提供的材料和工程设备验收后，由承包人负责接收、运输和保管。</w:t>
      </w:r>
      <w:r>
        <w:rPr>
          <w:rFonts w:ascii="宋体" w:hAnsi="宋体" w:cs="宋体"/>
          <w:color w:val="000000"/>
          <w:szCs w:val="21"/>
          <w:highlight w:val="none"/>
        </w:rPr>
        <w:t xml:space="preserve"> </w:t>
      </w:r>
    </w:p>
    <w:p>
      <w:pPr>
        <w:pStyle w:val="89"/>
        <w:spacing w:before="0" w:line="360" w:lineRule="auto"/>
        <w:outlineLvl w:val="9"/>
        <w:rPr>
          <w:rFonts w:ascii="宋体" w:hAnsi="宋体" w:eastAsia="宋体"/>
          <w:color w:val="000000"/>
          <w:sz w:val="21"/>
          <w:szCs w:val="21"/>
          <w:highlight w:val="none"/>
        </w:rPr>
      </w:pPr>
      <w:bookmarkStart w:id="411" w:name="_Toc152045656"/>
      <w:bookmarkStart w:id="412" w:name="_Toc179632674"/>
      <w:bookmarkStart w:id="413" w:name="_Toc152042434"/>
      <w:bookmarkStart w:id="414" w:name="_Toc144974624"/>
      <w:bookmarkStart w:id="415" w:name="_Toc241459683"/>
      <w:bookmarkStart w:id="416" w:name="_Toc342296442"/>
      <w:bookmarkStart w:id="417" w:name="_Toc371939205"/>
      <w:bookmarkStart w:id="418" w:name="_Toc389141084"/>
      <w:bookmarkStart w:id="419" w:name="_Toc409517613"/>
      <w:bookmarkStart w:id="420" w:name="_Toc409517901"/>
      <w:bookmarkStart w:id="421" w:name="_Toc409518189"/>
      <w:bookmarkStart w:id="422" w:name="_Toc424289451"/>
      <w:bookmarkStart w:id="423" w:name="_Toc28251"/>
      <w:bookmarkStart w:id="424" w:name="_Toc15843"/>
      <w:r>
        <w:rPr>
          <w:rFonts w:ascii="宋体" w:hAnsi="宋体" w:eastAsia="宋体"/>
          <w:color w:val="000000"/>
          <w:sz w:val="21"/>
          <w:szCs w:val="21"/>
          <w:highlight w:val="none"/>
        </w:rPr>
        <w:t xml:space="preserve">6. </w:t>
      </w:r>
      <w:r>
        <w:rPr>
          <w:rFonts w:hint="eastAsia" w:ascii="宋体" w:hAnsi="宋体" w:eastAsia="宋体"/>
          <w:color w:val="000000"/>
          <w:sz w:val="21"/>
          <w:szCs w:val="21"/>
          <w:highlight w:val="none"/>
        </w:rPr>
        <w:t>施工设备和临时设施</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126"/>
        <w:spacing w:line="360" w:lineRule="auto"/>
        <w:outlineLvl w:val="9"/>
        <w:rPr>
          <w:rFonts w:ascii="宋体" w:hAnsi="宋体" w:eastAsia="宋体"/>
          <w:color w:val="000000"/>
          <w:sz w:val="21"/>
          <w:szCs w:val="21"/>
          <w:highlight w:val="none"/>
        </w:rPr>
      </w:pPr>
      <w:bookmarkStart w:id="425" w:name="_Toc144974625"/>
      <w:bookmarkStart w:id="426" w:name="_Toc152042435"/>
      <w:bookmarkStart w:id="427" w:name="_Toc152045657"/>
      <w:bookmarkStart w:id="428" w:name="_Toc179632675"/>
      <w:bookmarkStart w:id="429" w:name="_Toc241459684"/>
      <w:bookmarkStart w:id="430" w:name="_Toc342296443"/>
      <w:bookmarkStart w:id="431" w:name="_Toc371939206"/>
      <w:bookmarkStart w:id="432" w:name="_Toc389141085"/>
      <w:bookmarkStart w:id="433" w:name="_Toc409517614"/>
      <w:bookmarkStart w:id="434" w:name="_Toc409517902"/>
      <w:bookmarkStart w:id="435" w:name="_Toc409518190"/>
      <w:bookmarkStart w:id="436" w:name="_Toc424289452"/>
      <w:bookmarkStart w:id="437" w:name="_Toc31298"/>
      <w:r>
        <w:rPr>
          <w:rFonts w:ascii="宋体" w:hAnsi="宋体" w:eastAsia="宋体"/>
          <w:color w:val="000000"/>
          <w:sz w:val="21"/>
          <w:szCs w:val="21"/>
          <w:highlight w:val="none"/>
        </w:rPr>
        <w:t xml:space="preserve">6.1 </w:t>
      </w:r>
      <w:r>
        <w:rPr>
          <w:rFonts w:hint="eastAsia" w:ascii="宋体" w:hAnsi="宋体" w:eastAsia="宋体"/>
          <w:color w:val="000000"/>
          <w:sz w:val="21"/>
          <w:szCs w:val="21"/>
          <w:highlight w:val="none"/>
        </w:rPr>
        <w:t>承包人提供的施工设备和临时设施</w:t>
      </w:r>
      <w:bookmarkEnd w:id="425"/>
      <w:bookmarkEnd w:id="426"/>
      <w:bookmarkEnd w:id="427"/>
      <w:bookmarkEnd w:id="428"/>
      <w:bookmarkEnd w:id="429"/>
      <w:bookmarkEnd w:id="430"/>
      <w:bookmarkEnd w:id="431"/>
      <w:bookmarkEnd w:id="432"/>
      <w:bookmarkEnd w:id="433"/>
      <w:bookmarkEnd w:id="434"/>
      <w:bookmarkEnd w:id="435"/>
      <w:bookmarkEnd w:id="436"/>
      <w:bookmarkEnd w:id="437"/>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t>6.1.2</w:t>
      </w:r>
      <w:r>
        <w:rPr>
          <w:rFonts w:hint="eastAsia" w:ascii="宋体" w:hAnsi="宋体" w:cs="宋体"/>
          <w:color w:val="000000"/>
          <w:szCs w:val="21"/>
          <w:highlight w:val="none"/>
        </w:rPr>
        <w:t>发包人承担修建临时设施的费用的范围：</w:t>
      </w:r>
      <w:r>
        <w:rPr>
          <w:rFonts w:hint="eastAsia" w:ascii="宋体" w:hAnsi="宋体" w:cs="宋体"/>
          <w:color w:val="000000"/>
          <w:szCs w:val="21"/>
          <w:highlight w:val="none"/>
          <w:u w:val="single"/>
        </w:rPr>
        <w:t>接至施工现场的管线（电缆）；临时用房；临时道路等</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需要发包人办理申请手续和承担相关费用的临时占地：</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pStyle w:val="126"/>
        <w:spacing w:line="360" w:lineRule="auto"/>
        <w:outlineLvl w:val="9"/>
        <w:rPr>
          <w:rFonts w:ascii="宋体" w:hAnsi="宋体" w:eastAsia="宋体"/>
          <w:color w:val="000000"/>
          <w:sz w:val="21"/>
          <w:szCs w:val="21"/>
          <w:highlight w:val="none"/>
        </w:rPr>
      </w:pPr>
      <w:bookmarkStart w:id="438" w:name="_Toc144974626"/>
      <w:bookmarkStart w:id="439" w:name="_Toc152042436"/>
      <w:bookmarkStart w:id="440" w:name="_Toc152045658"/>
      <w:bookmarkStart w:id="441" w:name="_Toc179632676"/>
      <w:bookmarkStart w:id="442" w:name="_Toc241459685"/>
      <w:bookmarkStart w:id="443" w:name="_Toc342296444"/>
      <w:bookmarkStart w:id="444" w:name="_Toc371939207"/>
      <w:bookmarkStart w:id="445" w:name="_Toc389141086"/>
      <w:bookmarkStart w:id="446" w:name="_Toc409517615"/>
      <w:bookmarkStart w:id="447" w:name="_Toc409517903"/>
      <w:bookmarkStart w:id="448" w:name="_Toc409518191"/>
      <w:bookmarkStart w:id="449" w:name="_Toc424289453"/>
      <w:bookmarkStart w:id="450" w:name="_Toc24266"/>
      <w:r>
        <w:rPr>
          <w:rFonts w:ascii="宋体" w:hAnsi="宋体" w:eastAsia="宋体"/>
          <w:color w:val="000000"/>
          <w:sz w:val="21"/>
          <w:szCs w:val="21"/>
          <w:highlight w:val="none"/>
        </w:rPr>
        <w:t xml:space="preserve">6.2 </w:t>
      </w:r>
      <w:r>
        <w:rPr>
          <w:rFonts w:hint="eastAsia" w:ascii="宋体" w:hAnsi="宋体" w:eastAsia="宋体"/>
          <w:color w:val="000000"/>
          <w:sz w:val="21"/>
          <w:szCs w:val="21"/>
          <w:highlight w:val="none"/>
        </w:rPr>
        <w:t>发包人提供的施工设备和临时设施</w:t>
      </w:r>
      <w:bookmarkEnd w:id="438"/>
      <w:bookmarkEnd w:id="439"/>
      <w:bookmarkEnd w:id="440"/>
      <w:bookmarkEnd w:id="441"/>
      <w:bookmarkEnd w:id="442"/>
      <w:bookmarkEnd w:id="443"/>
      <w:bookmarkEnd w:id="444"/>
      <w:bookmarkEnd w:id="445"/>
      <w:bookmarkEnd w:id="446"/>
      <w:bookmarkEnd w:id="447"/>
      <w:bookmarkEnd w:id="448"/>
      <w:bookmarkEnd w:id="449"/>
      <w:bookmarkEnd w:id="450"/>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发包人提供的施工设备和临时设施：</w:t>
      </w:r>
      <w:r>
        <w:rPr>
          <w:rFonts w:hint="eastAsia" w:ascii="宋体" w:hAnsi="宋体" w:cs="宋体"/>
          <w:color w:val="000000"/>
          <w:szCs w:val="21"/>
          <w:highlight w:val="none"/>
          <w:u w:val="single"/>
        </w:rPr>
        <w:t>水、电接驳点，接至施工现场的管线（电缆）由承包人承担</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发包人提供的施工设备和临时设施的运行、维护、拆除、清运费用的承担人：</w:t>
      </w:r>
      <w:r>
        <w:rPr>
          <w:rFonts w:hint="eastAsia" w:ascii="宋体" w:hAnsi="宋体" w:cs="宋体"/>
          <w:color w:val="000000"/>
          <w:szCs w:val="21"/>
          <w:highlight w:val="none"/>
          <w:u w:val="single"/>
        </w:rPr>
        <w:t>承包人</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451" w:name="_Toc409517904"/>
      <w:bookmarkStart w:id="452" w:name="_Toc179632678"/>
      <w:bookmarkStart w:id="453" w:name="_Toc241459686"/>
      <w:bookmarkStart w:id="454" w:name="_Toc152045660"/>
      <w:bookmarkStart w:id="455" w:name="_Toc152042438"/>
      <w:bookmarkStart w:id="456" w:name="_Toc424289454"/>
      <w:bookmarkStart w:id="457" w:name="_Toc409518192"/>
      <w:bookmarkStart w:id="458" w:name="_Toc2216"/>
      <w:bookmarkStart w:id="459" w:name="_Toc144974628"/>
      <w:bookmarkStart w:id="460" w:name="_Toc409517616"/>
      <w:bookmarkStart w:id="461" w:name="_Toc342296445"/>
      <w:bookmarkStart w:id="462" w:name="_Toc389141087"/>
      <w:bookmarkStart w:id="463" w:name="_Toc371939208"/>
      <w:r>
        <w:rPr>
          <w:rFonts w:ascii="宋体" w:hAnsi="宋体" w:eastAsia="宋体"/>
          <w:color w:val="000000"/>
          <w:sz w:val="21"/>
          <w:szCs w:val="21"/>
          <w:highlight w:val="none"/>
        </w:rPr>
        <w:t xml:space="preserve">6.4 </w:t>
      </w:r>
      <w:r>
        <w:rPr>
          <w:rFonts w:hint="eastAsia" w:ascii="宋体" w:hAnsi="宋体" w:eastAsia="宋体"/>
          <w:color w:val="000000"/>
          <w:sz w:val="21"/>
          <w:szCs w:val="21"/>
          <w:highlight w:val="none"/>
        </w:rPr>
        <w:t>施工设备和临时设施专用于合同工程</w:t>
      </w:r>
      <w:bookmarkEnd w:id="451"/>
      <w:bookmarkEnd w:id="452"/>
      <w:bookmarkEnd w:id="453"/>
      <w:bookmarkEnd w:id="454"/>
      <w:bookmarkEnd w:id="455"/>
      <w:bookmarkEnd w:id="456"/>
      <w:bookmarkEnd w:id="457"/>
      <w:bookmarkEnd w:id="458"/>
      <w:bookmarkEnd w:id="459"/>
      <w:bookmarkEnd w:id="460"/>
      <w:bookmarkEnd w:id="461"/>
      <w:bookmarkEnd w:id="462"/>
      <w:bookmarkEnd w:id="463"/>
    </w:p>
    <w:p>
      <w:pPr>
        <w:spacing w:line="360" w:lineRule="auto"/>
        <w:ind w:firstLine="420" w:firstLineChars="200"/>
        <w:rPr>
          <w:rFonts w:ascii="宋体" w:cs="宋体"/>
          <w:color w:val="000000"/>
          <w:szCs w:val="21"/>
          <w:highlight w:val="none"/>
          <w:u w:val="single"/>
          <w:bdr w:val="single" w:color="auto" w:sz="4" w:space="0"/>
        </w:rPr>
      </w:pPr>
      <w:r>
        <w:rPr>
          <w:rFonts w:ascii="宋体" w:hAnsi="宋体" w:cs="宋体"/>
          <w:color w:val="000000"/>
          <w:szCs w:val="21"/>
          <w:highlight w:val="none"/>
        </w:rPr>
        <w:t>6.4.1</w:t>
      </w:r>
      <w:r>
        <w:rPr>
          <w:rFonts w:hint="eastAsia" w:ascii="宋体" w:hAnsi="宋体" w:cs="宋体"/>
          <w:color w:val="000000"/>
          <w:szCs w:val="21"/>
          <w:highlight w:val="none"/>
        </w:rPr>
        <w:t>除为专用合同条款第</w:t>
      </w:r>
      <w:r>
        <w:rPr>
          <w:rFonts w:ascii="宋体" w:hAnsi="宋体" w:cs="宋体"/>
          <w:color w:val="000000"/>
          <w:szCs w:val="21"/>
          <w:highlight w:val="none"/>
        </w:rPr>
        <w:t>4.1.8</w:t>
      </w:r>
      <w:r>
        <w:rPr>
          <w:rFonts w:hint="eastAsia" w:ascii="宋体" w:hAnsi="宋体" w:cs="宋体"/>
          <w:color w:val="000000"/>
          <w:szCs w:val="21"/>
          <w:highlight w:val="none"/>
        </w:rPr>
        <w:t>项约定的其他独立承包人和监理人指示的他人提供条件外</w:t>
      </w:r>
      <w:r>
        <w:rPr>
          <w:rFonts w:ascii="宋体" w:cs="宋体"/>
          <w:color w:val="000000"/>
          <w:szCs w:val="21"/>
          <w:highlight w:val="none"/>
        </w:rPr>
        <w:t>,</w:t>
      </w:r>
      <w:r>
        <w:rPr>
          <w:rFonts w:hint="eastAsia" w:ascii="宋体" w:hAnsi="宋体" w:cs="宋体"/>
          <w:color w:val="000000"/>
          <w:szCs w:val="21"/>
          <w:highlight w:val="none"/>
        </w:rPr>
        <w:t>承包人运入施工场地的所有施工设备以及在施工场地建设的临时设施仅限于用于合同工程。</w:t>
      </w:r>
    </w:p>
    <w:p>
      <w:pPr>
        <w:pStyle w:val="89"/>
        <w:spacing w:before="0" w:line="360" w:lineRule="auto"/>
        <w:outlineLvl w:val="9"/>
        <w:rPr>
          <w:rFonts w:ascii="宋体" w:hAnsi="宋体" w:eastAsia="宋体"/>
          <w:color w:val="000000"/>
          <w:sz w:val="21"/>
          <w:szCs w:val="21"/>
          <w:highlight w:val="none"/>
        </w:rPr>
      </w:pPr>
      <w:bookmarkStart w:id="464" w:name="_Toc144974629"/>
      <w:bookmarkStart w:id="465" w:name="_Toc152042439"/>
      <w:bookmarkStart w:id="466" w:name="_Toc152045661"/>
      <w:bookmarkStart w:id="467" w:name="_Toc179632679"/>
      <w:bookmarkStart w:id="468" w:name="_Toc241459687"/>
      <w:bookmarkStart w:id="469" w:name="_Toc342296446"/>
      <w:bookmarkStart w:id="470" w:name="_Toc371939209"/>
      <w:bookmarkStart w:id="471" w:name="_Toc389141088"/>
      <w:bookmarkStart w:id="472" w:name="_Toc409517617"/>
      <w:bookmarkStart w:id="473" w:name="_Toc409517905"/>
      <w:bookmarkStart w:id="474" w:name="_Toc409518193"/>
      <w:bookmarkStart w:id="475" w:name="_Toc424289455"/>
      <w:bookmarkStart w:id="476" w:name="_Toc29727"/>
      <w:bookmarkStart w:id="477" w:name="_Toc1827"/>
      <w:r>
        <w:rPr>
          <w:rFonts w:ascii="宋体" w:hAnsi="宋体" w:eastAsia="宋体"/>
          <w:color w:val="000000"/>
          <w:sz w:val="21"/>
          <w:szCs w:val="21"/>
          <w:highlight w:val="none"/>
        </w:rPr>
        <w:t xml:space="preserve">7. </w:t>
      </w:r>
      <w:r>
        <w:rPr>
          <w:rFonts w:hint="eastAsia" w:ascii="宋体" w:hAnsi="宋体" w:eastAsia="宋体"/>
          <w:color w:val="000000"/>
          <w:sz w:val="21"/>
          <w:szCs w:val="21"/>
          <w:highlight w:val="none"/>
        </w:rPr>
        <w:t>交通运输</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126"/>
        <w:spacing w:line="360" w:lineRule="auto"/>
        <w:outlineLvl w:val="9"/>
        <w:rPr>
          <w:rFonts w:ascii="宋体" w:hAnsi="宋体" w:eastAsia="宋体"/>
          <w:color w:val="000000"/>
          <w:sz w:val="21"/>
          <w:szCs w:val="21"/>
          <w:highlight w:val="none"/>
        </w:rPr>
      </w:pPr>
      <w:bookmarkStart w:id="478" w:name="_Toc144974630"/>
      <w:bookmarkStart w:id="479" w:name="_Toc152042440"/>
      <w:bookmarkStart w:id="480" w:name="_Toc152045662"/>
      <w:bookmarkStart w:id="481" w:name="_Toc179632680"/>
      <w:bookmarkStart w:id="482" w:name="_Toc241459688"/>
      <w:bookmarkStart w:id="483" w:name="_Toc342296447"/>
      <w:bookmarkStart w:id="484" w:name="_Toc371939210"/>
      <w:bookmarkStart w:id="485" w:name="_Toc389141089"/>
      <w:bookmarkStart w:id="486" w:name="_Toc409517618"/>
      <w:bookmarkStart w:id="487" w:name="_Toc409517906"/>
      <w:bookmarkStart w:id="488" w:name="_Toc409518194"/>
      <w:bookmarkStart w:id="489" w:name="_Toc424289456"/>
      <w:bookmarkStart w:id="490" w:name="_Toc26679"/>
      <w:r>
        <w:rPr>
          <w:rFonts w:ascii="宋体" w:hAnsi="宋体" w:eastAsia="宋体"/>
          <w:color w:val="000000"/>
          <w:sz w:val="21"/>
          <w:szCs w:val="21"/>
          <w:highlight w:val="none"/>
        </w:rPr>
        <w:t xml:space="preserve">7.1 </w:t>
      </w:r>
      <w:r>
        <w:rPr>
          <w:rFonts w:hint="eastAsia" w:ascii="宋体" w:hAnsi="宋体" w:eastAsia="宋体"/>
          <w:color w:val="000000"/>
          <w:sz w:val="21"/>
          <w:szCs w:val="21"/>
          <w:highlight w:val="none"/>
        </w:rPr>
        <w:t>道路通行权和场外设施</w:t>
      </w:r>
      <w:bookmarkEnd w:id="478"/>
      <w:bookmarkEnd w:id="479"/>
      <w:bookmarkEnd w:id="480"/>
      <w:bookmarkEnd w:id="481"/>
      <w:bookmarkEnd w:id="482"/>
      <w:bookmarkEnd w:id="483"/>
      <w:bookmarkEnd w:id="484"/>
      <w:bookmarkEnd w:id="485"/>
      <w:bookmarkEnd w:id="486"/>
      <w:bookmarkEnd w:id="487"/>
      <w:bookmarkEnd w:id="488"/>
      <w:bookmarkEnd w:id="489"/>
      <w:bookmarkEnd w:id="490"/>
    </w:p>
    <w:p>
      <w:pPr>
        <w:spacing w:line="360" w:lineRule="auto"/>
        <w:ind w:firstLine="420" w:firstLineChars="200"/>
        <w:rPr>
          <w:rFonts w:ascii="宋体" w:cs="宋体"/>
          <w:color w:val="000000"/>
          <w:szCs w:val="21"/>
          <w:highlight w:val="none"/>
          <w:u w:val="single"/>
        </w:rPr>
      </w:pPr>
      <w:r>
        <w:rPr>
          <w:rFonts w:hint="eastAsia" w:ascii="宋体" w:hAnsi="宋体" w:cs="宋体"/>
          <w:color w:val="000000"/>
          <w:szCs w:val="21"/>
          <w:highlight w:val="none"/>
        </w:rPr>
        <w:t>取得道路通行权、场外设施修建权的办理人</w:t>
      </w:r>
      <w:r>
        <w:rPr>
          <w:rFonts w:ascii="宋体" w:hAnsi="宋体" w:cs="宋体"/>
          <w:color w:val="000000"/>
          <w:szCs w:val="21"/>
          <w:highlight w:val="none"/>
        </w:rPr>
        <w:t>:</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承包人</w:t>
      </w:r>
      <w:r>
        <w:rPr>
          <w:rFonts w:ascii="宋体" w:hAnsi="宋体" w:cs="宋体"/>
          <w:color w:val="000000"/>
          <w:szCs w:val="21"/>
          <w:highlight w:val="none"/>
          <w:u w:val="singl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，其相关费用由发包人承担。</w:t>
      </w:r>
      <w:r>
        <w:rPr>
          <w:rFonts w:ascii="宋体" w:hAnsi="宋体" w:cs="宋体"/>
          <w:color w:val="000000"/>
          <w:szCs w:val="21"/>
          <w:highlight w:val="none"/>
        </w:rPr>
        <w:t xml:space="preserve">                       </w:t>
      </w:r>
    </w:p>
    <w:p>
      <w:pPr>
        <w:pStyle w:val="126"/>
        <w:spacing w:line="360" w:lineRule="auto"/>
        <w:outlineLvl w:val="9"/>
        <w:rPr>
          <w:rFonts w:ascii="宋体" w:hAnsi="宋体" w:eastAsia="宋体"/>
          <w:color w:val="000000"/>
          <w:sz w:val="21"/>
          <w:szCs w:val="21"/>
          <w:highlight w:val="none"/>
        </w:rPr>
      </w:pPr>
      <w:bookmarkStart w:id="491" w:name="_Toc144974631"/>
      <w:bookmarkStart w:id="492" w:name="_Toc152042441"/>
      <w:bookmarkStart w:id="493" w:name="_Toc152045663"/>
      <w:bookmarkStart w:id="494" w:name="_Toc179632681"/>
      <w:bookmarkStart w:id="495" w:name="_Toc241459689"/>
      <w:bookmarkStart w:id="496" w:name="_Toc342296448"/>
      <w:bookmarkStart w:id="497" w:name="_Toc371939211"/>
      <w:bookmarkStart w:id="498" w:name="_Toc389141090"/>
      <w:bookmarkStart w:id="499" w:name="_Toc409517619"/>
      <w:bookmarkStart w:id="500" w:name="_Toc409517907"/>
      <w:bookmarkStart w:id="501" w:name="_Toc409518195"/>
      <w:bookmarkStart w:id="502" w:name="_Toc424289457"/>
      <w:bookmarkStart w:id="503" w:name="_Toc21348"/>
      <w:r>
        <w:rPr>
          <w:rFonts w:ascii="宋体" w:hAnsi="宋体" w:eastAsia="宋体"/>
          <w:color w:val="000000"/>
          <w:sz w:val="21"/>
          <w:szCs w:val="21"/>
          <w:highlight w:val="none"/>
        </w:rPr>
        <w:t xml:space="preserve">7.2 </w:t>
      </w:r>
      <w:r>
        <w:rPr>
          <w:rFonts w:hint="eastAsia" w:ascii="宋体" w:hAnsi="宋体" w:eastAsia="宋体"/>
          <w:color w:val="000000"/>
          <w:sz w:val="21"/>
          <w:szCs w:val="21"/>
          <w:highlight w:val="none"/>
        </w:rPr>
        <w:t>场内施工道路</w:t>
      </w:r>
      <w:bookmarkEnd w:id="491"/>
      <w:bookmarkEnd w:id="492"/>
      <w:bookmarkEnd w:id="493"/>
      <w:bookmarkEnd w:id="494"/>
      <w:bookmarkEnd w:id="495"/>
      <w:bookmarkEnd w:id="496"/>
      <w:bookmarkEnd w:id="497"/>
      <w:bookmarkEnd w:id="498"/>
      <w:bookmarkEnd w:id="499"/>
      <w:bookmarkEnd w:id="500"/>
      <w:bookmarkEnd w:id="501"/>
      <w:bookmarkEnd w:id="502"/>
      <w:bookmarkEnd w:id="503"/>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7.2.1</w:t>
      </w:r>
      <w:r>
        <w:rPr>
          <w:rFonts w:hint="eastAsia" w:ascii="宋体" w:hAnsi="宋体" w:cs="宋体"/>
          <w:color w:val="000000"/>
          <w:szCs w:val="21"/>
          <w:highlight w:val="none"/>
        </w:rPr>
        <w:t>施工所需的场内临时道路和交通设施的修建、维护、养护和管理人：</w:t>
      </w:r>
      <w:r>
        <w:rPr>
          <w:rFonts w:hint="eastAsia" w:ascii="宋体" w:hAnsi="宋体" w:cs="宋体"/>
          <w:color w:val="000000"/>
          <w:szCs w:val="21"/>
          <w:highlight w:val="none"/>
          <w:u w:val="single"/>
        </w:rPr>
        <w:t>由承包人承担</w:t>
      </w:r>
      <w:r>
        <w:rPr>
          <w:rFonts w:hint="eastAsia" w:ascii="宋体" w:hAnsi="宋体" w:cs="宋体"/>
          <w:color w:val="000000"/>
          <w:szCs w:val="21"/>
          <w:highlight w:val="none"/>
        </w:rPr>
        <w:t>，相关费用由</w:t>
      </w:r>
      <w:r>
        <w:rPr>
          <w:rFonts w:hint="eastAsia" w:ascii="宋体" w:hAnsi="宋体" w:cs="宋体"/>
          <w:color w:val="000000"/>
          <w:szCs w:val="21"/>
          <w:highlight w:val="none"/>
          <w:u w:val="single"/>
        </w:rPr>
        <w:t>由承包人</w:t>
      </w:r>
      <w:r>
        <w:rPr>
          <w:rFonts w:hint="eastAsia" w:ascii="宋体" w:hAnsi="宋体" w:cs="宋体"/>
          <w:color w:val="000000"/>
          <w:szCs w:val="21"/>
          <w:highlight w:val="none"/>
        </w:rPr>
        <w:t>承担。</w:t>
      </w:r>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rPr>
        <w:t>7.2.2</w:t>
      </w:r>
      <w:r>
        <w:rPr>
          <w:rFonts w:hint="eastAsia" w:ascii="宋体" w:hAnsi="宋体" w:cs="宋体"/>
          <w:color w:val="000000"/>
          <w:szCs w:val="21"/>
          <w:highlight w:val="none"/>
        </w:rPr>
        <w:t>发包人和监理人有权无偿使用承包人修建的临时道路和交通设施，不需要交纳任何费用。</w:t>
      </w:r>
    </w:p>
    <w:p>
      <w:pPr>
        <w:pStyle w:val="126"/>
        <w:spacing w:line="360" w:lineRule="auto"/>
        <w:outlineLvl w:val="9"/>
        <w:rPr>
          <w:rFonts w:ascii="宋体" w:hAnsi="宋体" w:eastAsia="宋体"/>
          <w:color w:val="000000"/>
          <w:sz w:val="21"/>
          <w:szCs w:val="21"/>
          <w:highlight w:val="none"/>
        </w:rPr>
      </w:pPr>
      <w:bookmarkStart w:id="504" w:name="_Toc144974633"/>
      <w:bookmarkStart w:id="505" w:name="_Toc152042443"/>
      <w:bookmarkStart w:id="506" w:name="_Toc152045665"/>
      <w:bookmarkStart w:id="507" w:name="_Toc179632683"/>
      <w:bookmarkStart w:id="508" w:name="_Toc241459690"/>
      <w:bookmarkStart w:id="509" w:name="_Toc342296449"/>
      <w:bookmarkStart w:id="510" w:name="_Toc371939212"/>
      <w:bookmarkStart w:id="511" w:name="_Toc389141091"/>
      <w:bookmarkStart w:id="512" w:name="_Toc409517620"/>
      <w:bookmarkStart w:id="513" w:name="_Toc409517908"/>
      <w:bookmarkStart w:id="514" w:name="_Toc409518196"/>
      <w:bookmarkStart w:id="515" w:name="_Toc424289458"/>
      <w:bookmarkStart w:id="516" w:name="_Toc15020"/>
      <w:r>
        <w:rPr>
          <w:rFonts w:ascii="宋体" w:hAnsi="宋体" w:eastAsia="宋体"/>
          <w:color w:val="000000"/>
          <w:sz w:val="21"/>
          <w:szCs w:val="21"/>
          <w:highlight w:val="none"/>
        </w:rPr>
        <w:t xml:space="preserve">7.4 </w:t>
      </w:r>
      <w:r>
        <w:rPr>
          <w:rFonts w:hint="eastAsia" w:ascii="宋体" w:hAnsi="宋体" w:eastAsia="宋体"/>
          <w:color w:val="000000"/>
          <w:sz w:val="21"/>
          <w:szCs w:val="21"/>
          <w:highlight w:val="none"/>
        </w:rPr>
        <w:t>超大件和超重件的运输</w:t>
      </w:r>
      <w:bookmarkEnd w:id="504"/>
      <w:bookmarkEnd w:id="505"/>
      <w:bookmarkEnd w:id="506"/>
      <w:bookmarkEnd w:id="507"/>
      <w:bookmarkEnd w:id="508"/>
      <w:bookmarkEnd w:id="509"/>
      <w:bookmarkEnd w:id="510"/>
      <w:bookmarkEnd w:id="511"/>
      <w:bookmarkEnd w:id="512"/>
      <w:bookmarkEnd w:id="513"/>
      <w:bookmarkEnd w:id="514"/>
      <w:bookmarkEnd w:id="515"/>
      <w:bookmarkEnd w:id="516"/>
    </w:p>
    <w:p>
      <w:pPr>
        <w:spacing w:line="360" w:lineRule="auto"/>
        <w:ind w:firstLine="420" w:firstLineChars="200"/>
        <w:rPr>
          <w:rFonts w:ascii="宋体" w:cs="宋体"/>
          <w:color w:val="000000"/>
          <w:szCs w:val="21"/>
          <w:highlight w:val="none"/>
        </w:rPr>
      </w:pPr>
      <w:bookmarkStart w:id="517" w:name="_Toc144974634"/>
      <w:bookmarkStart w:id="518" w:name="_Toc152042444"/>
      <w:bookmarkStart w:id="519" w:name="_Toc152045666"/>
      <w:bookmarkStart w:id="520" w:name="_Toc179632684"/>
      <w:r>
        <w:rPr>
          <w:rFonts w:hint="eastAsia" w:ascii="宋体" w:hAnsi="宋体" w:cs="宋体"/>
          <w:color w:val="000000"/>
          <w:szCs w:val="21"/>
          <w:highlight w:val="none"/>
        </w:rPr>
        <w:t>运输超大件或超重件所需的道路和桥梁临时加固改造等费用的承担人：</w:t>
      </w:r>
      <w:r>
        <w:rPr>
          <w:rFonts w:hint="eastAsia" w:ascii="宋体" w:hAnsi="宋体" w:cs="宋体"/>
          <w:color w:val="000000"/>
          <w:szCs w:val="21"/>
          <w:highlight w:val="none"/>
          <w:u w:val="single"/>
        </w:rPr>
        <w:t>由承包人</w:t>
      </w:r>
      <w:r>
        <w:rPr>
          <w:rFonts w:hint="eastAsia" w:ascii="宋体" w:hAnsi="宋体" w:cs="宋体"/>
          <w:color w:val="000000"/>
          <w:szCs w:val="21"/>
          <w:highlight w:val="none"/>
        </w:rPr>
        <w:t>。</w:t>
      </w:r>
    </w:p>
    <w:bookmarkEnd w:id="517"/>
    <w:bookmarkEnd w:id="518"/>
    <w:bookmarkEnd w:id="519"/>
    <w:bookmarkEnd w:id="520"/>
    <w:p>
      <w:pPr>
        <w:pStyle w:val="89"/>
        <w:spacing w:before="0" w:line="360" w:lineRule="auto"/>
        <w:outlineLvl w:val="9"/>
        <w:rPr>
          <w:rFonts w:ascii="宋体" w:hAnsi="宋体" w:eastAsia="宋体"/>
          <w:color w:val="000000"/>
          <w:sz w:val="21"/>
          <w:szCs w:val="21"/>
          <w:highlight w:val="none"/>
        </w:rPr>
      </w:pPr>
      <w:bookmarkStart w:id="521" w:name="_Toc144974636"/>
      <w:bookmarkStart w:id="522" w:name="_Toc152042446"/>
      <w:bookmarkStart w:id="523" w:name="_Toc152045668"/>
      <w:bookmarkStart w:id="524" w:name="_Toc179632686"/>
      <w:bookmarkStart w:id="525" w:name="_Toc241459691"/>
      <w:bookmarkStart w:id="526" w:name="_Toc342296450"/>
      <w:bookmarkStart w:id="527" w:name="_Toc371939213"/>
      <w:bookmarkStart w:id="528" w:name="_Toc389141092"/>
      <w:bookmarkStart w:id="529" w:name="_Toc409517621"/>
      <w:bookmarkStart w:id="530" w:name="_Toc409517909"/>
      <w:bookmarkStart w:id="531" w:name="_Toc409518197"/>
      <w:bookmarkStart w:id="532" w:name="_Toc424289459"/>
      <w:bookmarkStart w:id="533" w:name="_Toc19675"/>
      <w:bookmarkStart w:id="534" w:name="_Toc9046"/>
      <w:r>
        <w:rPr>
          <w:rFonts w:ascii="宋体" w:hAnsi="宋体" w:eastAsia="宋体"/>
          <w:color w:val="000000"/>
          <w:sz w:val="21"/>
          <w:szCs w:val="21"/>
          <w:highlight w:val="none"/>
        </w:rPr>
        <w:t xml:space="preserve">8. </w:t>
      </w:r>
      <w:r>
        <w:rPr>
          <w:rFonts w:hint="eastAsia" w:ascii="宋体" w:hAnsi="宋体" w:eastAsia="宋体"/>
          <w:color w:val="000000"/>
          <w:sz w:val="21"/>
          <w:szCs w:val="21"/>
          <w:highlight w:val="none"/>
        </w:rPr>
        <w:t>测量放线</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126"/>
        <w:spacing w:line="360" w:lineRule="auto"/>
        <w:outlineLvl w:val="9"/>
        <w:rPr>
          <w:rFonts w:ascii="宋体" w:hAnsi="宋体" w:eastAsia="宋体"/>
          <w:color w:val="000000"/>
          <w:sz w:val="21"/>
          <w:szCs w:val="21"/>
          <w:highlight w:val="none"/>
        </w:rPr>
      </w:pPr>
      <w:bookmarkStart w:id="535" w:name="_Toc144974637"/>
      <w:bookmarkStart w:id="536" w:name="_Toc152042447"/>
      <w:bookmarkStart w:id="537" w:name="_Toc152045669"/>
      <w:bookmarkStart w:id="538" w:name="_Toc179632687"/>
      <w:bookmarkStart w:id="539" w:name="_Toc241459692"/>
      <w:bookmarkStart w:id="540" w:name="_Toc342296451"/>
      <w:bookmarkStart w:id="541" w:name="_Toc371939214"/>
      <w:bookmarkStart w:id="542" w:name="_Toc389141093"/>
      <w:bookmarkStart w:id="543" w:name="_Toc409517622"/>
      <w:bookmarkStart w:id="544" w:name="_Toc409517910"/>
      <w:bookmarkStart w:id="545" w:name="_Toc409518198"/>
      <w:bookmarkStart w:id="546" w:name="_Toc424289460"/>
      <w:bookmarkStart w:id="547" w:name="_Toc14057"/>
      <w:r>
        <w:rPr>
          <w:rFonts w:ascii="宋体" w:hAnsi="宋体" w:eastAsia="宋体"/>
          <w:color w:val="000000"/>
          <w:sz w:val="21"/>
          <w:szCs w:val="21"/>
          <w:highlight w:val="none"/>
        </w:rPr>
        <w:t xml:space="preserve">8.1 </w:t>
      </w:r>
      <w:r>
        <w:rPr>
          <w:rFonts w:hint="eastAsia" w:ascii="宋体" w:hAnsi="宋体" w:eastAsia="宋体"/>
          <w:color w:val="000000"/>
          <w:sz w:val="21"/>
          <w:szCs w:val="21"/>
          <w:highlight w:val="none"/>
        </w:rPr>
        <w:t>施工控制网</w:t>
      </w:r>
      <w:bookmarkEnd w:id="535"/>
      <w:bookmarkEnd w:id="536"/>
      <w:bookmarkEnd w:id="537"/>
      <w:bookmarkEnd w:id="538"/>
      <w:bookmarkEnd w:id="539"/>
      <w:bookmarkEnd w:id="540"/>
      <w:bookmarkEnd w:id="541"/>
      <w:bookmarkEnd w:id="542"/>
      <w:bookmarkEnd w:id="543"/>
      <w:bookmarkEnd w:id="544"/>
      <w:bookmarkEnd w:id="545"/>
      <w:bookmarkEnd w:id="546"/>
      <w:bookmarkEnd w:id="547"/>
    </w:p>
    <w:p>
      <w:pPr>
        <w:spacing w:line="360" w:lineRule="auto"/>
        <w:ind w:firstLine="420" w:firstLineChars="200"/>
        <w:rPr>
          <w:rFonts w:ascii="宋体" w:cs="宋体"/>
          <w:color w:val="000000"/>
          <w:szCs w:val="21"/>
          <w:highlight w:val="none"/>
          <w:u w:val="single"/>
        </w:rPr>
      </w:pPr>
      <w:r>
        <w:rPr>
          <w:rFonts w:ascii="宋体" w:hAnsi="宋体" w:cs="宋体"/>
          <w:color w:val="000000"/>
          <w:szCs w:val="21"/>
          <w:highlight w:val="none"/>
        </w:rPr>
        <w:t>8.1.1</w:t>
      </w:r>
      <w:r>
        <w:rPr>
          <w:rFonts w:hint="eastAsia" w:ascii="宋体" w:hAnsi="宋体" w:cs="宋体"/>
          <w:color w:val="000000"/>
          <w:szCs w:val="21"/>
          <w:highlight w:val="none"/>
        </w:rPr>
        <w:t>发包人通过监理人提供测量基准点、基准线和水准点及其书面资料的期限：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在合同签订</w:t>
      </w:r>
      <w:r>
        <w:rPr>
          <w:rFonts w:ascii="宋体" w:hAnsi="宋体" w:cs="宋体"/>
          <w:color w:val="000000"/>
          <w:szCs w:val="21"/>
          <w:highlight w:val="none"/>
          <w:u w:val="single"/>
        </w:rPr>
        <w:t>7</w:t>
      </w:r>
      <w:r>
        <w:rPr>
          <w:rFonts w:hint="eastAsia" w:ascii="宋体" w:hAnsi="宋体" w:cs="宋体"/>
          <w:color w:val="000000"/>
          <w:szCs w:val="21"/>
          <w:highlight w:val="none"/>
          <w:u w:val="single"/>
        </w:rPr>
        <w:t>天内</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承包人测设施工控制网的要求：</w:t>
      </w:r>
      <w:r>
        <w:rPr>
          <w:rFonts w:hint="eastAsia" w:ascii="宋体" w:hAnsi="宋体" w:cs="宋体"/>
          <w:color w:val="000000"/>
          <w:szCs w:val="21"/>
          <w:highlight w:val="none"/>
          <w:u w:val="single"/>
        </w:rPr>
        <w:t>依据监理人提供的测量基准点、基准线和水准点以及国家的工程测量技术规范和合同要求的工程精度，测设施工控制网</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spacing w:line="360" w:lineRule="auto"/>
        <w:ind w:firstLine="420" w:firstLineChars="200"/>
        <w:rPr>
          <w:rFonts w:ascii="宋体" w:cs="宋体"/>
          <w:color w:val="000000"/>
          <w:szCs w:val="21"/>
          <w:highlight w:val="none"/>
          <w:u w:val="single"/>
        </w:rPr>
      </w:pPr>
      <w:r>
        <w:rPr>
          <w:rFonts w:hint="eastAsia" w:ascii="宋体" w:hAnsi="宋体" w:cs="宋体"/>
          <w:color w:val="000000"/>
          <w:szCs w:val="21"/>
          <w:highlight w:val="none"/>
        </w:rPr>
        <w:t>承包人将施工控制网资料报送监理人审批的期限：</w:t>
      </w:r>
      <w:r>
        <w:rPr>
          <w:rFonts w:hint="eastAsia" w:ascii="宋体" w:hAnsi="宋体" w:cs="宋体"/>
          <w:color w:val="000000"/>
          <w:szCs w:val="21"/>
          <w:highlight w:val="none"/>
          <w:u w:val="single"/>
        </w:rPr>
        <w:t>在收到监理人按照通用合同条款第</w:t>
      </w:r>
      <w:r>
        <w:rPr>
          <w:rFonts w:ascii="宋体" w:hAnsi="宋体" w:cs="宋体"/>
          <w:color w:val="000000"/>
          <w:szCs w:val="21"/>
          <w:highlight w:val="none"/>
          <w:u w:val="single"/>
        </w:rPr>
        <w:t>11.1.1</w:t>
      </w:r>
      <w:r>
        <w:rPr>
          <w:rFonts w:hint="eastAsia" w:ascii="宋体" w:hAnsi="宋体" w:cs="宋体"/>
          <w:color w:val="000000"/>
          <w:szCs w:val="21"/>
          <w:highlight w:val="none"/>
          <w:u w:val="single"/>
        </w:rPr>
        <w:t>项发出的开工通知后</w:t>
      </w:r>
      <w:r>
        <w:rPr>
          <w:rFonts w:ascii="宋体" w:hAnsi="宋体" w:cs="宋体"/>
          <w:color w:val="000000"/>
          <w:szCs w:val="21"/>
          <w:highlight w:val="none"/>
          <w:u w:val="single"/>
        </w:rPr>
        <w:t>7</w:t>
      </w:r>
      <w:r>
        <w:rPr>
          <w:rFonts w:hint="eastAsia" w:ascii="宋体" w:hAnsi="宋体" w:cs="宋体"/>
          <w:color w:val="000000"/>
          <w:szCs w:val="21"/>
          <w:highlight w:val="none"/>
          <w:u w:val="single"/>
        </w:rPr>
        <w:t>天内</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pStyle w:val="89"/>
        <w:spacing w:before="0" w:line="360" w:lineRule="auto"/>
        <w:outlineLvl w:val="9"/>
        <w:rPr>
          <w:rFonts w:ascii="宋体" w:hAnsi="宋体" w:eastAsia="宋体"/>
          <w:color w:val="000000"/>
          <w:sz w:val="21"/>
          <w:szCs w:val="21"/>
          <w:highlight w:val="none"/>
        </w:rPr>
      </w:pPr>
      <w:bookmarkStart w:id="548" w:name="_Toc144974641"/>
      <w:bookmarkStart w:id="549" w:name="_Toc152042451"/>
      <w:bookmarkStart w:id="550" w:name="_Toc152045673"/>
      <w:bookmarkStart w:id="551" w:name="_Toc179632691"/>
      <w:bookmarkStart w:id="552" w:name="_Toc241459693"/>
      <w:bookmarkStart w:id="553" w:name="_Toc342296452"/>
      <w:bookmarkStart w:id="554" w:name="_Toc371939215"/>
      <w:bookmarkStart w:id="555" w:name="_Toc389141094"/>
      <w:bookmarkStart w:id="556" w:name="_Toc409517623"/>
      <w:bookmarkStart w:id="557" w:name="_Toc409517911"/>
      <w:bookmarkStart w:id="558" w:name="_Toc409518199"/>
      <w:bookmarkStart w:id="559" w:name="_Toc424289461"/>
      <w:bookmarkStart w:id="560" w:name="_Toc27866"/>
      <w:bookmarkStart w:id="561" w:name="_Toc24727"/>
      <w:r>
        <w:rPr>
          <w:rFonts w:ascii="宋体" w:hAnsi="宋体" w:eastAsia="宋体"/>
          <w:color w:val="000000"/>
          <w:sz w:val="21"/>
          <w:szCs w:val="21"/>
          <w:highlight w:val="none"/>
        </w:rPr>
        <w:t xml:space="preserve">9. </w:t>
      </w:r>
      <w:r>
        <w:rPr>
          <w:rFonts w:hint="eastAsia" w:ascii="宋体" w:hAnsi="宋体" w:eastAsia="宋体"/>
          <w:color w:val="000000"/>
          <w:sz w:val="21"/>
          <w:szCs w:val="21"/>
          <w:highlight w:val="none"/>
        </w:rPr>
        <w:t>施工安全、治安保卫和环境保护</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126"/>
        <w:spacing w:line="360" w:lineRule="auto"/>
        <w:outlineLvl w:val="9"/>
        <w:rPr>
          <w:rFonts w:ascii="宋体" w:hAnsi="宋体" w:eastAsia="宋体"/>
          <w:color w:val="000000"/>
          <w:sz w:val="21"/>
          <w:szCs w:val="21"/>
          <w:highlight w:val="none"/>
        </w:rPr>
      </w:pPr>
      <w:bookmarkStart w:id="562" w:name="_Toc144974643"/>
      <w:bookmarkStart w:id="563" w:name="_Toc152042453"/>
      <w:bookmarkStart w:id="564" w:name="_Toc152045675"/>
      <w:bookmarkStart w:id="565" w:name="_Toc179632693"/>
      <w:bookmarkStart w:id="566" w:name="_Toc241459694"/>
      <w:bookmarkStart w:id="567" w:name="_Toc342296453"/>
      <w:bookmarkStart w:id="568" w:name="_Toc371939216"/>
      <w:bookmarkStart w:id="569" w:name="_Toc389141095"/>
      <w:bookmarkStart w:id="570" w:name="_Toc409517624"/>
      <w:bookmarkStart w:id="571" w:name="_Toc409517912"/>
      <w:bookmarkStart w:id="572" w:name="_Toc409518200"/>
      <w:bookmarkStart w:id="573" w:name="_Toc424289462"/>
      <w:bookmarkStart w:id="574" w:name="_Toc11499"/>
      <w:r>
        <w:rPr>
          <w:rFonts w:ascii="宋体" w:hAnsi="宋体" w:eastAsia="宋体"/>
          <w:color w:val="000000"/>
          <w:sz w:val="21"/>
          <w:szCs w:val="21"/>
          <w:highlight w:val="none"/>
        </w:rPr>
        <w:t xml:space="preserve">9.2 </w:t>
      </w:r>
      <w:r>
        <w:rPr>
          <w:rFonts w:hint="eastAsia" w:ascii="宋体" w:hAnsi="宋体" w:eastAsia="宋体"/>
          <w:color w:val="000000"/>
          <w:sz w:val="21"/>
          <w:szCs w:val="21"/>
          <w:highlight w:val="none"/>
        </w:rPr>
        <w:t>承包人的施工安全责任</w:t>
      </w:r>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32"/>
        <w:spacing w:after="0" w:line="360" w:lineRule="auto"/>
        <w:ind w:left="31680"/>
        <w:rPr>
          <w:rFonts w:ascii="宋体" w:cs="宋体"/>
          <w:color w:val="000000"/>
          <w:sz w:val="21"/>
          <w:szCs w:val="21"/>
          <w:highlight w:val="none"/>
        </w:rPr>
      </w:pPr>
      <w:r>
        <w:rPr>
          <w:rFonts w:ascii="宋体" w:hAnsi="宋体" w:cs="宋体"/>
          <w:color w:val="000000"/>
          <w:sz w:val="21"/>
          <w:szCs w:val="21"/>
          <w:highlight w:val="none"/>
        </w:rPr>
        <w:t>9.2.1</w:t>
      </w:r>
      <w:r>
        <w:rPr>
          <w:rFonts w:hint="eastAsia" w:ascii="宋体" w:hAnsi="宋体" w:cs="宋体"/>
          <w:color w:val="000000"/>
          <w:sz w:val="21"/>
          <w:szCs w:val="21"/>
          <w:highlight w:val="none"/>
        </w:rPr>
        <w:t>承包人向监理人报送施工安全措施计划的期限：</w:t>
      </w:r>
      <w:r>
        <w:rPr>
          <w:rFonts w:hint="eastAsia" w:ascii="宋体" w:hAnsi="宋体" w:cs="宋体"/>
          <w:color w:val="000000"/>
          <w:sz w:val="21"/>
          <w:szCs w:val="21"/>
          <w:highlight w:val="none"/>
          <w:u w:val="single"/>
        </w:rPr>
        <w:t>在收到监理人按照通用合同条款第</w:t>
      </w:r>
      <w:r>
        <w:rPr>
          <w:rFonts w:ascii="宋体" w:hAnsi="宋体" w:cs="宋体"/>
          <w:color w:val="000000"/>
          <w:sz w:val="21"/>
          <w:szCs w:val="21"/>
          <w:highlight w:val="none"/>
          <w:u w:val="single"/>
        </w:rPr>
        <w:t>11.1.1</w:t>
      </w:r>
      <w:r>
        <w:rPr>
          <w:rFonts w:hint="eastAsia" w:ascii="宋体" w:hAnsi="宋体" w:cs="宋体"/>
          <w:color w:val="000000"/>
          <w:sz w:val="21"/>
          <w:szCs w:val="21"/>
          <w:highlight w:val="none"/>
          <w:u w:val="single"/>
        </w:rPr>
        <w:t>项发出的开工通知后</w:t>
      </w:r>
      <w:r>
        <w:rPr>
          <w:rFonts w:ascii="宋体" w:hAnsi="宋体" w:cs="宋体"/>
          <w:color w:val="000000"/>
          <w:sz w:val="21"/>
          <w:szCs w:val="21"/>
          <w:highlight w:val="none"/>
          <w:u w:val="single"/>
        </w:rPr>
        <w:t>7</w:t>
      </w:r>
      <w:r>
        <w:rPr>
          <w:rFonts w:hint="eastAsia" w:ascii="宋体" w:hAnsi="宋体" w:cs="宋体"/>
          <w:color w:val="000000"/>
          <w:sz w:val="21"/>
          <w:szCs w:val="21"/>
          <w:highlight w:val="none"/>
          <w:u w:val="single"/>
        </w:rPr>
        <w:t>天内</w:t>
      </w:r>
      <w:r>
        <w:rPr>
          <w:rFonts w:hint="eastAsia" w:ascii="宋体" w:hAnsi="宋体" w:cs="宋体"/>
          <w:color w:val="000000"/>
          <w:sz w:val="21"/>
          <w:szCs w:val="21"/>
          <w:highlight w:val="none"/>
        </w:rPr>
        <w:t>。</w:t>
      </w:r>
    </w:p>
    <w:p>
      <w:pPr>
        <w:pStyle w:val="32"/>
        <w:spacing w:after="0" w:line="360" w:lineRule="auto"/>
        <w:ind w:left="31680"/>
        <w:rPr>
          <w:rFonts w:ascii="宋体" w:cs="宋体"/>
          <w:color w:val="000000"/>
          <w:sz w:val="21"/>
          <w:szCs w:val="21"/>
          <w:highlight w:val="none"/>
        </w:rPr>
      </w:pPr>
      <w:r>
        <w:rPr>
          <w:rFonts w:hint="eastAsia" w:ascii="宋体" w:hAnsi="宋体" w:cs="宋体"/>
          <w:color w:val="000000"/>
          <w:sz w:val="21"/>
          <w:szCs w:val="21"/>
          <w:highlight w:val="none"/>
        </w:rPr>
        <w:t>监理人收到承包人报送的施工安全措施计划后应当在</w:t>
      </w:r>
      <w:r>
        <w:rPr>
          <w:rFonts w:ascii="宋体" w:hAnsi="宋体" w:cs="宋体"/>
          <w:color w:val="000000"/>
          <w:sz w:val="21"/>
          <w:szCs w:val="21"/>
          <w:highlight w:val="none"/>
          <w:u w:val="single"/>
        </w:rPr>
        <w:t xml:space="preserve">7 </w:t>
      </w:r>
      <w:r>
        <w:rPr>
          <w:rFonts w:hint="eastAsia" w:ascii="宋体" w:hAnsi="宋体" w:cs="宋体"/>
          <w:color w:val="000000"/>
          <w:sz w:val="21"/>
          <w:szCs w:val="21"/>
          <w:highlight w:val="none"/>
        </w:rPr>
        <w:t>天内给予批复。</w:t>
      </w:r>
    </w:p>
    <w:p>
      <w:pPr>
        <w:pStyle w:val="126"/>
        <w:spacing w:line="360" w:lineRule="auto"/>
        <w:outlineLvl w:val="9"/>
        <w:rPr>
          <w:rFonts w:ascii="宋体" w:hAnsi="宋体" w:eastAsia="宋体"/>
          <w:color w:val="000000"/>
          <w:sz w:val="21"/>
          <w:szCs w:val="21"/>
          <w:highlight w:val="none"/>
        </w:rPr>
      </w:pPr>
      <w:bookmarkStart w:id="575" w:name="_Toc144974644"/>
      <w:bookmarkStart w:id="576" w:name="_Toc152042454"/>
      <w:bookmarkStart w:id="577" w:name="_Toc152045676"/>
      <w:bookmarkStart w:id="578" w:name="_Toc179632694"/>
      <w:bookmarkStart w:id="579" w:name="_Toc241459695"/>
      <w:bookmarkStart w:id="580" w:name="_Toc409518201"/>
      <w:bookmarkStart w:id="581" w:name="_Toc424289463"/>
      <w:bookmarkStart w:id="582" w:name="_Toc19584"/>
      <w:bookmarkStart w:id="583" w:name="_Toc371939217"/>
      <w:bookmarkStart w:id="584" w:name="_Toc342296454"/>
      <w:bookmarkStart w:id="585" w:name="_Toc389141096"/>
      <w:bookmarkStart w:id="586" w:name="_Toc409517625"/>
      <w:bookmarkStart w:id="587" w:name="_Toc409517913"/>
      <w:r>
        <w:rPr>
          <w:rFonts w:ascii="宋体" w:hAnsi="宋体" w:eastAsia="宋体"/>
          <w:color w:val="000000"/>
          <w:sz w:val="21"/>
          <w:szCs w:val="21"/>
          <w:highlight w:val="none"/>
        </w:rPr>
        <w:t xml:space="preserve">9.3 </w:t>
      </w:r>
      <w:r>
        <w:rPr>
          <w:rFonts w:hint="eastAsia" w:ascii="宋体" w:hAnsi="宋体" w:eastAsia="宋体"/>
          <w:color w:val="000000"/>
          <w:sz w:val="21"/>
          <w:szCs w:val="21"/>
          <w:highlight w:val="none"/>
        </w:rPr>
        <w:t>治安保卫</w:t>
      </w:r>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32"/>
        <w:spacing w:after="0" w:line="360" w:lineRule="auto"/>
        <w:ind w:left="0" w:leftChars="0" w:firstLine="420" w:firstLineChars="200"/>
        <w:rPr>
          <w:rFonts w:ascii="宋体" w:cs="宋体"/>
          <w:color w:val="000000"/>
          <w:sz w:val="21"/>
          <w:szCs w:val="21"/>
          <w:highlight w:val="none"/>
        </w:rPr>
      </w:pPr>
      <w:bookmarkStart w:id="588" w:name="_Toc144974645"/>
      <w:bookmarkStart w:id="589" w:name="_Toc152042455"/>
      <w:bookmarkStart w:id="590" w:name="_Toc152045677"/>
      <w:bookmarkStart w:id="591" w:name="_Toc179632695"/>
      <w:r>
        <w:rPr>
          <w:rFonts w:ascii="宋体" w:hAnsi="宋体" w:cs="宋体"/>
          <w:color w:val="000000"/>
          <w:sz w:val="21"/>
          <w:szCs w:val="21"/>
          <w:highlight w:val="none"/>
        </w:rPr>
        <w:t>9.3.1</w:t>
      </w:r>
      <w:r>
        <w:rPr>
          <w:rFonts w:hint="eastAsia" w:ascii="宋体" w:hAnsi="宋体" w:cs="宋体"/>
          <w:color w:val="000000"/>
          <w:sz w:val="21"/>
          <w:szCs w:val="21"/>
          <w:highlight w:val="none"/>
        </w:rPr>
        <w:t>承包人应当负责统一管理施工场地的治安保卫事项，履行合同工程的治安保卫职责。</w:t>
      </w:r>
    </w:p>
    <w:p>
      <w:pPr>
        <w:pStyle w:val="32"/>
        <w:spacing w:after="0" w:line="360" w:lineRule="auto"/>
        <w:ind w:left="31680"/>
        <w:rPr>
          <w:rFonts w:ascii="宋体" w:cs="宋体"/>
          <w:color w:val="000000"/>
          <w:sz w:val="21"/>
          <w:szCs w:val="21"/>
          <w:highlight w:val="none"/>
        </w:rPr>
      </w:pPr>
      <w:r>
        <w:rPr>
          <w:rFonts w:ascii="宋体" w:hAnsi="宋体" w:cs="宋体"/>
          <w:color w:val="000000"/>
          <w:sz w:val="21"/>
          <w:szCs w:val="21"/>
          <w:highlight w:val="none"/>
        </w:rPr>
        <w:t>9.3.3</w:t>
      </w:r>
      <w:r>
        <w:rPr>
          <w:rFonts w:hint="eastAsia" w:ascii="宋体" w:hAnsi="宋体" w:cs="宋体"/>
          <w:color w:val="000000"/>
          <w:sz w:val="21"/>
          <w:szCs w:val="21"/>
          <w:highlight w:val="none"/>
        </w:rPr>
        <w:t>施工场地治安管理计划和突发治安事件紧急预案的编制责任人：</w:t>
      </w:r>
      <w:r>
        <w:rPr>
          <w:rFonts w:hint="eastAsia" w:ascii="宋体" w:hAnsi="宋体" w:cs="宋体"/>
          <w:color w:val="000000"/>
          <w:sz w:val="21"/>
          <w:szCs w:val="21"/>
          <w:highlight w:val="none"/>
          <w:u w:val="single"/>
        </w:rPr>
        <w:t>承包人</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bookmarkEnd w:id="588"/>
    <w:bookmarkEnd w:id="589"/>
    <w:bookmarkEnd w:id="590"/>
    <w:bookmarkEnd w:id="591"/>
    <w:p>
      <w:pPr>
        <w:pStyle w:val="126"/>
        <w:spacing w:line="360" w:lineRule="auto"/>
        <w:outlineLvl w:val="9"/>
        <w:rPr>
          <w:rFonts w:ascii="宋体" w:hAnsi="宋体" w:eastAsia="宋体"/>
          <w:color w:val="000000"/>
          <w:sz w:val="21"/>
          <w:szCs w:val="21"/>
          <w:highlight w:val="none"/>
        </w:rPr>
      </w:pPr>
      <w:bookmarkStart w:id="592" w:name="_Toc241459696"/>
      <w:bookmarkStart w:id="593" w:name="_Toc342296455"/>
      <w:bookmarkStart w:id="594" w:name="_Toc371939218"/>
      <w:bookmarkStart w:id="595" w:name="_Toc389141097"/>
      <w:bookmarkStart w:id="596" w:name="_Toc409517626"/>
      <w:bookmarkStart w:id="597" w:name="_Toc409517914"/>
      <w:bookmarkStart w:id="598" w:name="_Toc409518202"/>
      <w:bookmarkStart w:id="599" w:name="_Toc424289464"/>
      <w:bookmarkStart w:id="600" w:name="_Toc32281"/>
      <w:bookmarkStart w:id="601" w:name="_Toc144974647"/>
      <w:bookmarkStart w:id="602" w:name="_Toc152042457"/>
      <w:bookmarkStart w:id="603" w:name="_Toc152045679"/>
      <w:bookmarkStart w:id="604" w:name="_Toc179632697"/>
      <w:r>
        <w:rPr>
          <w:rFonts w:ascii="宋体" w:hAnsi="宋体" w:eastAsia="宋体"/>
          <w:color w:val="000000"/>
          <w:sz w:val="21"/>
          <w:szCs w:val="21"/>
          <w:highlight w:val="none"/>
        </w:rPr>
        <w:t xml:space="preserve">9.4 </w:t>
      </w:r>
      <w:r>
        <w:rPr>
          <w:rFonts w:hint="eastAsia" w:ascii="宋体" w:hAnsi="宋体" w:eastAsia="宋体"/>
          <w:color w:val="000000"/>
          <w:sz w:val="21"/>
          <w:szCs w:val="21"/>
          <w:highlight w:val="none"/>
        </w:rPr>
        <w:t>环境保护</w:t>
      </w:r>
      <w:bookmarkEnd w:id="592"/>
      <w:bookmarkEnd w:id="593"/>
      <w:bookmarkEnd w:id="594"/>
      <w:bookmarkEnd w:id="595"/>
      <w:bookmarkEnd w:id="596"/>
      <w:bookmarkEnd w:id="597"/>
      <w:bookmarkEnd w:id="598"/>
      <w:bookmarkEnd w:id="599"/>
      <w:bookmarkEnd w:id="600"/>
    </w:p>
    <w:p>
      <w:pPr>
        <w:pStyle w:val="32"/>
        <w:spacing w:after="0" w:line="360" w:lineRule="auto"/>
        <w:ind w:left="31680"/>
        <w:rPr>
          <w:rFonts w:ascii="宋体" w:cs="宋体"/>
          <w:color w:val="000000"/>
          <w:sz w:val="21"/>
          <w:szCs w:val="21"/>
          <w:highlight w:val="none"/>
        </w:rPr>
      </w:pPr>
      <w:r>
        <w:rPr>
          <w:rFonts w:ascii="宋体" w:hAnsi="宋体" w:cs="宋体"/>
          <w:color w:val="000000"/>
          <w:sz w:val="21"/>
          <w:szCs w:val="21"/>
          <w:highlight w:val="none"/>
        </w:rPr>
        <w:t>9.4.2</w:t>
      </w:r>
      <w:r>
        <w:rPr>
          <w:rFonts w:hint="eastAsia" w:ascii="宋体" w:hAnsi="宋体" w:cs="宋体"/>
          <w:color w:val="000000"/>
          <w:sz w:val="21"/>
          <w:szCs w:val="21"/>
          <w:highlight w:val="none"/>
        </w:rPr>
        <w:t>施工环保措施计划报送监理人审批的时间：</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在收到监理人按照通用合同条款第</w:t>
      </w:r>
      <w:r>
        <w:rPr>
          <w:rFonts w:ascii="宋体" w:hAnsi="宋体" w:cs="宋体"/>
          <w:color w:val="000000"/>
          <w:sz w:val="21"/>
          <w:szCs w:val="21"/>
          <w:highlight w:val="none"/>
          <w:u w:val="single"/>
        </w:rPr>
        <w:t>11.1.1</w:t>
      </w:r>
      <w:r>
        <w:rPr>
          <w:rFonts w:hint="eastAsia" w:ascii="宋体" w:hAnsi="宋体" w:cs="宋体"/>
          <w:color w:val="000000"/>
          <w:sz w:val="21"/>
          <w:szCs w:val="21"/>
          <w:highlight w:val="none"/>
          <w:u w:val="single"/>
        </w:rPr>
        <w:t>项发出的开工通知后</w:t>
      </w:r>
      <w:r>
        <w:rPr>
          <w:rFonts w:ascii="宋体" w:hAnsi="宋体" w:cs="宋体"/>
          <w:color w:val="000000"/>
          <w:sz w:val="21"/>
          <w:szCs w:val="21"/>
          <w:highlight w:val="none"/>
          <w:u w:val="single"/>
        </w:rPr>
        <w:t>7</w:t>
      </w:r>
      <w:r>
        <w:rPr>
          <w:rFonts w:hint="eastAsia" w:ascii="宋体" w:hAnsi="宋体" w:cs="宋体"/>
          <w:color w:val="000000"/>
          <w:sz w:val="21"/>
          <w:szCs w:val="21"/>
          <w:highlight w:val="none"/>
          <w:u w:val="single"/>
        </w:rPr>
        <w:t>天内</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p>
      <w:pPr>
        <w:pStyle w:val="32"/>
        <w:spacing w:after="0" w:line="360" w:lineRule="auto"/>
        <w:ind w:left="31680"/>
        <w:rPr>
          <w:rFonts w:ascii="宋体" w:cs="宋体"/>
          <w:color w:val="000000"/>
          <w:sz w:val="21"/>
          <w:szCs w:val="21"/>
          <w:highlight w:val="none"/>
        </w:rPr>
      </w:pPr>
      <w:r>
        <w:rPr>
          <w:rFonts w:hint="eastAsia" w:ascii="宋体" w:hAnsi="宋体" w:cs="宋体"/>
          <w:color w:val="000000"/>
          <w:sz w:val="21"/>
          <w:szCs w:val="21"/>
          <w:highlight w:val="none"/>
        </w:rPr>
        <w:t>监理人收到承包人报送的施工环保措施计划后应当在</w:t>
      </w:r>
      <w:r>
        <w:rPr>
          <w:rFonts w:ascii="宋体" w:hAnsi="宋体" w:cs="宋体"/>
          <w:color w:val="000000"/>
          <w:sz w:val="21"/>
          <w:szCs w:val="21"/>
          <w:highlight w:val="none"/>
          <w:u w:val="single"/>
        </w:rPr>
        <w:t xml:space="preserve">  7   </w:t>
      </w:r>
      <w:r>
        <w:rPr>
          <w:rFonts w:hint="eastAsia" w:ascii="宋体" w:hAnsi="宋体" w:cs="宋体"/>
          <w:color w:val="000000"/>
          <w:sz w:val="21"/>
          <w:szCs w:val="21"/>
          <w:highlight w:val="none"/>
        </w:rPr>
        <w:t>天内给予批复。</w:t>
      </w:r>
    </w:p>
    <w:p>
      <w:pPr>
        <w:pStyle w:val="89"/>
        <w:spacing w:before="0" w:line="360" w:lineRule="auto"/>
        <w:outlineLvl w:val="9"/>
        <w:rPr>
          <w:rFonts w:ascii="宋体" w:hAnsi="宋体" w:eastAsia="宋体"/>
          <w:color w:val="000000"/>
          <w:sz w:val="21"/>
          <w:szCs w:val="21"/>
          <w:highlight w:val="none"/>
        </w:rPr>
      </w:pPr>
      <w:bookmarkStart w:id="605" w:name="_Toc241459697"/>
      <w:bookmarkStart w:id="606" w:name="_Toc342296456"/>
      <w:bookmarkStart w:id="607" w:name="_Toc371939219"/>
      <w:bookmarkStart w:id="608" w:name="_Toc389141098"/>
      <w:bookmarkStart w:id="609" w:name="_Toc409517627"/>
      <w:bookmarkStart w:id="610" w:name="_Toc409517915"/>
      <w:bookmarkStart w:id="611" w:name="_Toc409518203"/>
      <w:bookmarkStart w:id="612" w:name="_Toc424289465"/>
      <w:bookmarkStart w:id="613" w:name="_Toc26935"/>
      <w:bookmarkStart w:id="614" w:name="_Toc17979"/>
      <w:r>
        <w:rPr>
          <w:rFonts w:ascii="宋体" w:hAnsi="宋体" w:eastAsia="宋体"/>
          <w:color w:val="000000"/>
          <w:sz w:val="21"/>
          <w:szCs w:val="21"/>
          <w:highlight w:val="none"/>
        </w:rPr>
        <w:t xml:space="preserve">10. </w:t>
      </w:r>
      <w:r>
        <w:rPr>
          <w:rFonts w:hint="eastAsia" w:ascii="宋体" w:hAnsi="宋体" w:eastAsia="宋体"/>
          <w:color w:val="000000"/>
          <w:sz w:val="21"/>
          <w:szCs w:val="21"/>
          <w:highlight w:val="none"/>
        </w:rPr>
        <w:t>进度计划</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126"/>
        <w:spacing w:line="360" w:lineRule="auto"/>
        <w:outlineLvl w:val="9"/>
        <w:rPr>
          <w:rFonts w:ascii="宋体" w:hAnsi="宋体" w:eastAsia="宋体"/>
          <w:color w:val="000000"/>
          <w:sz w:val="21"/>
          <w:szCs w:val="21"/>
          <w:highlight w:val="none"/>
        </w:rPr>
      </w:pPr>
      <w:bookmarkStart w:id="615" w:name="_Toc144974648"/>
      <w:bookmarkStart w:id="616" w:name="_Toc152042458"/>
      <w:bookmarkStart w:id="617" w:name="_Toc152045680"/>
      <w:bookmarkStart w:id="618" w:name="_Toc179632698"/>
      <w:bookmarkStart w:id="619" w:name="_Toc241459698"/>
      <w:bookmarkStart w:id="620" w:name="_Toc342296457"/>
      <w:bookmarkStart w:id="621" w:name="_Toc371939220"/>
      <w:bookmarkStart w:id="622" w:name="_Toc389141099"/>
      <w:bookmarkStart w:id="623" w:name="_Toc409517628"/>
      <w:bookmarkStart w:id="624" w:name="_Toc409517916"/>
      <w:bookmarkStart w:id="625" w:name="_Toc409518204"/>
      <w:bookmarkStart w:id="626" w:name="_Toc424289466"/>
      <w:bookmarkStart w:id="627" w:name="_Toc21839"/>
      <w:r>
        <w:rPr>
          <w:rFonts w:ascii="宋体" w:hAnsi="宋体" w:eastAsia="宋体"/>
          <w:color w:val="000000"/>
          <w:sz w:val="21"/>
          <w:szCs w:val="21"/>
          <w:highlight w:val="none"/>
        </w:rPr>
        <w:t xml:space="preserve">10.1 </w:t>
      </w:r>
      <w:r>
        <w:rPr>
          <w:rFonts w:hint="eastAsia" w:ascii="宋体" w:hAnsi="宋体" w:eastAsia="宋体"/>
          <w:color w:val="000000"/>
          <w:sz w:val="21"/>
          <w:szCs w:val="21"/>
          <w:highlight w:val="none"/>
        </w:rPr>
        <w:t>合同进度计划</w:t>
      </w:r>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32"/>
        <w:spacing w:after="0" w:line="360" w:lineRule="auto"/>
        <w:ind w:left="0" w:leftChars="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1</w:t>
      </w:r>
      <w:r>
        <w:rPr>
          <w:rFonts w:hint="eastAsia" w:ascii="宋体" w:hAnsi="宋体" w:cs="宋体"/>
          <w:color w:val="000000"/>
          <w:sz w:val="21"/>
          <w:szCs w:val="21"/>
          <w:highlight w:val="none"/>
        </w:rPr>
        <w:t>）承包人应当在收到监理人按照通用合同条款第</w:t>
      </w:r>
      <w:r>
        <w:rPr>
          <w:rFonts w:ascii="宋体" w:hAnsi="宋体" w:cs="宋体"/>
          <w:color w:val="000000"/>
          <w:sz w:val="21"/>
          <w:szCs w:val="21"/>
          <w:highlight w:val="none"/>
        </w:rPr>
        <w:t>11.1.1</w:t>
      </w:r>
      <w:r>
        <w:rPr>
          <w:rFonts w:hint="eastAsia" w:ascii="宋体" w:hAnsi="宋体" w:cs="宋体"/>
          <w:color w:val="000000"/>
          <w:sz w:val="21"/>
          <w:szCs w:val="21"/>
          <w:highlight w:val="none"/>
        </w:rPr>
        <w:t>项发出的开工通知后</w:t>
      </w:r>
      <w:r>
        <w:rPr>
          <w:rFonts w:ascii="宋体" w:hAnsi="宋体" w:cs="宋体"/>
          <w:color w:val="000000"/>
          <w:sz w:val="21"/>
          <w:szCs w:val="21"/>
          <w:highlight w:val="none"/>
        </w:rPr>
        <w:t>7</w:t>
      </w:r>
      <w:r>
        <w:rPr>
          <w:rFonts w:hint="eastAsia" w:ascii="宋体" w:hAnsi="宋体" w:cs="宋体"/>
          <w:color w:val="000000"/>
          <w:sz w:val="21"/>
          <w:szCs w:val="21"/>
          <w:highlight w:val="none"/>
        </w:rPr>
        <w:t>天内，编制详细的施工进度计划和施工方案说明并报送监理人。承包人编制施工进度计划和施工方案说明的内容：</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应按投标承诺的总进度计划关键线路目标，以及施工顺序和方法，向监理人提交更准确更详细的施工进度计划和施工方案</w:t>
      </w:r>
      <w:r>
        <w:rPr>
          <w:rFonts w:ascii="宋体" w:hAnsi="宋体" w:cs="宋体"/>
          <w:color w:val="000000"/>
          <w:sz w:val="21"/>
          <w:szCs w:val="21"/>
          <w:highlight w:val="none"/>
          <w:u w:val="single"/>
        </w:rPr>
        <w:t xml:space="preserve">  </w:t>
      </w:r>
      <w:r>
        <w:rPr>
          <w:rFonts w:ascii="宋体" w:hAnsi="宋体" w:cs="宋体"/>
          <w:color w:val="000000"/>
          <w:sz w:val="21"/>
          <w:szCs w:val="21"/>
          <w:highlight w:val="none"/>
        </w:rPr>
        <w:t xml:space="preserve"> </w:t>
      </w:r>
      <w:r>
        <w:rPr>
          <w:rFonts w:hint="eastAsia" w:ascii="宋体" w:hAnsi="宋体" w:cs="宋体"/>
          <w:color w:val="000000"/>
          <w:sz w:val="21"/>
          <w:szCs w:val="21"/>
          <w:highlight w:val="none"/>
        </w:rPr>
        <w:t>，</w:t>
      </w:r>
      <w:r>
        <w:rPr>
          <w:rFonts w:ascii="宋体" w:hAnsi="宋体" w:cs="宋体"/>
          <w:color w:val="000000"/>
          <w:sz w:val="21"/>
          <w:szCs w:val="21"/>
          <w:highlight w:val="none"/>
        </w:rPr>
        <w:t xml:space="preserve"> </w:t>
      </w:r>
      <w:r>
        <w:rPr>
          <w:rFonts w:hint="eastAsia" w:ascii="宋体" w:hAnsi="宋体" w:cs="宋体"/>
          <w:color w:val="000000"/>
          <w:sz w:val="21"/>
          <w:szCs w:val="21"/>
          <w:highlight w:val="none"/>
        </w:rPr>
        <w:t>施工进度计划中还应载明要求发包人组织设计人进行阶段性工程设计交底的时间。</w:t>
      </w:r>
    </w:p>
    <w:p>
      <w:pPr>
        <w:pStyle w:val="32"/>
        <w:spacing w:after="0" w:line="360" w:lineRule="auto"/>
        <w:ind w:left="0" w:leftChars="0" w:firstLine="420" w:firstLineChars="20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2</w:t>
      </w:r>
      <w:r>
        <w:rPr>
          <w:rFonts w:hint="eastAsia" w:ascii="宋体" w:hAnsi="宋体" w:cs="宋体"/>
          <w:color w:val="000000"/>
          <w:sz w:val="21"/>
          <w:szCs w:val="21"/>
          <w:highlight w:val="none"/>
        </w:rPr>
        <w:t>）监理人批复或对施工进度计划和施工方案说明提出修改意见的期限：自监理人收到承包人报送的相关进度计划和施工方案说明后</w:t>
      </w:r>
      <w:r>
        <w:rPr>
          <w:rFonts w:ascii="宋体" w:hAnsi="宋体" w:cs="宋体"/>
          <w:color w:val="000000"/>
          <w:sz w:val="21"/>
          <w:szCs w:val="21"/>
          <w:highlight w:val="none"/>
        </w:rPr>
        <w:t>14</w:t>
      </w:r>
      <w:r>
        <w:rPr>
          <w:rFonts w:hint="eastAsia" w:ascii="宋体" w:hAnsi="宋体" w:cs="宋体"/>
          <w:color w:val="000000"/>
          <w:sz w:val="21"/>
          <w:szCs w:val="21"/>
          <w:highlight w:val="none"/>
        </w:rPr>
        <w:t>天内。</w:t>
      </w:r>
    </w:p>
    <w:p>
      <w:pPr>
        <w:pStyle w:val="32"/>
        <w:spacing w:after="0" w:line="360" w:lineRule="auto"/>
        <w:ind w:left="0" w:leftChars="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3</w:t>
      </w:r>
      <w:r>
        <w:rPr>
          <w:rFonts w:hint="eastAsia" w:ascii="宋体" w:hAnsi="宋体" w:cs="宋体"/>
          <w:color w:val="000000"/>
          <w:sz w:val="21"/>
          <w:szCs w:val="21"/>
          <w:highlight w:val="none"/>
        </w:rPr>
        <w:t>）承包人编制分阶段或分项施工进度计划和施工方案说明的内容：</w:t>
      </w:r>
      <w:r>
        <w:rPr>
          <w:rFonts w:hint="eastAsia" w:ascii="宋体" w:hAnsi="宋体" w:cs="宋体"/>
          <w:color w:val="000000"/>
          <w:sz w:val="21"/>
          <w:szCs w:val="21"/>
          <w:highlight w:val="none"/>
          <w:u w:val="single"/>
        </w:rPr>
        <w:t>应包含总进度计划关键线路上的分部分项工程</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p>
      <w:pPr>
        <w:pStyle w:val="32"/>
        <w:spacing w:after="0" w:line="360" w:lineRule="auto"/>
        <w:ind w:left="0" w:leftChars="0"/>
        <w:rPr>
          <w:rFonts w:ascii="宋体" w:cs="宋体"/>
          <w:color w:val="000000"/>
          <w:sz w:val="21"/>
          <w:szCs w:val="21"/>
          <w:highlight w:val="none"/>
        </w:rPr>
      </w:pPr>
      <w:r>
        <w:rPr>
          <w:rFonts w:hint="eastAsia" w:ascii="宋体" w:hAnsi="宋体" w:cs="宋体"/>
          <w:color w:val="000000"/>
          <w:sz w:val="21"/>
          <w:szCs w:val="21"/>
          <w:highlight w:val="none"/>
        </w:rPr>
        <w:t>承包人报送分阶段或分项施工进度计划和施工方案说明的期限：</w:t>
      </w:r>
      <w:r>
        <w:rPr>
          <w:rFonts w:hint="eastAsia" w:ascii="宋体" w:hAnsi="宋体" w:cs="宋体"/>
          <w:color w:val="000000"/>
          <w:sz w:val="21"/>
          <w:szCs w:val="21"/>
          <w:highlight w:val="none"/>
          <w:u w:val="single"/>
        </w:rPr>
        <w:t>分阶段或分项施工开始前</w:t>
      </w:r>
      <w:r>
        <w:rPr>
          <w:rFonts w:ascii="宋体" w:hAnsi="宋体" w:cs="宋体"/>
          <w:color w:val="000000"/>
          <w:sz w:val="21"/>
          <w:szCs w:val="21"/>
          <w:highlight w:val="none"/>
          <w:u w:val="single"/>
        </w:rPr>
        <w:t>7</w:t>
      </w:r>
      <w:r>
        <w:rPr>
          <w:rFonts w:hint="eastAsia" w:ascii="宋体" w:hAnsi="宋体" w:cs="宋体"/>
          <w:color w:val="000000"/>
          <w:sz w:val="21"/>
          <w:szCs w:val="21"/>
          <w:highlight w:val="none"/>
          <w:u w:val="single"/>
        </w:rPr>
        <w:t>天</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p>
      <w:pPr>
        <w:pStyle w:val="32"/>
        <w:spacing w:after="0" w:line="360" w:lineRule="auto"/>
        <w:ind w:left="0" w:leftChars="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4</w:t>
      </w:r>
      <w:r>
        <w:rPr>
          <w:rFonts w:hint="eastAsia" w:ascii="宋体" w:hAnsi="宋体" w:cs="宋体"/>
          <w:color w:val="000000"/>
          <w:sz w:val="21"/>
          <w:szCs w:val="21"/>
          <w:highlight w:val="none"/>
        </w:rPr>
        <w:t>）群体工程中单位工程分期进行施工的，承包人应按照发包人提供图纸及有关资料的时间，按单位工程编制进度计划和施工方案说明。群体工程中有关进度计划和施工方案说明的要求：</w:t>
      </w:r>
      <w:r>
        <w:rPr>
          <w:rFonts w:ascii="宋体" w:hAnsi="宋体" w:cs="宋体"/>
          <w:color w:val="000000"/>
          <w:sz w:val="21"/>
          <w:szCs w:val="21"/>
          <w:highlight w:val="none"/>
          <w:u w:val="single"/>
        </w:rPr>
        <w:t xml:space="preserve">         /                            </w:t>
      </w:r>
      <w:r>
        <w:rPr>
          <w:rFonts w:hint="eastAsia" w:ascii="宋体" w:hAnsi="宋体" w:cs="宋体"/>
          <w:color w:val="000000"/>
          <w:sz w:val="21"/>
          <w:szCs w:val="21"/>
          <w:highlight w:val="none"/>
        </w:rPr>
        <w:t>。</w:t>
      </w:r>
    </w:p>
    <w:p>
      <w:pPr>
        <w:pStyle w:val="126"/>
        <w:spacing w:line="360" w:lineRule="auto"/>
        <w:outlineLvl w:val="9"/>
        <w:rPr>
          <w:rFonts w:ascii="宋体" w:hAnsi="宋体" w:eastAsia="宋体"/>
          <w:color w:val="000000"/>
          <w:sz w:val="21"/>
          <w:szCs w:val="21"/>
          <w:highlight w:val="none"/>
        </w:rPr>
      </w:pPr>
      <w:bookmarkStart w:id="628" w:name="_Toc144974649"/>
      <w:bookmarkStart w:id="629" w:name="_Toc152042459"/>
      <w:bookmarkStart w:id="630" w:name="_Toc152045681"/>
      <w:bookmarkStart w:id="631" w:name="_Toc179632699"/>
      <w:bookmarkStart w:id="632" w:name="_Toc241459699"/>
      <w:bookmarkStart w:id="633" w:name="_Toc342296458"/>
      <w:bookmarkStart w:id="634" w:name="_Toc371939221"/>
      <w:bookmarkStart w:id="635" w:name="_Toc389141100"/>
      <w:bookmarkStart w:id="636" w:name="_Toc409517629"/>
      <w:bookmarkStart w:id="637" w:name="_Toc409517917"/>
      <w:bookmarkStart w:id="638" w:name="_Toc409518205"/>
      <w:bookmarkStart w:id="639" w:name="_Toc424289467"/>
      <w:bookmarkStart w:id="640" w:name="_Toc16671"/>
      <w:r>
        <w:rPr>
          <w:rFonts w:ascii="宋体" w:hAnsi="宋体" w:eastAsia="宋体"/>
          <w:color w:val="000000"/>
          <w:sz w:val="21"/>
          <w:szCs w:val="21"/>
          <w:highlight w:val="none"/>
        </w:rPr>
        <w:t xml:space="preserve">10.2 </w:t>
      </w:r>
      <w:r>
        <w:rPr>
          <w:rFonts w:hint="eastAsia" w:ascii="宋体" w:hAnsi="宋体" w:eastAsia="宋体"/>
          <w:color w:val="000000"/>
          <w:sz w:val="21"/>
          <w:szCs w:val="21"/>
          <w:highlight w:val="none"/>
        </w:rPr>
        <w:t>合同进度计划的修订</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32"/>
        <w:spacing w:after="0" w:line="360" w:lineRule="auto"/>
        <w:ind w:left="3168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1</w:t>
      </w:r>
      <w:r>
        <w:rPr>
          <w:rFonts w:hint="eastAsia" w:ascii="宋体" w:hAnsi="宋体" w:cs="宋体"/>
          <w:color w:val="000000"/>
          <w:sz w:val="21"/>
          <w:szCs w:val="21"/>
          <w:highlight w:val="none"/>
        </w:rPr>
        <w:t>）承包人报送修订合同进度计划申请报告和相关资料的期限：</w:t>
      </w:r>
      <w:r>
        <w:rPr>
          <w:rFonts w:hint="eastAsia" w:ascii="宋体" w:hAnsi="宋体" w:cs="宋体"/>
          <w:color w:val="000000"/>
          <w:sz w:val="21"/>
          <w:szCs w:val="21"/>
          <w:highlight w:val="none"/>
          <w:u w:val="single"/>
        </w:rPr>
        <w:t>在收到监理人按照通用合同条款第</w:t>
      </w:r>
      <w:r>
        <w:rPr>
          <w:rFonts w:ascii="宋体" w:hAnsi="宋体" w:cs="宋体"/>
          <w:color w:val="000000"/>
          <w:sz w:val="21"/>
          <w:szCs w:val="21"/>
          <w:highlight w:val="none"/>
          <w:u w:val="single"/>
        </w:rPr>
        <w:t>11.1.1</w:t>
      </w:r>
      <w:r>
        <w:rPr>
          <w:rFonts w:hint="eastAsia" w:ascii="宋体" w:hAnsi="宋体" w:cs="宋体"/>
          <w:color w:val="000000"/>
          <w:sz w:val="21"/>
          <w:szCs w:val="21"/>
          <w:highlight w:val="none"/>
          <w:u w:val="single"/>
        </w:rPr>
        <w:t>项发出的开工通知后</w:t>
      </w:r>
      <w:r>
        <w:rPr>
          <w:rFonts w:ascii="宋体" w:hAnsi="宋体" w:cs="宋体"/>
          <w:color w:val="000000"/>
          <w:sz w:val="21"/>
          <w:szCs w:val="21"/>
          <w:highlight w:val="none"/>
          <w:u w:val="single"/>
        </w:rPr>
        <w:t>7</w:t>
      </w:r>
      <w:r>
        <w:rPr>
          <w:rFonts w:hint="eastAsia" w:ascii="宋体" w:hAnsi="宋体" w:cs="宋体"/>
          <w:color w:val="000000"/>
          <w:sz w:val="21"/>
          <w:szCs w:val="21"/>
          <w:highlight w:val="none"/>
          <w:u w:val="single"/>
        </w:rPr>
        <w:t>天内</w:t>
      </w:r>
      <w:r>
        <w:rPr>
          <w:rFonts w:hint="eastAsia" w:ascii="宋体" w:hAnsi="宋体" w:cs="宋体"/>
          <w:color w:val="000000"/>
          <w:sz w:val="21"/>
          <w:szCs w:val="21"/>
          <w:highlight w:val="none"/>
        </w:rPr>
        <w:t>。</w:t>
      </w:r>
    </w:p>
    <w:p>
      <w:pPr>
        <w:pStyle w:val="32"/>
        <w:spacing w:after="0" w:line="360" w:lineRule="auto"/>
        <w:ind w:left="3168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2</w:t>
      </w:r>
      <w:r>
        <w:rPr>
          <w:rFonts w:hint="eastAsia" w:ascii="宋体" w:hAnsi="宋体" w:cs="宋体"/>
          <w:color w:val="000000"/>
          <w:sz w:val="21"/>
          <w:szCs w:val="21"/>
          <w:highlight w:val="none"/>
        </w:rPr>
        <w:t>）监理人批复修订合同进度计划申请报告的期限：</w:t>
      </w:r>
      <w:r>
        <w:rPr>
          <w:rFonts w:hint="eastAsia" w:ascii="宋体" w:hAnsi="宋体" w:cs="宋体"/>
          <w:color w:val="000000"/>
          <w:sz w:val="21"/>
          <w:szCs w:val="21"/>
          <w:highlight w:val="none"/>
          <w:u w:val="single"/>
        </w:rPr>
        <w:t>收到承包人报送的修订合同进度计划申请报告和相关资料后</w:t>
      </w:r>
      <w:r>
        <w:rPr>
          <w:rFonts w:ascii="宋体" w:hAnsi="宋体" w:cs="宋体"/>
          <w:color w:val="000000"/>
          <w:sz w:val="21"/>
          <w:szCs w:val="21"/>
          <w:highlight w:val="none"/>
          <w:u w:val="single"/>
        </w:rPr>
        <w:t>3</w:t>
      </w:r>
      <w:r>
        <w:rPr>
          <w:rFonts w:hint="eastAsia" w:ascii="宋体" w:hAnsi="宋体" w:cs="宋体"/>
          <w:color w:val="000000"/>
          <w:sz w:val="21"/>
          <w:szCs w:val="21"/>
          <w:highlight w:val="none"/>
          <w:u w:val="single"/>
        </w:rPr>
        <w:t>天内</w:t>
      </w:r>
      <w:r>
        <w:rPr>
          <w:rFonts w:hint="eastAsia" w:ascii="宋体" w:hAnsi="宋体" w:cs="宋体"/>
          <w:color w:val="000000"/>
          <w:sz w:val="21"/>
          <w:szCs w:val="21"/>
          <w:highlight w:val="none"/>
        </w:rPr>
        <w:t>。</w:t>
      </w:r>
    </w:p>
    <w:p>
      <w:pPr>
        <w:pStyle w:val="32"/>
        <w:spacing w:after="0" w:line="360" w:lineRule="auto"/>
        <w:ind w:left="31680"/>
        <w:rPr>
          <w:rFonts w:ascii="宋体" w:cs="宋体"/>
          <w:color w:val="000000"/>
          <w:sz w:val="21"/>
          <w:szCs w:val="21"/>
          <w:highlight w:val="none"/>
          <w:u w:val="single"/>
        </w:rPr>
      </w:pPr>
      <w:r>
        <w:rPr>
          <w:rFonts w:hint="eastAsia" w:ascii="宋体" w:hAnsi="宋体" w:cs="宋体"/>
          <w:color w:val="000000"/>
          <w:sz w:val="21"/>
          <w:szCs w:val="21"/>
          <w:highlight w:val="none"/>
        </w:rPr>
        <w:t>（</w:t>
      </w:r>
      <w:r>
        <w:rPr>
          <w:rFonts w:ascii="宋体" w:hAnsi="宋体" w:cs="宋体"/>
          <w:color w:val="000000"/>
          <w:sz w:val="21"/>
          <w:szCs w:val="21"/>
          <w:highlight w:val="none"/>
        </w:rPr>
        <w:t>3</w:t>
      </w:r>
      <w:r>
        <w:rPr>
          <w:rFonts w:hint="eastAsia" w:ascii="宋体" w:hAnsi="宋体" w:cs="宋体"/>
          <w:color w:val="000000"/>
          <w:sz w:val="21"/>
          <w:szCs w:val="21"/>
          <w:highlight w:val="none"/>
        </w:rPr>
        <w:t>）监理人批复修订合同进度计划的期限：</w:t>
      </w:r>
      <w:r>
        <w:rPr>
          <w:rFonts w:hint="eastAsia" w:ascii="宋体" w:hAnsi="宋体" w:cs="宋体"/>
          <w:color w:val="000000"/>
          <w:sz w:val="21"/>
          <w:szCs w:val="21"/>
          <w:highlight w:val="none"/>
          <w:u w:val="single"/>
        </w:rPr>
        <w:t>收到承包人报送的修订合同进度计划后</w:t>
      </w:r>
      <w:r>
        <w:rPr>
          <w:rFonts w:ascii="宋体" w:hAnsi="宋体" w:cs="宋体"/>
          <w:color w:val="000000"/>
          <w:sz w:val="21"/>
          <w:szCs w:val="21"/>
          <w:highlight w:val="none"/>
          <w:u w:val="single"/>
        </w:rPr>
        <w:t>3</w:t>
      </w:r>
      <w:r>
        <w:rPr>
          <w:rFonts w:hint="eastAsia" w:ascii="宋体" w:hAnsi="宋体" w:cs="宋体"/>
          <w:color w:val="000000"/>
          <w:sz w:val="21"/>
          <w:szCs w:val="21"/>
          <w:highlight w:val="none"/>
          <w:u w:val="single"/>
        </w:rPr>
        <w:t>天内</w:t>
      </w:r>
      <w:r>
        <w:rPr>
          <w:rFonts w:hint="eastAsia" w:ascii="宋体" w:hAnsi="宋体" w:cs="宋体"/>
          <w:color w:val="000000"/>
          <w:sz w:val="21"/>
          <w:szCs w:val="21"/>
          <w:highlight w:val="none"/>
        </w:rPr>
        <w:t>。</w:t>
      </w:r>
    </w:p>
    <w:p>
      <w:pPr>
        <w:pStyle w:val="89"/>
        <w:spacing w:before="0" w:line="360" w:lineRule="auto"/>
        <w:outlineLvl w:val="9"/>
        <w:rPr>
          <w:rFonts w:ascii="宋体" w:hAnsi="宋体" w:eastAsia="宋体"/>
          <w:color w:val="000000"/>
          <w:sz w:val="21"/>
          <w:szCs w:val="21"/>
          <w:highlight w:val="none"/>
        </w:rPr>
      </w:pPr>
      <w:bookmarkStart w:id="641" w:name="_Toc144974650"/>
      <w:bookmarkStart w:id="642" w:name="_Toc152042460"/>
      <w:bookmarkStart w:id="643" w:name="_Toc152045682"/>
      <w:bookmarkStart w:id="644" w:name="_Toc179632700"/>
      <w:bookmarkStart w:id="645" w:name="_Toc241459700"/>
      <w:bookmarkStart w:id="646" w:name="_Toc342296459"/>
      <w:bookmarkStart w:id="647" w:name="_Toc371939222"/>
      <w:bookmarkStart w:id="648" w:name="_Toc389141101"/>
      <w:bookmarkStart w:id="649" w:name="_Toc409517630"/>
      <w:bookmarkStart w:id="650" w:name="_Toc409517918"/>
      <w:bookmarkStart w:id="651" w:name="_Toc409518206"/>
      <w:bookmarkStart w:id="652" w:name="_Toc424289468"/>
      <w:bookmarkStart w:id="653" w:name="_Toc1053"/>
      <w:bookmarkStart w:id="654" w:name="_Toc1094"/>
      <w:r>
        <w:rPr>
          <w:rFonts w:ascii="宋体" w:hAnsi="宋体" w:eastAsia="宋体"/>
          <w:color w:val="000000"/>
          <w:sz w:val="21"/>
          <w:szCs w:val="21"/>
          <w:highlight w:val="none"/>
        </w:rPr>
        <w:t xml:space="preserve">11. </w:t>
      </w:r>
      <w:r>
        <w:rPr>
          <w:rFonts w:hint="eastAsia" w:ascii="宋体" w:hAnsi="宋体" w:eastAsia="宋体"/>
          <w:color w:val="000000"/>
          <w:sz w:val="21"/>
          <w:szCs w:val="21"/>
          <w:highlight w:val="none"/>
        </w:rPr>
        <w:t>开工和竣工</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126"/>
        <w:spacing w:line="360" w:lineRule="auto"/>
        <w:outlineLvl w:val="9"/>
        <w:rPr>
          <w:rFonts w:ascii="宋体" w:hAnsi="宋体" w:eastAsia="宋体"/>
          <w:color w:val="000000"/>
          <w:sz w:val="21"/>
          <w:szCs w:val="21"/>
          <w:highlight w:val="none"/>
        </w:rPr>
      </w:pPr>
      <w:bookmarkStart w:id="655" w:name="_Toc144974653"/>
      <w:bookmarkStart w:id="656" w:name="_Toc152042463"/>
      <w:bookmarkStart w:id="657" w:name="_Toc152045685"/>
      <w:bookmarkStart w:id="658" w:name="_Toc179632703"/>
      <w:bookmarkStart w:id="659" w:name="_Toc241459701"/>
      <w:bookmarkStart w:id="660" w:name="_Toc342296460"/>
      <w:bookmarkStart w:id="661" w:name="_Toc371939223"/>
      <w:bookmarkStart w:id="662" w:name="_Toc389141102"/>
      <w:bookmarkStart w:id="663" w:name="_Toc409517631"/>
      <w:bookmarkStart w:id="664" w:name="_Toc409517919"/>
      <w:bookmarkStart w:id="665" w:name="_Toc409518207"/>
      <w:bookmarkStart w:id="666" w:name="_Toc424289469"/>
      <w:bookmarkStart w:id="667" w:name="_Toc9159"/>
      <w:r>
        <w:rPr>
          <w:rFonts w:ascii="宋体" w:hAnsi="宋体" w:eastAsia="宋体"/>
          <w:color w:val="000000"/>
          <w:sz w:val="21"/>
          <w:szCs w:val="21"/>
          <w:highlight w:val="none"/>
        </w:rPr>
        <w:t xml:space="preserve">11.3 </w:t>
      </w:r>
      <w:r>
        <w:rPr>
          <w:rFonts w:hint="eastAsia" w:ascii="宋体" w:hAnsi="宋体" w:eastAsia="宋体"/>
          <w:color w:val="000000"/>
          <w:sz w:val="21"/>
          <w:szCs w:val="21"/>
          <w:highlight w:val="none"/>
        </w:rPr>
        <w:t>发包人的工期延误</w:t>
      </w:r>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32"/>
        <w:spacing w:after="0" w:line="360" w:lineRule="auto"/>
        <w:ind w:left="0" w:leftChars="0"/>
        <w:rPr>
          <w:rFonts w:ascii="宋体" w:cs="宋体"/>
          <w:color w:val="000000"/>
          <w:sz w:val="21"/>
          <w:szCs w:val="21"/>
          <w:highlight w:val="none"/>
        </w:rPr>
      </w:pPr>
      <w:r>
        <w:rPr>
          <w:rFonts w:ascii="宋体" w:hAnsi="宋体" w:cs="宋体"/>
          <w:color w:val="000000"/>
          <w:sz w:val="21"/>
          <w:szCs w:val="21"/>
          <w:highlight w:val="none"/>
        </w:rPr>
        <w:t xml:space="preserve">(7) </w:t>
      </w:r>
      <w:r>
        <w:rPr>
          <w:rFonts w:hint="eastAsia" w:ascii="宋体" w:hAnsi="宋体" w:cs="宋体"/>
          <w:color w:val="000000"/>
          <w:sz w:val="21"/>
          <w:szCs w:val="21"/>
          <w:highlight w:val="none"/>
        </w:rPr>
        <w:t>因发包人原因不能按照监理人发出的开工通知中载明的开工日期开工。除发包人原因延期开工外，发包人造成工期延误的其他原因还包括：</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w:t>
      </w:r>
      <w:r>
        <w:rPr>
          <w:rFonts w:ascii="宋体" w:hAnsi="宋体" w:cs="宋体"/>
          <w:color w:val="000000"/>
          <w:sz w:val="21"/>
          <w:szCs w:val="21"/>
          <w:highlight w:val="none"/>
          <w:u w:val="single"/>
        </w:rPr>
        <w:t>1</w:t>
      </w:r>
      <w:r>
        <w:rPr>
          <w:rFonts w:hint="eastAsia" w:ascii="宋体" w:hAnsi="宋体" w:cs="宋体"/>
          <w:color w:val="000000"/>
          <w:sz w:val="21"/>
          <w:szCs w:val="21"/>
          <w:highlight w:val="none"/>
          <w:u w:val="single"/>
        </w:rPr>
        <w:t>）发包人因拆迁延期而导致无法施工</w:t>
      </w:r>
      <w:r>
        <w:rPr>
          <w:rFonts w:ascii="宋体" w:hAnsi="宋体" w:cs="宋体"/>
          <w:color w:val="000000"/>
          <w:sz w:val="21"/>
          <w:szCs w:val="21"/>
          <w:highlight w:val="none"/>
          <w:u w:val="single"/>
        </w:rPr>
        <w:t>;(2)</w:t>
      </w:r>
      <w:r>
        <w:rPr>
          <w:rFonts w:hint="eastAsia" w:ascii="宋体" w:hAnsi="宋体" w:cs="宋体"/>
          <w:color w:val="000000"/>
          <w:sz w:val="21"/>
          <w:szCs w:val="21"/>
          <w:highlight w:val="none"/>
          <w:u w:val="single"/>
        </w:rPr>
        <w:t>因发包人原因造成的设计变更引起的工程量增加或额外增加的工作量（以发包人的书面文件为准）；（</w:t>
      </w:r>
      <w:r>
        <w:rPr>
          <w:rFonts w:ascii="宋体" w:hAnsi="宋体" w:cs="宋体"/>
          <w:color w:val="000000"/>
          <w:sz w:val="21"/>
          <w:szCs w:val="21"/>
          <w:highlight w:val="none"/>
          <w:u w:val="single"/>
        </w:rPr>
        <w:t>3</w:t>
      </w:r>
      <w:r>
        <w:rPr>
          <w:rFonts w:hint="eastAsia" w:ascii="宋体" w:hAnsi="宋体" w:cs="宋体"/>
          <w:color w:val="000000"/>
          <w:sz w:val="21"/>
          <w:szCs w:val="21"/>
          <w:highlight w:val="none"/>
          <w:u w:val="single"/>
        </w:rPr>
        <w:t>）发包人和承包人双方共通认为必须延长工期的（以书面文件为准）</w:t>
      </w:r>
      <w:r>
        <w:rPr>
          <w:rFonts w:hint="eastAsia" w:ascii="宋体" w:hAnsi="宋体" w:cs="宋体"/>
          <w:color w:val="000000"/>
          <w:sz w:val="21"/>
          <w:szCs w:val="21"/>
          <w:highlight w:val="none"/>
        </w:rPr>
        <w:t>等延误承包人关键线路工作的情况。</w:t>
      </w:r>
    </w:p>
    <w:p>
      <w:pPr>
        <w:pStyle w:val="126"/>
        <w:spacing w:line="360" w:lineRule="auto"/>
        <w:outlineLvl w:val="9"/>
        <w:rPr>
          <w:rFonts w:ascii="宋体" w:hAnsi="宋体" w:eastAsia="宋体"/>
          <w:color w:val="000000"/>
          <w:sz w:val="21"/>
          <w:szCs w:val="21"/>
          <w:highlight w:val="none"/>
        </w:rPr>
      </w:pPr>
      <w:bookmarkStart w:id="668" w:name="_Toc144974654"/>
      <w:bookmarkStart w:id="669" w:name="_Toc152042464"/>
      <w:bookmarkStart w:id="670" w:name="_Toc152045686"/>
      <w:bookmarkStart w:id="671" w:name="_Toc179632704"/>
      <w:bookmarkStart w:id="672" w:name="_Toc241459702"/>
      <w:bookmarkStart w:id="673" w:name="_Toc342296461"/>
      <w:bookmarkStart w:id="674" w:name="_Toc371939224"/>
      <w:bookmarkStart w:id="675" w:name="_Toc389141103"/>
      <w:bookmarkStart w:id="676" w:name="_Toc409517632"/>
      <w:bookmarkStart w:id="677" w:name="_Toc409517920"/>
      <w:bookmarkStart w:id="678" w:name="_Toc409518208"/>
      <w:bookmarkStart w:id="679" w:name="_Toc424289470"/>
      <w:bookmarkStart w:id="680" w:name="_Toc22281"/>
      <w:r>
        <w:rPr>
          <w:rFonts w:ascii="宋体" w:hAnsi="宋体" w:eastAsia="宋体"/>
          <w:color w:val="000000"/>
          <w:sz w:val="21"/>
          <w:szCs w:val="21"/>
          <w:highlight w:val="none"/>
        </w:rPr>
        <w:t xml:space="preserve">11.4 </w:t>
      </w:r>
      <w:r>
        <w:rPr>
          <w:rFonts w:hint="eastAsia" w:ascii="宋体" w:hAnsi="宋体" w:eastAsia="宋体"/>
          <w:color w:val="000000"/>
          <w:sz w:val="21"/>
          <w:szCs w:val="21"/>
          <w:highlight w:val="none"/>
        </w:rPr>
        <w:t>异常恶劣的气候条件</w:t>
      </w:r>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32"/>
        <w:spacing w:after="0" w:line="360" w:lineRule="auto"/>
        <w:ind w:left="0" w:leftChars="0"/>
        <w:rPr>
          <w:rFonts w:ascii="宋体" w:cs="宋体"/>
          <w:color w:val="000000"/>
          <w:sz w:val="21"/>
          <w:szCs w:val="21"/>
          <w:highlight w:val="none"/>
        </w:rPr>
      </w:pPr>
      <w:bookmarkStart w:id="681" w:name="_Toc144974655"/>
      <w:bookmarkStart w:id="682" w:name="_Toc152042465"/>
      <w:bookmarkStart w:id="683" w:name="_Toc152045687"/>
      <w:bookmarkStart w:id="684" w:name="_Toc179632705"/>
      <w:r>
        <w:rPr>
          <w:rFonts w:hint="eastAsia" w:ascii="宋体" w:hAnsi="宋体" w:cs="宋体"/>
          <w:color w:val="000000"/>
          <w:sz w:val="21"/>
          <w:szCs w:val="21"/>
          <w:highlight w:val="none"/>
        </w:rPr>
        <w:t>异常恶劣的气候条件的范围和标准：</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由市级以上人民政府颁布的条件为准</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p>
      <w:pPr>
        <w:pStyle w:val="126"/>
        <w:spacing w:line="360" w:lineRule="auto"/>
        <w:outlineLvl w:val="9"/>
        <w:rPr>
          <w:rFonts w:ascii="宋体" w:hAnsi="宋体" w:eastAsia="宋体"/>
          <w:color w:val="000000"/>
          <w:sz w:val="21"/>
          <w:szCs w:val="21"/>
          <w:highlight w:val="none"/>
        </w:rPr>
      </w:pPr>
      <w:bookmarkStart w:id="685" w:name="_Toc241459703"/>
      <w:bookmarkStart w:id="686" w:name="_Toc342296462"/>
      <w:bookmarkStart w:id="687" w:name="_Toc371939225"/>
      <w:bookmarkStart w:id="688" w:name="_Toc389141104"/>
      <w:bookmarkStart w:id="689" w:name="_Toc409517633"/>
      <w:bookmarkStart w:id="690" w:name="_Toc409517921"/>
      <w:bookmarkStart w:id="691" w:name="_Toc409518209"/>
      <w:bookmarkStart w:id="692" w:name="_Toc424289471"/>
      <w:bookmarkStart w:id="693" w:name="_Toc25074"/>
      <w:r>
        <w:rPr>
          <w:rFonts w:ascii="宋体" w:hAnsi="宋体" w:eastAsia="宋体"/>
          <w:color w:val="000000"/>
          <w:sz w:val="21"/>
          <w:szCs w:val="21"/>
          <w:highlight w:val="none"/>
        </w:rPr>
        <w:t xml:space="preserve">11.5 </w:t>
      </w:r>
      <w:r>
        <w:rPr>
          <w:rFonts w:hint="eastAsia" w:ascii="宋体" w:hAnsi="宋体" w:eastAsia="宋体"/>
          <w:color w:val="000000"/>
          <w:sz w:val="21"/>
          <w:szCs w:val="21"/>
          <w:highlight w:val="none"/>
        </w:rPr>
        <w:t>承包人的工期延误</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32"/>
        <w:spacing w:after="0" w:line="360" w:lineRule="auto"/>
        <w:ind w:left="0" w:leftChars="0" w:firstLine="420" w:firstLineChars="200"/>
        <w:rPr>
          <w:rFonts w:ascii="宋体" w:cs="宋体"/>
          <w:color w:val="000000"/>
          <w:sz w:val="21"/>
          <w:szCs w:val="21"/>
          <w:highlight w:val="none"/>
        </w:rPr>
      </w:pPr>
      <w:bookmarkStart w:id="694" w:name="_Toc144974656"/>
      <w:bookmarkStart w:id="695" w:name="_Toc152042466"/>
      <w:bookmarkStart w:id="696" w:name="_Toc152045688"/>
      <w:bookmarkStart w:id="697" w:name="_Toc179632706"/>
      <w:r>
        <w:rPr>
          <w:rFonts w:hint="eastAsia" w:ascii="宋体" w:hAnsi="宋体" w:cs="宋体"/>
          <w:color w:val="000000"/>
          <w:sz w:val="21"/>
          <w:szCs w:val="21"/>
          <w:highlight w:val="none"/>
        </w:rPr>
        <w:t>由于承包人原因造成不能按期竣工的，在按合同约定确定的竣工日期（包括按合同延长的工期）后</w:t>
      </w:r>
      <w:r>
        <w:rPr>
          <w:rFonts w:ascii="宋体" w:hAnsi="宋体" w:cs="宋体"/>
          <w:color w:val="000000"/>
          <w:sz w:val="21"/>
          <w:szCs w:val="21"/>
          <w:highlight w:val="none"/>
        </w:rPr>
        <w:t>7</w:t>
      </w:r>
      <w:r>
        <w:rPr>
          <w:rFonts w:hint="eastAsia" w:ascii="宋体" w:hAnsi="宋体" w:cs="宋体"/>
          <w:color w:val="000000"/>
          <w:sz w:val="21"/>
          <w:szCs w:val="21"/>
          <w:highlight w:val="none"/>
        </w:rPr>
        <w:t>天内，监理人应当按通用合同条款第</w:t>
      </w:r>
      <w:r>
        <w:rPr>
          <w:rFonts w:ascii="宋体" w:hAnsi="宋体" w:cs="宋体"/>
          <w:color w:val="000000"/>
          <w:sz w:val="21"/>
          <w:szCs w:val="21"/>
          <w:highlight w:val="none"/>
        </w:rPr>
        <w:t>23.4.1</w:t>
      </w:r>
      <w:r>
        <w:rPr>
          <w:rFonts w:hint="eastAsia" w:ascii="宋体" w:hAnsi="宋体" w:cs="宋体"/>
          <w:color w:val="000000"/>
          <w:sz w:val="21"/>
          <w:szCs w:val="21"/>
          <w:highlight w:val="none"/>
        </w:rPr>
        <w:t>项的约定书面通知承包人</w:t>
      </w:r>
      <w:r>
        <w:rPr>
          <w:rFonts w:ascii="宋体" w:cs="宋体"/>
          <w:color w:val="000000"/>
          <w:sz w:val="21"/>
          <w:szCs w:val="21"/>
          <w:highlight w:val="none"/>
        </w:rPr>
        <w:t>,</w:t>
      </w:r>
      <w:r>
        <w:rPr>
          <w:rFonts w:hint="eastAsia" w:ascii="宋体" w:hAnsi="宋体" w:cs="宋体"/>
          <w:color w:val="000000"/>
          <w:sz w:val="21"/>
          <w:szCs w:val="21"/>
          <w:highlight w:val="none"/>
        </w:rPr>
        <w:t>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pStyle w:val="32"/>
        <w:spacing w:after="0" w:line="360" w:lineRule="auto"/>
        <w:ind w:left="31680"/>
        <w:rPr>
          <w:rFonts w:ascii="宋体" w:cs="宋体"/>
          <w:color w:val="000000"/>
          <w:sz w:val="21"/>
          <w:szCs w:val="21"/>
          <w:highlight w:val="none"/>
        </w:rPr>
      </w:pPr>
      <w:r>
        <w:rPr>
          <w:rFonts w:hint="eastAsia" w:ascii="宋体" w:hAnsi="宋体" w:cs="宋体"/>
          <w:color w:val="000000"/>
          <w:sz w:val="21"/>
          <w:szCs w:val="21"/>
          <w:highlight w:val="none"/>
        </w:rPr>
        <w:t>逾期竣工违约金的计算标准：</w:t>
      </w:r>
      <w:r>
        <w:rPr>
          <w:rFonts w:hint="eastAsia" w:ascii="宋体" w:hAnsi="宋体" w:cs="宋体"/>
          <w:color w:val="000000"/>
          <w:sz w:val="21"/>
          <w:szCs w:val="21"/>
          <w:highlight w:val="none"/>
          <w:u w:val="single"/>
        </w:rPr>
        <w:t>工期每延误一天，承包人应当向发包人赔偿签约合同价的千分之二</w:t>
      </w:r>
      <w:r>
        <w:rPr>
          <w:rFonts w:ascii="宋体" w:hAnsi="宋体" w:cs="宋体"/>
          <w:color w:val="000000"/>
          <w:sz w:val="21"/>
          <w:szCs w:val="21"/>
          <w:highlight w:val="none"/>
          <w:u w:val="single"/>
        </w:rPr>
        <w:t>/</w:t>
      </w:r>
      <w:r>
        <w:rPr>
          <w:rFonts w:hint="eastAsia" w:ascii="宋体" w:hAnsi="宋体" w:cs="宋体"/>
          <w:color w:val="000000"/>
          <w:sz w:val="21"/>
          <w:szCs w:val="21"/>
          <w:highlight w:val="none"/>
          <w:u w:val="single"/>
        </w:rPr>
        <w:t>天罚款，不足一天按一天计</w:t>
      </w:r>
      <w:r>
        <w:rPr>
          <w:rFonts w:hint="eastAsia" w:ascii="宋体" w:hAnsi="宋体" w:cs="宋体"/>
          <w:color w:val="000000"/>
          <w:sz w:val="21"/>
          <w:szCs w:val="21"/>
          <w:highlight w:val="none"/>
        </w:rPr>
        <w:t>。</w:t>
      </w:r>
    </w:p>
    <w:p>
      <w:pPr>
        <w:pStyle w:val="32"/>
        <w:spacing w:after="0" w:line="360" w:lineRule="auto"/>
        <w:ind w:left="31680"/>
        <w:rPr>
          <w:rFonts w:ascii="宋体" w:hAnsi="宋体" w:cs="宋体"/>
          <w:color w:val="000000"/>
          <w:sz w:val="21"/>
          <w:szCs w:val="21"/>
          <w:highlight w:val="none"/>
        </w:rPr>
      </w:pPr>
      <w:r>
        <w:rPr>
          <w:rFonts w:hint="eastAsia" w:ascii="宋体" w:hAnsi="宋体" w:cs="宋体"/>
          <w:color w:val="000000"/>
          <w:sz w:val="21"/>
          <w:szCs w:val="21"/>
          <w:highlight w:val="none"/>
        </w:rPr>
        <w:t>逾期竣工违约金的计算方法：</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签约合同价千分之二</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天</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r>
        <w:rPr>
          <w:rFonts w:ascii="宋体" w:hAnsi="宋体" w:cs="宋体"/>
          <w:color w:val="000000"/>
          <w:sz w:val="21"/>
          <w:szCs w:val="21"/>
          <w:highlight w:val="none"/>
        </w:rPr>
        <w:t xml:space="preserve"> </w:t>
      </w:r>
    </w:p>
    <w:p>
      <w:pPr>
        <w:pStyle w:val="32"/>
        <w:spacing w:after="0" w:line="360" w:lineRule="auto"/>
        <w:ind w:left="31680"/>
        <w:rPr>
          <w:rFonts w:ascii="宋体" w:cs="宋体"/>
          <w:color w:val="000000"/>
          <w:sz w:val="21"/>
          <w:szCs w:val="21"/>
          <w:highlight w:val="none"/>
        </w:rPr>
      </w:pPr>
      <w:r>
        <w:rPr>
          <w:rFonts w:hint="eastAsia" w:ascii="宋体" w:hAnsi="宋体" w:cs="宋体"/>
          <w:color w:val="000000"/>
          <w:sz w:val="21"/>
          <w:szCs w:val="21"/>
          <w:highlight w:val="none"/>
        </w:rPr>
        <w:t>逾期竣工违约金最高限额：</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u w:val="single"/>
        </w:rPr>
        <w:t>最高不超过签约合同价的百分之三</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p>
      <w:pPr>
        <w:pStyle w:val="126"/>
        <w:spacing w:line="360" w:lineRule="auto"/>
        <w:outlineLvl w:val="9"/>
        <w:rPr>
          <w:rFonts w:ascii="宋体" w:hAnsi="宋体" w:eastAsia="宋体"/>
          <w:color w:val="000000"/>
          <w:sz w:val="21"/>
          <w:szCs w:val="21"/>
          <w:highlight w:val="none"/>
        </w:rPr>
      </w:pPr>
      <w:bookmarkStart w:id="698" w:name="_Toc371939226"/>
      <w:bookmarkStart w:id="699" w:name="_Toc241459704"/>
      <w:bookmarkStart w:id="700" w:name="_Toc342296463"/>
      <w:bookmarkStart w:id="701" w:name="_Toc389141105"/>
      <w:bookmarkStart w:id="702" w:name="_Toc409517634"/>
      <w:bookmarkStart w:id="703" w:name="_Toc409517922"/>
      <w:bookmarkStart w:id="704" w:name="_Toc409518210"/>
      <w:bookmarkStart w:id="705" w:name="_Toc424289472"/>
      <w:bookmarkStart w:id="706" w:name="_Toc216"/>
      <w:r>
        <w:rPr>
          <w:rFonts w:ascii="宋体" w:hAnsi="宋体" w:eastAsia="宋体"/>
          <w:color w:val="000000"/>
          <w:sz w:val="21"/>
          <w:szCs w:val="21"/>
          <w:highlight w:val="none"/>
        </w:rPr>
        <w:t>11.6</w:t>
      </w:r>
      <w:bookmarkEnd w:id="694"/>
      <w:bookmarkStart w:id="707" w:name="_Toc144974657"/>
      <w:r>
        <w:rPr>
          <w:rFonts w:ascii="宋体" w:hAnsi="宋体" w:eastAsia="宋体"/>
          <w:color w:val="000000"/>
          <w:sz w:val="21"/>
          <w:szCs w:val="21"/>
          <w:highlight w:val="none"/>
        </w:rPr>
        <w:t xml:space="preserve"> </w:t>
      </w:r>
      <w:r>
        <w:rPr>
          <w:rFonts w:hint="eastAsia" w:ascii="宋体" w:hAnsi="宋体" w:eastAsia="宋体"/>
          <w:color w:val="000000"/>
          <w:sz w:val="21"/>
          <w:szCs w:val="21"/>
          <w:highlight w:val="none"/>
        </w:rPr>
        <w:t>工期提前</w:t>
      </w:r>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32"/>
        <w:spacing w:after="0" w:line="360" w:lineRule="auto"/>
        <w:ind w:left="31680"/>
        <w:rPr>
          <w:rFonts w:ascii="宋体" w:cs="宋体"/>
          <w:color w:val="000000"/>
          <w:sz w:val="21"/>
          <w:szCs w:val="21"/>
          <w:highlight w:val="none"/>
        </w:rPr>
      </w:pPr>
      <w:bookmarkStart w:id="708" w:name="_Toc144974658"/>
      <w:bookmarkStart w:id="709" w:name="_Toc152042467"/>
      <w:bookmarkStart w:id="710" w:name="_Toc152045689"/>
      <w:bookmarkStart w:id="711" w:name="_Toc179632707"/>
      <w:r>
        <w:rPr>
          <w:rFonts w:hint="eastAsia" w:ascii="宋体" w:hAnsi="宋体" w:cs="宋体"/>
          <w:color w:val="000000"/>
          <w:sz w:val="21"/>
          <w:szCs w:val="21"/>
          <w:highlight w:val="none"/>
        </w:rPr>
        <w:t>提前竣工的奖励办法：</w:t>
      </w:r>
      <w:r>
        <w:rPr>
          <w:rFonts w:ascii="宋体" w:hAnsi="宋体" w:cs="宋体"/>
          <w:color w:val="000000"/>
          <w:sz w:val="21"/>
          <w:szCs w:val="21"/>
          <w:highlight w:val="none"/>
          <w:u w:val="single"/>
        </w:rPr>
        <w:t xml:space="preserve">      /               </w:t>
      </w:r>
      <w:r>
        <w:rPr>
          <w:rFonts w:hint="eastAsia" w:ascii="宋体" w:hAnsi="宋体" w:cs="宋体"/>
          <w:color w:val="000000"/>
          <w:sz w:val="21"/>
          <w:szCs w:val="21"/>
          <w:highlight w:val="none"/>
        </w:rPr>
        <w:t>。</w:t>
      </w:r>
    </w:p>
    <w:p>
      <w:pPr>
        <w:pStyle w:val="89"/>
        <w:spacing w:before="0" w:line="360" w:lineRule="auto"/>
        <w:outlineLvl w:val="9"/>
        <w:rPr>
          <w:rFonts w:ascii="宋体" w:hAnsi="宋体" w:eastAsia="宋体"/>
          <w:color w:val="000000"/>
          <w:sz w:val="21"/>
          <w:szCs w:val="21"/>
          <w:highlight w:val="none"/>
        </w:rPr>
      </w:pPr>
      <w:bookmarkStart w:id="712" w:name="_Toc241459705"/>
      <w:bookmarkStart w:id="713" w:name="_Toc241484601"/>
      <w:bookmarkStart w:id="714" w:name="_Toc342296464"/>
      <w:bookmarkStart w:id="715" w:name="_Toc371939227"/>
      <w:bookmarkStart w:id="716" w:name="_Toc389141106"/>
      <w:bookmarkStart w:id="717" w:name="_Toc409517635"/>
      <w:bookmarkStart w:id="718" w:name="_Toc409517923"/>
      <w:bookmarkStart w:id="719" w:name="_Toc409518211"/>
      <w:bookmarkStart w:id="720" w:name="_Toc424289473"/>
      <w:bookmarkStart w:id="721" w:name="_Toc7220"/>
      <w:bookmarkStart w:id="722" w:name="_Toc26541"/>
      <w:r>
        <w:rPr>
          <w:rFonts w:ascii="宋体" w:hAnsi="宋体" w:eastAsia="宋体"/>
          <w:color w:val="000000"/>
          <w:sz w:val="21"/>
          <w:szCs w:val="21"/>
          <w:highlight w:val="none"/>
        </w:rPr>
        <w:t xml:space="preserve">12. </w:t>
      </w:r>
      <w:r>
        <w:rPr>
          <w:rFonts w:hint="eastAsia" w:ascii="宋体" w:hAnsi="宋体" w:eastAsia="宋体"/>
          <w:color w:val="000000"/>
          <w:sz w:val="21"/>
          <w:szCs w:val="21"/>
          <w:highlight w:val="none"/>
        </w:rPr>
        <w:t>暂停施工</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126"/>
        <w:spacing w:line="360" w:lineRule="auto"/>
        <w:outlineLvl w:val="9"/>
        <w:rPr>
          <w:rFonts w:ascii="宋体" w:hAnsi="宋体" w:eastAsia="宋体"/>
          <w:color w:val="000000"/>
          <w:sz w:val="21"/>
          <w:szCs w:val="21"/>
          <w:highlight w:val="none"/>
        </w:rPr>
      </w:pPr>
      <w:bookmarkStart w:id="723" w:name="_Toc144974659"/>
      <w:bookmarkStart w:id="724" w:name="_Toc152042468"/>
      <w:bookmarkStart w:id="725" w:name="_Toc152045690"/>
      <w:bookmarkStart w:id="726" w:name="_Toc179632708"/>
      <w:bookmarkStart w:id="727" w:name="_Toc241459706"/>
      <w:bookmarkStart w:id="728" w:name="_Toc342296465"/>
      <w:bookmarkStart w:id="729" w:name="_Toc371939228"/>
      <w:bookmarkStart w:id="730" w:name="_Toc389141107"/>
      <w:bookmarkStart w:id="731" w:name="_Toc409517636"/>
      <w:bookmarkStart w:id="732" w:name="_Toc409517924"/>
      <w:bookmarkStart w:id="733" w:name="_Toc409518212"/>
      <w:bookmarkStart w:id="734" w:name="_Toc424289474"/>
      <w:bookmarkStart w:id="735" w:name="_Toc32041"/>
      <w:r>
        <w:rPr>
          <w:rFonts w:ascii="宋体" w:hAnsi="宋体" w:eastAsia="宋体"/>
          <w:color w:val="000000"/>
          <w:sz w:val="21"/>
          <w:szCs w:val="21"/>
          <w:highlight w:val="none"/>
        </w:rPr>
        <w:t xml:space="preserve">12.1 </w:t>
      </w:r>
      <w:r>
        <w:rPr>
          <w:rFonts w:hint="eastAsia" w:ascii="宋体" w:hAnsi="宋体" w:eastAsia="宋体"/>
          <w:color w:val="000000"/>
          <w:sz w:val="21"/>
          <w:szCs w:val="21"/>
          <w:highlight w:val="none"/>
        </w:rPr>
        <w:t>承包人暂停施工的责任</w:t>
      </w:r>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32"/>
        <w:spacing w:after="0" w:line="360" w:lineRule="auto"/>
        <w:ind w:left="0" w:leftChars="0"/>
        <w:rPr>
          <w:rFonts w:ascii="宋体" w:cs="宋体"/>
          <w:color w:val="000000"/>
          <w:sz w:val="21"/>
          <w:szCs w:val="21"/>
          <w:highlight w:val="none"/>
        </w:rPr>
      </w:pPr>
      <w:r>
        <w:rPr>
          <w:rFonts w:hint="eastAsia" w:ascii="宋体" w:hAnsi="宋体" w:cs="宋体"/>
          <w:color w:val="000000"/>
          <w:sz w:val="21"/>
          <w:szCs w:val="21"/>
          <w:highlight w:val="none"/>
        </w:rPr>
        <w:t>（</w:t>
      </w:r>
      <w:r>
        <w:rPr>
          <w:rFonts w:ascii="宋体" w:hAnsi="宋体" w:cs="宋体"/>
          <w:color w:val="000000"/>
          <w:sz w:val="21"/>
          <w:szCs w:val="21"/>
          <w:highlight w:val="none"/>
        </w:rPr>
        <w:t>5</w:t>
      </w:r>
      <w:r>
        <w:rPr>
          <w:rFonts w:hint="eastAsia" w:ascii="宋体" w:hAnsi="宋体" w:cs="宋体"/>
          <w:color w:val="000000"/>
          <w:sz w:val="21"/>
          <w:szCs w:val="21"/>
          <w:highlight w:val="none"/>
        </w:rPr>
        <w:t>）承包人承担暂停施工责任的其他情形：</w:t>
      </w:r>
      <w:r>
        <w:rPr>
          <w:rFonts w:ascii="宋体" w:hAnsi="宋体" w:cs="宋体"/>
          <w:color w:val="000000"/>
          <w:sz w:val="21"/>
          <w:szCs w:val="21"/>
          <w:highlight w:val="none"/>
        </w:rPr>
        <w:t xml:space="preserve"> </w:t>
      </w:r>
      <w:r>
        <w:rPr>
          <w:rFonts w:ascii="宋体" w:hAnsi="宋体" w:cs="宋体"/>
          <w:color w:val="000000"/>
          <w:sz w:val="21"/>
          <w:szCs w:val="21"/>
          <w:highlight w:val="none"/>
          <w:u w:val="single"/>
        </w:rPr>
        <w:t xml:space="preserve"> 1</w:t>
      </w:r>
      <w:r>
        <w:rPr>
          <w:rFonts w:hint="eastAsia" w:ascii="宋体" w:hAnsi="宋体" w:cs="宋体"/>
          <w:color w:val="000000"/>
          <w:sz w:val="21"/>
          <w:szCs w:val="21"/>
          <w:highlight w:val="none"/>
          <w:u w:val="single"/>
        </w:rPr>
        <w:t>）因承包人违反规范或任何工程质量不合格而进行返工、重建、修建的工期；</w:t>
      </w:r>
      <w:r>
        <w:rPr>
          <w:rFonts w:ascii="宋体" w:hAnsi="宋体" w:cs="宋体"/>
          <w:color w:val="000000"/>
          <w:sz w:val="21"/>
          <w:szCs w:val="21"/>
          <w:highlight w:val="none"/>
          <w:u w:val="single"/>
        </w:rPr>
        <w:t>2</w:t>
      </w:r>
      <w:r>
        <w:rPr>
          <w:rFonts w:hint="eastAsia" w:ascii="宋体" w:hAnsi="宋体" w:cs="宋体"/>
          <w:color w:val="000000"/>
          <w:sz w:val="21"/>
          <w:szCs w:val="21"/>
          <w:highlight w:val="none"/>
          <w:u w:val="single"/>
        </w:rPr>
        <w:t>）未按设计要求进行施工或因施工组织方案不可行导致发包人未能按时审批而影响工期的；</w:t>
      </w:r>
      <w:r>
        <w:rPr>
          <w:rFonts w:ascii="宋体" w:hAnsi="宋体" w:cs="宋体"/>
          <w:color w:val="000000"/>
          <w:sz w:val="21"/>
          <w:szCs w:val="21"/>
          <w:highlight w:val="none"/>
          <w:u w:val="single"/>
        </w:rPr>
        <w:t>3</w:t>
      </w:r>
      <w:r>
        <w:rPr>
          <w:rFonts w:hint="eastAsia" w:ascii="宋体" w:hAnsi="宋体" w:cs="宋体"/>
          <w:color w:val="000000"/>
          <w:sz w:val="21"/>
          <w:szCs w:val="21"/>
          <w:highlight w:val="none"/>
          <w:u w:val="single"/>
        </w:rPr>
        <w:t>）工程验收不合格发现存在质量问题或技术问题需要整改的；</w:t>
      </w:r>
      <w:r>
        <w:rPr>
          <w:rFonts w:ascii="宋体" w:hAnsi="宋体" w:cs="宋体"/>
          <w:color w:val="000000"/>
          <w:sz w:val="21"/>
          <w:szCs w:val="21"/>
          <w:highlight w:val="none"/>
          <w:u w:val="single"/>
        </w:rPr>
        <w:t>4</w:t>
      </w:r>
      <w:r>
        <w:rPr>
          <w:rFonts w:hint="eastAsia" w:ascii="宋体" w:hAnsi="宋体" w:cs="宋体"/>
          <w:color w:val="000000"/>
          <w:sz w:val="21"/>
          <w:szCs w:val="21"/>
          <w:highlight w:val="none"/>
          <w:u w:val="single"/>
        </w:rPr>
        <w:t>）承包人自身原因的待工待料的；</w:t>
      </w:r>
      <w:r>
        <w:rPr>
          <w:rFonts w:ascii="宋体" w:hAnsi="宋体" w:cs="宋体"/>
          <w:color w:val="000000"/>
          <w:sz w:val="21"/>
          <w:szCs w:val="21"/>
          <w:highlight w:val="none"/>
          <w:u w:val="single"/>
        </w:rPr>
        <w:t>5</w:t>
      </w:r>
      <w:r>
        <w:rPr>
          <w:rFonts w:hint="eastAsia" w:ascii="宋体" w:hAnsi="宋体" w:cs="宋体"/>
          <w:color w:val="000000"/>
          <w:sz w:val="21"/>
          <w:szCs w:val="21"/>
          <w:highlight w:val="none"/>
          <w:u w:val="single"/>
        </w:rPr>
        <w:t>）工程质量未达到等级标准要求，发包人要求承包人返工的。发生以上情形工期不予顺延，责任自负</w:t>
      </w:r>
      <w:r>
        <w:rPr>
          <w:rFonts w:ascii="宋体" w:hAnsi="宋体" w:cs="宋体"/>
          <w:color w:val="000000"/>
          <w:sz w:val="21"/>
          <w:szCs w:val="21"/>
          <w:highlight w:val="none"/>
          <w:u w:val="single"/>
        </w:rPr>
        <w:t xml:space="preserve">   </w:t>
      </w:r>
      <w:r>
        <w:rPr>
          <w:rFonts w:hint="eastAsia" w:ascii="宋体" w:hAnsi="宋体" w:cs="宋体"/>
          <w:color w:val="000000"/>
          <w:sz w:val="21"/>
          <w:szCs w:val="21"/>
          <w:highlight w:val="none"/>
        </w:rPr>
        <w:t>。</w:t>
      </w:r>
    </w:p>
    <w:p>
      <w:pPr>
        <w:pStyle w:val="126"/>
        <w:spacing w:line="360" w:lineRule="auto"/>
        <w:outlineLvl w:val="9"/>
        <w:rPr>
          <w:rFonts w:ascii="宋体" w:hAnsi="宋体" w:eastAsia="宋体"/>
          <w:color w:val="000000"/>
          <w:sz w:val="21"/>
          <w:szCs w:val="21"/>
          <w:highlight w:val="none"/>
        </w:rPr>
      </w:pPr>
      <w:bookmarkStart w:id="736" w:name="_Toc409517925"/>
      <w:bookmarkStart w:id="737" w:name="_Toc409517637"/>
      <w:bookmarkStart w:id="738" w:name="_Toc371939229"/>
      <w:bookmarkStart w:id="739" w:name="_Toc389141108"/>
      <w:bookmarkStart w:id="740" w:name="_Toc342296466"/>
      <w:bookmarkStart w:id="741" w:name="_Toc241459707"/>
      <w:bookmarkStart w:id="742" w:name="_Toc409518213"/>
      <w:bookmarkStart w:id="743" w:name="_Toc424289475"/>
      <w:bookmarkStart w:id="744" w:name="_Toc12192"/>
      <w:r>
        <w:rPr>
          <w:rFonts w:ascii="宋体" w:hAnsi="宋体" w:eastAsia="宋体"/>
          <w:color w:val="000000"/>
          <w:sz w:val="21"/>
          <w:szCs w:val="21"/>
          <w:highlight w:val="none"/>
        </w:rPr>
        <w:t xml:space="preserve">12.4 </w:t>
      </w:r>
      <w:r>
        <w:rPr>
          <w:rFonts w:hint="eastAsia" w:ascii="宋体" w:hAnsi="宋体" w:eastAsia="宋体"/>
          <w:color w:val="000000"/>
          <w:sz w:val="21"/>
          <w:szCs w:val="21"/>
          <w:highlight w:val="none"/>
        </w:rPr>
        <w:t>暂停施工后的复工</w:t>
      </w:r>
      <w:bookmarkEnd w:id="736"/>
      <w:bookmarkEnd w:id="737"/>
      <w:bookmarkEnd w:id="738"/>
      <w:bookmarkEnd w:id="739"/>
      <w:bookmarkEnd w:id="740"/>
      <w:bookmarkEnd w:id="741"/>
      <w:bookmarkEnd w:id="742"/>
      <w:bookmarkEnd w:id="743"/>
      <w:bookmarkEnd w:id="744"/>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12.4.3 </w:t>
      </w:r>
      <w:r>
        <w:rPr>
          <w:rFonts w:hint="eastAsia" w:ascii="宋体" w:hAnsi="宋体" w:cs="宋体"/>
          <w:color w:val="000000"/>
          <w:szCs w:val="21"/>
          <w:highlight w:val="none"/>
        </w:rPr>
        <w:t>根据通用合同条款第</w:t>
      </w:r>
      <w:r>
        <w:rPr>
          <w:rFonts w:ascii="宋体" w:hAnsi="宋体" w:cs="宋体"/>
          <w:color w:val="000000"/>
          <w:szCs w:val="21"/>
          <w:highlight w:val="none"/>
        </w:rPr>
        <w:t>12.4.1</w:t>
      </w:r>
      <w:r>
        <w:rPr>
          <w:rFonts w:hint="eastAsia" w:ascii="宋体" w:hAnsi="宋体" w:cs="宋体"/>
          <w:color w:val="000000"/>
          <w:szCs w:val="21"/>
          <w:highlight w:val="none"/>
        </w:rPr>
        <w:t>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12.4.4 </w:t>
      </w:r>
      <w:r>
        <w:rPr>
          <w:rFonts w:hint="eastAsia" w:ascii="宋体" w:hAnsi="宋体" w:cs="宋体"/>
          <w:color w:val="000000"/>
          <w:szCs w:val="21"/>
          <w:highlight w:val="none"/>
        </w:rPr>
        <w:t>暂停施工持续</w:t>
      </w:r>
      <w:r>
        <w:rPr>
          <w:rFonts w:ascii="宋体" w:hAnsi="宋体" w:cs="宋体"/>
          <w:color w:val="000000"/>
          <w:szCs w:val="21"/>
          <w:highlight w:val="none"/>
        </w:rPr>
        <w:t>56</w:t>
      </w:r>
      <w:r>
        <w:rPr>
          <w:rFonts w:hint="eastAsia" w:ascii="宋体" w:hAnsi="宋体" w:cs="宋体"/>
          <w:color w:val="000000"/>
          <w:szCs w:val="21"/>
          <w:highlight w:val="none"/>
        </w:rPr>
        <w:t>天以上，按合同约定由承包人提供的材料和工程设备，由于暂停施工原因导致承包人在暂停施工前已经订购但被暂停运至施工现场的，发包人应按照承包人订购合同的约定支付相应的订购款项。</w:t>
      </w:r>
      <w:bookmarkStart w:id="745" w:name="_Toc152042473"/>
      <w:bookmarkStart w:id="746" w:name="_Toc144974664"/>
      <w:bookmarkStart w:id="747" w:name="_Toc152045695"/>
      <w:bookmarkStart w:id="748" w:name="_Toc179632713"/>
      <w:bookmarkStart w:id="749" w:name="_Toc241459708"/>
    </w:p>
    <w:p>
      <w:pPr>
        <w:pStyle w:val="89"/>
        <w:spacing w:before="0" w:line="360" w:lineRule="auto"/>
        <w:outlineLvl w:val="9"/>
        <w:rPr>
          <w:rFonts w:ascii="宋体" w:hAnsi="宋体" w:eastAsia="宋体"/>
          <w:color w:val="000000"/>
          <w:sz w:val="21"/>
          <w:szCs w:val="21"/>
          <w:highlight w:val="none"/>
        </w:rPr>
      </w:pPr>
      <w:bookmarkStart w:id="750" w:name="_Toc342296467"/>
      <w:bookmarkStart w:id="751" w:name="_Toc371939230"/>
      <w:bookmarkStart w:id="752" w:name="_Toc389141109"/>
      <w:bookmarkStart w:id="753" w:name="_Toc409517638"/>
      <w:bookmarkStart w:id="754" w:name="_Toc409517926"/>
      <w:bookmarkStart w:id="755" w:name="_Toc409518214"/>
      <w:bookmarkStart w:id="756" w:name="_Toc424289476"/>
      <w:bookmarkStart w:id="757" w:name="_Toc3305"/>
      <w:bookmarkStart w:id="758" w:name="_Toc25998"/>
      <w:r>
        <w:rPr>
          <w:rFonts w:ascii="宋体" w:hAnsi="宋体" w:eastAsia="宋体"/>
          <w:color w:val="000000"/>
          <w:sz w:val="21"/>
          <w:szCs w:val="21"/>
          <w:highlight w:val="none"/>
        </w:rPr>
        <w:t xml:space="preserve">13. </w:t>
      </w:r>
      <w:r>
        <w:rPr>
          <w:rFonts w:hint="eastAsia" w:ascii="宋体" w:hAnsi="宋体" w:eastAsia="宋体"/>
          <w:color w:val="000000"/>
          <w:sz w:val="21"/>
          <w:szCs w:val="21"/>
          <w:highlight w:val="none"/>
        </w:rPr>
        <w:t>工程质量</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Start w:id="759" w:name="_Toc144974666"/>
      <w:bookmarkStart w:id="760" w:name="_Toc152042475"/>
      <w:bookmarkStart w:id="761" w:name="_Toc152045697"/>
      <w:bookmarkStart w:id="762" w:name="_Toc179632715"/>
    </w:p>
    <w:p>
      <w:pPr>
        <w:pStyle w:val="126"/>
        <w:spacing w:line="360" w:lineRule="auto"/>
        <w:outlineLvl w:val="9"/>
        <w:rPr>
          <w:rFonts w:ascii="宋体" w:hAnsi="宋体" w:eastAsia="宋体"/>
          <w:color w:val="000000"/>
          <w:sz w:val="21"/>
          <w:szCs w:val="21"/>
          <w:highlight w:val="none"/>
        </w:rPr>
      </w:pPr>
      <w:bookmarkStart w:id="763" w:name="_Toc241459709"/>
      <w:bookmarkStart w:id="764" w:name="_Toc342296468"/>
      <w:bookmarkStart w:id="765" w:name="_Toc371939231"/>
      <w:bookmarkStart w:id="766" w:name="_Toc389141110"/>
      <w:bookmarkStart w:id="767" w:name="_Toc409517639"/>
      <w:bookmarkStart w:id="768" w:name="_Toc409517927"/>
      <w:bookmarkStart w:id="769" w:name="_Toc409518215"/>
      <w:bookmarkStart w:id="770" w:name="_Toc424289477"/>
      <w:bookmarkStart w:id="771" w:name="_Toc30959"/>
      <w:r>
        <w:rPr>
          <w:rFonts w:ascii="宋体" w:hAnsi="宋体" w:eastAsia="宋体"/>
          <w:color w:val="000000"/>
          <w:sz w:val="21"/>
          <w:szCs w:val="21"/>
          <w:highlight w:val="none"/>
        </w:rPr>
        <w:t xml:space="preserve">13.2 </w:t>
      </w:r>
      <w:r>
        <w:rPr>
          <w:rFonts w:hint="eastAsia" w:ascii="宋体" w:hAnsi="宋体" w:eastAsia="宋体"/>
          <w:color w:val="000000"/>
          <w:sz w:val="21"/>
          <w:szCs w:val="21"/>
          <w:highlight w:val="none"/>
        </w:rPr>
        <w:t>承包人的质量管理</w:t>
      </w:r>
      <w:bookmarkEnd w:id="759"/>
      <w:bookmarkEnd w:id="760"/>
      <w:bookmarkEnd w:id="761"/>
      <w:bookmarkEnd w:id="762"/>
      <w:bookmarkEnd w:id="763"/>
      <w:bookmarkEnd w:id="764"/>
      <w:bookmarkEnd w:id="765"/>
      <w:bookmarkEnd w:id="766"/>
      <w:bookmarkEnd w:id="767"/>
      <w:bookmarkEnd w:id="768"/>
      <w:bookmarkEnd w:id="769"/>
      <w:bookmarkEnd w:id="770"/>
      <w:bookmarkEnd w:id="771"/>
    </w:p>
    <w:p>
      <w:pPr>
        <w:spacing w:line="360" w:lineRule="auto"/>
        <w:ind w:firstLine="420" w:firstLineChars="200"/>
        <w:rPr>
          <w:rFonts w:ascii="宋体" w:cs="宋体"/>
          <w:color w:val="000000"/>
          <w:szCs w:val="21"/>
          <w:highlight w:val="none"/>
        </w:rPr>
      </w:pPr>
      <w:bookmarkStart w:id="772" w:name="_Toc144974667"/>
      <w:bookmarkStart w:id="773" w:name="_Toc152042476"/>
      <w:bookmarkStart w:id="774" w:name="_Toc152045698"/>
      <w:bookmarkStart w:id="775" w:name="_Toc179632716"/>
      <w:r>
        <w:rPr>
          <w:rFonts w:ascii="宋体" w:hAnsi="宋体" w:cs="宋体"/>
          <w:color w:val="000000"/>
          <w:szCs w:val="21"/>
          <w:highlight w:val="none"/>
        </w:rPr>
        <w:t>13.2.1</w:t>
      </w:r>
      <w:r>
        <w:rPr>
          <w:rFonts w:hint="eastAsia" w:ascii="宋体" w:hAnsi="宋体" w:cs="宋体"/>
          <w:color w:val="000000"/>
          <w:szCs w:val="21"/>
          <w:highlight w:val="none"/>
        </w:rPr>
        <w:t>承包人向监理人提交工程质量保证措施文件的期限：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签订合同后</w:t>
      </w:r>
      <w:r>
        <w:rPr>
          <w:rFonts w:ascii="宋体" w:hAnsi="宋体" w:cs="宋体"/>
          <w:color w:val="000000"/>
          <w:szCs w:val="21"/>
          <w:highlight w:val="none"/>
          <w:u w:val="single"/>
        </w:rPr>
        <w:t>7</w:t>
      </w:r>
      <w:r>
        <w:rPr>
          <w:rFonts w:hint="eastAsia" w:ascii="宋体" w:hAnsi="宋体" w:cs="宋体"/>
          <w:color w:val="000000"/>
          <w:szCs w:val="21"/>
          <w:highlight w:val="none"/>
          <w:u w:val="single"/>
        </w:rPr>
        <w:t>天内</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监理人审批工程质量保证措施文件的期限：</w:t>
      </w:r>
      <w:r>
        <w:rPr>
          <w:rFonts w:ascii="宋体" w:hAnsi="宋体" w:cs="宋体"/>
          <w:color w:val="000000"/>
          <w:szCs w:val="21"/>
          <w:highlight w:val="none"/>
          <w:u w:val="single"/>
        </w:rPr>
        <w:t xml:space="preserve">    7</w:t>
      </w:r>
      <w:r>
        <w:rPr>
          <w:rFonts w:hint="eastAsia" w:ascii="宋体" w:hAnsi="宋体" w:cs="宋体"/>
          <w:color w:val="000000"/>
          <w:szCs w:val="21"/>
          <w:highlight w:val="none"/>
          <w:u w:val="single"/>
        </w:rPr>
        <w:t>天</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776" w:name="_Toc241459710"/>
      <w:bookmarkStart w:id="777" w:name="_Toc342296469"/>
      <w:bookmarkStart w:id="778" w:name="_Toc371939232"/>
      <w:bookmarkStart w:id="779" w:name="_Toc389141111"/>
      <w:bookmarkStart w:id="780" w:name="_Toc409517640"/>
      <w:bookmarkStart w:id="781" w:name="_Toc409517928"/>
      <w:bookmarkStart w:id="782" w:name="_Toc409518216"/>
      <w:bookmarkStart w:id="783" w:name="_Toc424289478"/>
      <w:bookmarkStart w:id="784" w:name="_Toc17259"/>
      <w:r>
        <w:rPr>
          <w:rFonts w:ascii="宋体" w:hAnsi="宋体" w:eastAsia="宋体"/>
          <w:color w:val="000000"/>
          <w:sz w:val="21"/>
          <w:szCs w:val="21"/>
          <w:highlight w:val="none"/>
        </w:rPr>
        <w:t xml:space="preserve">13.3 </w:t>
      </w:r>
      <w:r>
        <w:rPr>
          <w:rFonts w:hint="eastAsia" w:ascii="宋体" w:hAnsi="宋体" w:eastAsia="宋体"/>
          <w:color w:val="000000"/>
          <w:sz w:val="21"/>
          <w:szCs w:val="21"/>
          <w:highlight w:val="none"/>
        </w:rPr>
        <w:t>承包人的质量检查</w:t>
      </w:r>
      <w:bookmarkEnd w:id="772"/>
      <w:bookmarkEnd w:id="773"/>
      <w:bookmarkEnd w:id="774"/>
      <w:bookmarkEnd w:id="775"/>
      <w:bookmarkEnd w:id="776"/>
      <w:bookmarkEnd w:id="777"/>
      <w:bookmarkEnd w:id="778"/>
      <w:bookmarkEnd w:id="779"/>
      <w:bookmarkEnd w:id="780"/>
      <w:bookmarkEnd w:id="781"/>
      <w:bookmarkEnd w:id="782"/>
      <w:bookmarkEnd w:id="783"/>
      <w:bookmarkEnd w:id="784"/>
    </w:p>
    <w:p>
      <w:pPr>
        <w:spacing w:line="360" w:lineRule="auto"/>
        <w:ind w:firstLine="420" w:firstLineChars="200"/>
        <w:rPr>
          <w:rFonts w:ascii="宋体" w:cs="宋体"/>
          <w:color w:val="000000"/>
          <w:szCs w:val="21"/>
          <w:highlight w:val="none"/>
        </w:rPr>
      </w:pPr>
      <w:bookmarkStart w:id="785" w:name="_Toc144974668"/>
      <w:bookmarkStart w:id="786" w:name="_Toc152042477"/>
      <w:bookmarkStart w:id="787" w:name="_Toc152045699"/>
      <w:bookmarkStart w:id="788" w:name="_Toc179632717"/>
      <w:r>
        <w:rPr>
          <w:rFonts w:hint="eastAsia" w:ascii="宋体" w:hAnsi="宋体" w:cs="宋体"/>
          <w:color w:val="000000"/>
          <w:szCs w:val="21"/>
          <w:highlight w:val="none"/>
        </w:rPr>
        <w:t>承包人向监理人报送工程质量报表的期限：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每月</w:t>
      </w:r>
      <w:r>
        <w:rPr>
          <w:rFonts w:ascii="宋体" w:hAnsi="宋体" w:cs="宋体"/>
          <w:color w:val="000000"/>
          <w:szCs w:val="21"/>
          <w:highlight w:val="none"/>
          <w:u w:val="single"/>
        </w:rPr>
        <w:t>25</w:t>
      </w:r>
      <w:r>
        <w:rPr>
          <w:rFonts w:hint="eastAsia" w:ascii="宋体" w:hAnsi="宋体" w:cs="宋体"/>
          <w:color w:val="000000"/>
          <w:szCs w:val="21"/>
          <w:highlight w:val="none"/>
          <w:u w:val="single"/>
        </w:rPr>
        <w:t>日提交</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bookmarkEnd w:id="785"/>
    <w:bookmarkEnd w:id="786"/>
    <w:bookmarkEnd w:id="787"/>
    <w:bookmarkEnd w:id="788"/>
    <w:p>
      <w:pPr>
        <w:spacing w:line="360" w:lineRule="auto"/>
        <w:ind w:firstLine="420" w:firstLineChars="200"/>
        <w:rPr>
          <w:rFonts w:ascii="宋体" w:cs="宋体"/>
          <w:color w:val="000000"/>
          <w:szCs w:val="21"/>
          <w:highlight w:val="none"/>
        </w:rPr>
      </w:pPr>
      <w:bookmarkStart w:id="789" w:name="_Toc144974669"/>
      <w:bookmarkStart w:id="790" w:name="_Toc152042478"/>
      <w:bookmarkStart w:id="791" w:name="_Toc152045700"/>
      <w:bookmarkStart w:id="792" w:name="_Toc179632718"/>
      <w:r>
        <w:rPr>
          <w:rFonts w:hint="eastAsia" w:ascii="宋体" w:hAnsi="宋体" w:cs="宋体"/>
          <w:color w:val="000000"/>
          <w:szCs w:val="21"/>
          <w:highlight w:val="none"/>
        </w:rPr>
        <w:t>承包人向监理人报送工程质量报表的要求：</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按照有关建筑工程施工技术标准与操作规程编制</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监理人审查工程质量报表的期限：</w:t>
      </w:r>
      <w:r>
        <w:rPr>
          <w:rFonts w:hint="eastAsia" w:ascii="宋体" w:hAnsi="宋体" w:cs="宋体"/>
          <w:color w:val="000000"/>
          <w:szCs w:val="21"/>
          <w:highlight w:val="none"/>
          <w:u w:val="single"/>
        </w:rPr>
        <w:t>收到承包人提交的工程质量报表后</w:t>
      </w:r>
      <w:r>
        <w:rPr>
          <w:rFonts w:ascii="宋体" w:hAnsi="宋体" w:cs="宋体"/>
          <w:color w:val="000000"/>
          <w:szCs w:val="21"/>
          <w:highlight w:val="none"/>
          <w:u w:val="single"/>
        </w:rPr>
        <w:t>7</w:t>
      </w:r>
      <w:r>
        <w:rPr>
          <w:rFonts w:hint="eastAsia" w:ascii="宋体" w:hAnsi="宋体" w:cs="宋体"/>
          <w:color w:val="000000"/>
          <w:szCs w:val="21"/>
          <w:highlight w:val="none"/>
          <w:u w:val="single"/>
        </w:rPr>
        <w:t>天内进行审查</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793" w:name="_Toc241459711"/>
      <w:bookmarkStart w:id="794" w:name="_Toc342296470"/>
      <w:bookmarkStart w:id="795" w:name="_Toc409518217"/>
      <w:bookmarkStart w:id="796" w:name="_Toc371939233"/>
      <w:bookmarkStart w:id="797" w:name="_Toc389141112"/>
      <w:bookmarkStart w:id="798" w:name="_Toc409517641"/>
      <w:bookmarkStart w:id="799" w:name="_Toc409517929"/>
      <w:bookmarkStart w:id="800" w:name="_Toc424289479"/>
      <w:bookmarkStart w:id="801" w:name="_Toc10685"/>
      <w:r>
        <w:rPr>
          <w:rFonts w:ascii="宋体" w:hAnsi="宋体" w:eastAsia="宋体"/>
          <w:color w:val="000000"/>
          <w:sz w:val="21"/>
          <w:szCs w:val="21"/>
          <w:highlight w:val="none"/>
        </w:rPr>
        <w:t xml:space="preserve">13.4 </w:t>
      </w:r>
      <w:r>
        <w:rPr>
          <w:rFonts w:hint="eastAsia" w:ascii="宋体" w:hAnsi="宋体" w:eastAsia="宋体"/>
          <w:color w:val="000000"/>
          <w:sz w:val="21"/>
          <w:szCs w:val="21"/>
          <w:highlight w:val="none"/>
        </w:rPr>
        <w:t>监理人的质量检查</w:t>
      </w:r>
      <w:bookmarkEnd w:id="793"/>
      <w:bookmarkEnd w:id="794"/>
      <w:bookmarkEnd w:id="795"/>
      <w:bookmarkEnd w:id="796"/>
      <w:bookmarkEnd w:id="797"/>
      <w:bookmarkEnd w:id="798"/>
      <w:bookmarkEnd w:id="799"/>
      <w:bookmarkEnd w:id="800"/>
      <w:bookmarkEnd w:id="801"/>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承包人应当为监理人的检查和检验提供方便，监理人可以进行察看和查阅施工原始记录的其他地方包括：</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承包人的材料加工现场</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802" w:name="_Toc241459712"/>
      <w:bookmarkStart w:id="803" w:name="_Toc342296471"/>
      <w:bookmarkStart w:id="804" w:name="_Toc371939234"/>
      <w:bookmarkStart w:id="805" w:name="_Toc389141113"/>
      <w:bookmarkStart w:id="806" w:name="_Toc409517642"/>
      <w:bookmarkStart w:id="807" w:name="_Toc409517930"/>
      <w:bookmarkStart w:id="808" w:name="_Toc409518218"/>
      <w:bookmarkStart w:id="809" w:name="_Toc424289480"/>
      <w:bookmarkStart w:id="810" w:name="_Toc4387"/>
      <w:r>
        <w:rPr>
          <w:rFonts w:ascii="宋体" w:hAnsi="宋体" w:eastAsia="宋体"/>
          <w:color w:val="000000"/>
          <w:sz w:val="21"/>
          <w:szCs w:val="21"/>
          <w:highlight w:val="none"/>
        </w:rPr>
        <w:t xml:space="preserve">13.5 </w:t>
      </w:r>
      <w:r>
        <w:rPr>
          <w:rFonts w:hint="eastAsia" w:ascii="宋体" w:hAnsi="宋体" w:eastAsia="宋体"/>
          <w:color w:val="000000"/>
          <w:sz w:val="21"/>
          <w:szCs w:val="21"/>
          <w:highlight w:val="none"/>
        </w:rPr>
        <w:t>工程隐蔽部位覆盖前的检查</w:t>
      </w:r>
      <w:bookmarkEnd w:id="789"/>
      <w:bookmarkEnd w:id="790"/>
      <w:bookmarkEnd w:id="791"/>
      <w:bookmarkEnd w:id="792"/>
      <w:bookmarkEnd w:id="802"/>
      <w:bookmarkEnd w:id="803"/>
      <w:bookmarkEnd w:id="804"/>
      <w:bookmarkEnd w:id="805"/>
      <w:bookmarkEnd w:id="806"/>
      <w:bookmarkEnd w:id="807"/>
      <w:bookmarkEnd w:id="808"/>
      <w:bookmarkEnd w:id="809"/>
      <w:bookmarkEnd w:id="810"/>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13.5.1 </w:t>
      </w:r>
      <w:r>
        <w:rPr>
          <w:rFonts w:hint="eastAsia" w:ascii="宋体" w:hAnsi="宋体" w:cs="宋体"/>
          <w:color w:val="000000"/>
          <w:szCs w:val="21"/>
          <w:highlight w:val="none"/>
        </w:rPr>
        <w:t>监理人对工程隐蔽部位进行检查的期限：</w:t>
      </w:r>
      <w:r>
        <w:rPr>
          <w:rFonts w:hint="eastAsia" w:ascii="宋体" w:hAnsi="宋体" w:cs="宋体"/>
          <w:color w:val="000000"/>
          <w:szCs w:val="21"/>
          <w:highlight w:val="none"/>
          <w:u w:val="single"/>
        </w:rPr>
        <w:t>收到承包人的检查通知后</w:t>
      </w:r>
      <w:r>
        <w:rPr>
          <w:rFonts w:ascii="宋体" w:hAnsi="宋体" w:cs="宋体"/>
          <w:color w:val="000000"/>
          <w:szCs w:val="21"/>
          <w:highlight w:val="none"/>
          <w:u w:val="single"/>
        </w:rPr>
        <w:t>12</w:t>
      </w:r>
      <w:r>
        <w:rPr>
          <w:rFonts w:hint="eastAsia" w:ascii="宋体" w:hAnsi="宋体" w:cs="宋体"/>
          <w:color w:val="000000"/>
          <w:szCs w:val="21"/>
          <w:highlight w:val="none"/>
          <w:u w:val="single"/>
        </w:rPr>
        <w:t>小时内</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811" w:name="_Toc241459713"/>
      <w:bookmarkStart w:id="812" w:name="_Toc342296472"/>
      <w:bookmarkStart w:id="813" w:name="_Toc371939235"/>
      <w:bookmarkStart w:id="814" w:name="_Toc389141114"/>
      <w:bookmarkStart w:id="815" w:name="_Toc409517643"/>
      <w:bookmarkStart w:id="816" w:name="_Toc409517931"/>
      <w:bookmarkStart w:id="817" w:name="_Toc409518219"/>
      <w:bookmarkStart w:id="818" w:name="_Toc424289481"/>
      <w:bookmarkStart w:id="819" w:name="_Toc2257"/>
      <w:bookmarkStart w:id="820" w:name="_Toc144974675"/>
      <w:bookmarkStart w:id="821" w:name="_Toc152042484"/>
      <w:bookmarkStart w:id="822" w:name="_Toc152045706"/>
      <w:bookmarkStart w:id="823" w:name="_Toc179632724"/>
      <w:r>
        <w:rPr>
          <w:rFonts w:ascii="宋体" w:hAnsi="宋体" w:eastAsia="宋体"/>
          <w:color w:val="000000"/>
          <w:sz w:val="21"/>
          <w:szCs w:val="21"/>
          <w:highlight w:val="none"/>
        </w:rPr>
        <w:t xml:space="preserve">13.7 </w:t>
      </w:r>
      <w:r>
        <w:rPr>
          <w:rFonts w:hint="eastAsia" w:ascii="宋体" w:hAnsi="宋体" w:eastAsia="宋体"/>
          <w:color w:val="000000"/>
          <w:sz w:val="21"/>
          <w:szCs w:val="21"/>
          <w:highlight w:val="none"/>
        </w:rPr>
        <w:t>质量争议</w:t>
      </w:r>
      <w:bookmarkEnd w:id="811"/>
      <w:bookmarkEnd w:id="812"/>
      <w:bookmarkEnd w:id="813"/>
      <w:bookmarkEnd w:id="814"/>
      <w:bookmarkEnd w:id="815"/>
      <w:bookmarkEnd w:id="816"/>
      <w:bookmarkEnd w:id="817"/>
      <w:bookmarkEnd w:id="818"/>
      <w:bookmarkEnd w:id="819"/>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发包人和承包人对工程质量有争议的，除可按合同条款第</w:t>
      </w:r>
      <w:r>
        <w:rPr>
          <w:rFonts w:ascii="宋体" w:hAnsi="宋体" w:cs="宋体"/>
          <w:color w:val="000000"/>
          <w:szCs w:val="21"/>
          <w:highlight w:val="none"/>
        </w:rPr>
        <w:t>24</w:t>
      </w:r>
      <w:r>
        <w:rPr>
          <w:rFonts w:hint="eastAsia" w:ascii="宋体" w:hAnsi="宋体" w:cs="宋体"/>
          <w:color w:val="000000"/>
          <w:szCs w:val="21"/>
          <w:highlight w:val="none"/>
        </w:rPr>
        <w:t>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pStyle w:val="89"/>
        <w:spacing w:before="0" w:line="360" w:lineRule="auto"/>
        <w:outlineLvl w:val="9"/>
        <w:rPr>
          <w:rFonts w:ascii="宋体" w:hAnsi="宋体" w:eastAsia="宋体"/>
          <w:color w:val="000000"/>
          <w:sz w:val="21"/>
          <w:szCs w:val="21"/>
          <w:highlight w:val="none"/>
        </w:rPr>
      </w:pPr>
      <w:bookmarkStart w:id="824" w:name="_Toc241459714"/>
      <w:bookmarkStart w:id="825" w:name="_Toc342296473"/>
      <w:bookmarkStart w:id="826" w:name="_Toc371939236"/>
      <w:bookmarkStart w:id="827" w:name="_Toc389141115"/>
      <w:bookmarkStart w:id="828" w:name="_Toc409517644"/>
      <w:bookmarkStart w:id="829" w:name="_Toc409517932"/>
      <w:bookmarkStart w:id="830" w:name="_Toc409518220"/>
      <w:bookmarkStart w:id="831" w:name="_Toc424289482"/>
      <w:bookmarkStart w:id="832" w:name="_Toc24916"/>
      <w:bookmarkStart w:id="833" w:name="_Toc12695"/>
      <w:r>
        <w:rPr>
          <w:rFonts w:ascii="宋体" w:hAnsi="宋体" w:eastAsia="宋体"/>
          <w:color w:val="000000"/>
          <w:sz w:val="21"/>
          <w:szCs w:val="21"/>
          <w:highlight w:val="none"/>
        </w:rPr>
        <w:t xml:space="preserve">15. </w:t>
      </w:r>
      <w:r>
        <w:rPr>
          <w:rFonts w:hint="eastAsia" w:ascii="宋体" w:hAnsi="宋体" w:eastAsia="宋体"/>
          <w:color w:val="000000"/>
          <w:sz w:val="21"/>
          <w:szCs w:val="21"/>
          <w:highlight w:val="none"/>
        </w:rPr>
        <w:t>变更</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126"/>
        <w:spacing w:line="360" w:lineRule="auto"/>
        <w:outlineLvl w:val="9"/>
        <w:rPr>
          <w:rFonts w:ascii="宋体" w:hAnsi="宋体" w:eastAsia="宋体"/>
          <w:color w:val="000000"/>
          <w:sz w:val="21"/>
          <w:szCs w:val="21"/>
          <w:highlight w:val="none"/>
        </w:rPr>
      </w:pPr>
      <w:bookmarkStart w:id="834" w:name="_Toc144974676"/>
      <w:bookmarkStart w:id="835" w:name="_Toc152042485"/>
      <w:bookmarkStart w:id="836" w:name="_Toc152045707"/>
      <w:bookmarkStart w:id="837" w:name="_Toc179632725"/>
      <w:bookmarkStart w:id="838" w:name="_Toc241459715"/>
      <w:bookmarkStart w:id="839" w:name="_Toc342296474"/>
      <w:bookmarkStart w:id="840" w:name="_Toc371939237"/>
      <w:bookmarkStart w:id="841" w:name="_Toc389141116"/>
      <w:bookmarkStart w:id="842" w:name="_Toc409517645"/>
      <w:bookmarkStart w:id="843" w:name="_Toc409517933"/>
      <w:bookmarkStart w:id="844" w:name="_Toc409518221"/>
      <w:bookmarkStart w:id="845" w:name="_Toc424289483"/>
      <w:bookmarkStart w:id="846" w:name="_Toc32144"/>
      <w:r>
        <w:rPr>
          <w:rFonts w:ascii="宋体" w:hAnsi="宋体" w:eastAsia="宋体"/>
          <w:color w:val="000000"/>
          <w:sz w:val="21"/>
          <w:szCs w:val="21"/>
          <w:highlight w:val="none"/>
        </w:rPr>
        <w:t xml:space="preserve">15.1 </w:t>
      </w:r>
      <w:r>
        <w:rPr>
          <w:rFonts w:hint="eastAsia" w:ascii="宋体" w:hAnsi="宋体" w:eastAsia="宋体"/>
          <w:color w:val="000000"/>
          <w:sz w:val="21"/>
          <w:szCs w:val="21"/>
          <w:highlight w:val="none"/>
        </w:rPr>
        <w:t>变更的范围和内容</w:t>
      </w:r>
      <w:bookmarkEnd w:id="834"/>
      <w:bookmarkEnd w:id="835"/>
      <w:bookmarkEnd w:id="836"/>
      <w:bookmarkEnd w:id="837"/>
      <w:bookmarkEnd w:id="838"/>
      <w:bookmarkEnd w:id="839"/>
      <w:bookmarkEnd w:id="840"/>
      <w:bookmarkEnd w:id="841"/>
      <w:bookmarkEnd w:id="842"/>
      <w:bookmarkEnd w:id="843"/>
      <w:bookmarkEnd w:id="844"/>
      <w:bookmarkEnd w:id="845"/>
      <w:bookmarkEnd w:id="846"/>
    </w:p>
    <w:p>
      <w:pPr>
        <w:spacing w:line="360" w:lineRule="auto"/>
        <w:rPr>
          <w:rFonts w:ascii="宋体" w:cs="宋体"/>
          <w:color w:val="000000"/>
          <w:szCs w:val="21"/>
          <w:highlight w:val="none"/>
          <w:u w:val="single"/>
        </w:rPr>
      </w:pPr>
      <w:r>
        <w:rPr>
          <w:rFonts w:hint="eastAsia" w:ascii="宋体" w:hAnsi="宋体" w:cs="宋体"/>
          <w:color w:val="000000"/>
          <w:szCs w:val="21"/>
          <w:highlight w:val="none"/>
        </w:rPr>
        <w:t>应当进行变更的其他情形：</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合同风险范围以外的内容为：（</w:t>
      </w:r>
      <w:r>
        <w:rPr>
          <w:rFonts w:ascii="宋体" w:hAnsi="宋体" w:cs="宋体"/>
          <w:color w:val="000000"/>
          <w:szCs w:val="21"/>
          <w:highlight w:val="none"/>
          <w:u w:val="single"/>
        </w:rPr>
        <w:t>1</w:t>
      </w:r>
      <w:r>
        <w:rPr>
          <w:rFonts w:hint="eastAsia" w:ascii="宋体" w:hAnsi="宋体" w:cs="宋体"/>
          <w:color w:val="000000"/>
          <w:szCs w:val="21"/>
          <w:highlight w:val="none"/>
          <w:u w:val="single"/>
        </w:rPr>
        <w:t>）设计变更；（</w:t>
      </w:r>
      <w:r>
        <w:rPr>
          <w:rFonts w:ascii="宋体" w:hAnsi="宋体" w:cs="宋体"/>
          <w:color w:val="000000"/>
          <w:szCs w:val="21"/>
          <w:highlight w:val="none"/>
          <w:u w:val="single"/>
        </w:rPr>
        <w:t>2</w:t>
      </w:r>
      <w:r>
        <w:rPr>
          <w:rFonts w:hint="eastAsia" w:ascii="宋体" w:hAnsi="宋体" w:cs="宋体"/>
          <w:color w:val="000000"/>
          <w:szCs w:val="21"/>
          <w:highlight w:val="none"/>
          <w:u w:val="single"/>
        </w:rPr>
        <w:t>）不可抗力；（</w:t>
      </w:r>
      <w:r>
        <w:rPr>
          <w:rFonts w:ascii="宋体" w:hAnsi="宋体" w:cs="宋体"/>
          <w:color w:val="000000"/>
          <w:szCs w:val="21"/>
          <w:highlight w:val="none"/>
          <w:u w:val="single"/>
        </w:rPr>
        <w:t>3</w:t>
      </w:r>
      <w:r>
        <w:rPr>
          <w:rFonts w:hint="eastAsia" w:ascii="宋体" w:hAnsi="宋体" w:cs="宋体"/>
          <w:color w:val="000000"/>
          <w:szCs w:val="21"/>
          <w:highlight w:val="none"/>
          <w:u w:val="single"/>
        </w:rPr>
        <w:t>）主要材料、人工及机械的价格超出约定承担风险的范围；（</w:t>
      </w:r>
      <w:r>
        <w:rPr>
          <w:rFonts w:ascii="宋体" w:hAnsi="宋体" w:cs="宋体"/>
          <w:color w:val="000000"/>
          <w:szCs w:val="21"/>
          <w:highlight w:val="none"/>
          <w:u w:val="single"/>
        </w:rPr>
        <w:t>4</w:t>
      </w:r>
      <w:r>
        <w:rPr>
          <w:rFonts w:hint="eastAsia" w:ascii="宋体" w:hAnsi="宋体" w:cs="宋体"/>
          <w:color w:val="000000"/>
          <w:szCs w:val="21"/>
          <w:highlight w:val="none"/>
          <w:u w:val="single"/>
        </w:rPr>
        <w:t>）双方约定的其他内容（国家政策明确必须调整的内容等）</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发包人违背通用合同条款</w:t>
      </w:r>
      <w:r>
        <w:rPr>
          <w:rFonts w:ascii="宋体" w:hAnsi="宋体" w:cs="宋体"/>
          <w:color w:val="000000"/>
          <w:szCs w:val="21"/>
          <w:highlight w:val="none"/>
        </w:rPr>
        <w:t>15.1</w:t>
      </w: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）目的约定，将被取消的合同中的工作转由发包人或其他人实施的，承包人可向监理人发出通知，要求发包人采取有效措施纠正违约行为，发包人在监理人收到承包人通知后</w:t>
      </w:r>
      <w:r>
        <w:rPr>
          <w:rFonts w:ascii="宋体" w:hAnsi="宋体" w:cs="宋体"/>
          <w:color w:val="000000"/>
          <w:szCs w:val="21"/>
          <w:highlight w:val="none"/>
        </w:rPr>
        <w:t>28</w:t>
      </w:r>
      <w:r>
        <w:rPr>
          <w:rFonts w:hint="eastAsia" w:ascii="宋体" w:hAnsi="宋体" w:cs="宋体"/>
          <w:color w:val="000000"/>
          <w:szCs w:val="21"/>
          <w:highlight w:val="none"/>
        </w:rPr>
        <w:t>天内仍不纠正违约行为的，应当赔偿承包人损失（包括合理的利润）并承担由此引起的其他责任。承包人应当按通用合同条款第</w:t>
      </w:r>
      <w:r>
        <w:rPr>
          <w:rFonts w:ascii="宋体" w:hAnsi="宋体" w:cs="宋体"/>
          <w:color w:val="000000"/>
          <w:szCs w:val="21"/>
          <w:highlight w:val="none"/>
        </w:rPr>
        <w:t>23.1.1</w:t>
      </w: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）目的约定，在上述</w:t>
      </w:r>
      <w:r>
        <w:rPr>
          <w:rFonts w:ascii="宋体" w:hAnsi="宋体" w:cs="宋体"/>
          <w:color w:val="000000"/>
          <w:szCs w:val="21"/>
          <w:highlight w:val="none"/>
        </w:rPr>
        <w:t>28</w:t>
      </w:r>
      <w:r>
        <w:rPr>
          <w:rFonts w:hint="eastAsia" w:ascii="宋体" w:hAnsi="宋体" w:cs="宋体"/>
          <w:color w:val="000000"/>
          <w:szCs w:val="21"/>
          <w:highlight w:val="none"/>
        </w:rPr>
        <w:t>天期限到期后的</w:t>
      </w:r>
      <w:r>
        <w:rPr>
          <w:rFonts w:ascii="宋体" w:hAnsi="宋体" w:cs="宋体"/>
          <w:color w:val="000000"/>
          <w:szCs w:val="21"/>
          <w:highlight w:val="none"/>
        </w:rPr>
        <w:t>28</w:t>
      </w:r>
      <w:r>
        <w:rPr>
          <w:rFonts w:hint="eastAsia" w:ascii="宋体" w:hAnsi="宋体" w:cs="宋体"/>
          <w:color w:val="000000"/>
          <w:szCs w:val="21"/>
          <w:highlight w:val="none"/>
        </w:rPr>
        <w:t>天内，向监理人递交索赔意向通知书</w:t>
      </w:r>
      <w:r>
        <w:rPr>
          <w:rFonts w:ascii="宋体" w:cs="宋体"/>
          <w:color w:val="000000"/>
          <w:szCs w:val="21"/>
          <w:highlight w:val="none"/>
        </w:rPr>
        <w:t>,</w:t>
      </w:r>
      <w:r>
        <w:rPr>
          <w:rFonts w:hint="eastAsia" w:ascii="宋体" w:hAnsi="宋体" w:cs="宋体"/>
          <w:color w:val="000000"/>
          <w:szCs w:val="21"/>
          <w:highlight w:val="none"/>
        </w:rPr>
        <w:t>并按通用合同条款第</w:t>
      </w:r>
      <w:r>
        <w:rPr>
          <w:rFonts w:ascii="宋体" w:hAnsi="宋体" w:cs="宋体"/>
          <w:color w:val="000000"/>
          <w:szCs w:val="21"/>
          <w:highlight w:val="none"/>
        </w:rPr>
        <w:t>23.1.1</w:t>
      </w: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目的约定，及时向监理人递交正式索赔通知书，说明有权得到的损失赔偿金额并附必要的记录和证明材料。发包人支付给承包人的损失赔偿金额应当包括被取消工作的合同价值中所包含的承包人管理费、利润以及相应的税金和规费。</w:t>
      </w:r>
    </w:p>
    <w:p>
      <w:pPr>
        <w:pStyle w:val="126"/>
        <w:spacing w:line="360" w:lineRule="auto"/>
        <w:outlineLvl w:val="9"/>
        <w:rPr>
          <w:rFonts w:ascii="宋体" w:hAnsi="宋体" w:eastAsia="宋体"/>
          <w:color w:val="000000"/>
          <w:sz w:val="21"/>
          <w:szCs w:val="21"/>
          <w:highlight w:val="none"/>
        </w:rPr>
      </w:pPr>
      <w:bookmarkStart w:id="847" w:name="_Toc144974678"/>
      <w:bookmarkStart w:id="848" w:name="_Toc152042487"/>
      <w:bookmarkStart w:id="849" w:name="_Toc152045709"/>
      <w:bookmarkStart w:id="850" w:name="_Toc179632727"/>
      <w:bookmarkStart w:id="851" w:name="_Toc241459716"/>
      <w:bookmarkStart w:id="852" w:name="_Toc342296475"/>
      <w:bookmarkStart w:id="853" w:name="_Toc371939238"/>
      <w:bookmarkStart w:id="854" w:name="_Toc389141117"/>
      <w:bookmarkStart w:id="855" w:name="_Toc409517646"/>
      <w:bookmarkStart w:id="856" w:name="_Toc409517934"/>
      <w:bookmarkStart w:id="857" w:name="_Toc409518222"/>
      <w:bookmarkStart w:id="858" w:name="_Toc424289484"/>
      <w:bookmarkStart w:id="859" w:name="_Toc19005"/>
      <w:r>
        <w:rPr>
          <w:rFonts w:ascii="宋体" w:hAnsi="宋体" w:eastAsia="宋体"/>
          <w:color w:val="000000"/>
          <w:sz w:val="21"/>
          <w:szCs w:val="21"/>
          <w:highlight w:val="none"/>
        </w:rPr>
        <w:t xml:space="preserve">15.3 </w:t>
      </w:r>
      <w:r>
        <w:rPr>
          <w:rFonts w:hint="eastAsia" w:ascii="宋体" w:hAnsi="宋体" w:eastAsia="宋体"/>
          <w:color w:val="000000"/>
          <w:sz w:val="21"/>
          <w:szCs w:val="21"/>
          <w:highlight w:val="none"/>
        </w:rPr>
        <w:t>变更程序</w:t>
      </w:r>
      <w:bookmarkEnd w:id="847"/>
      <w:bookmarkEnd w:id="848"/>
      <w:bookmarkEnd w:id="849"/>
      <w:bookmarkEnd w:id="850"/>
      <w:bookmarkEnd w:id="851"/>
      <w:bookmarkEnd w:id="852"/>
      <w:bookmarkEnd w:id="853"/>
      <w:bookmarkEnd w:id="854"/>
      <w:bookmarkEnd w:id="855"/>
      <w:bookmarkEnd w:id="856"/>
      <w:bookmarkEnd w:id="857"/>
      <w:bookmarkEnd w:id="858"/>
      <w:bookmarkEnd w:id="859"/>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15.3.2 </w:t>
      </w:r>
      <w:r>
        <w:rPr>
          <w:rFonts w:hint="eastAsia" w:ascii="宋体" w:hAnsi="宋体" w:cs="宋体"/>
          <w:color w:val="000000"/>
          <w:szCs w:val="21"/>
          <w:highlight w:val="none"/>
        </w:rPr>
        <w:t>变更估价</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）承包人提交变更报价书的期限：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承包人收到变更指示或变更意向书后的</w:t>
      </w:r>
      <w:r>
        <w:rPr>
          <w:rFonts w:ascii="宋体" w:hAnsi="宋体" w:cs="宋体"/>
          <w:color w:val="000000"/>
          <w:szCs w:val="21"/>
          <w:highlight w:val="none"/>
          <w:u w:val="single"/>
        </w:rPr>
        <w:t>14</w:t>
      </w:r>
      <w:r>
        <w:rPr>
          <w:rFonts w:hint="eastAsia" w:ascii="宋体" w:hAnsi="宋体" w:cs="宋体"/>
          <w:color w:val="000000"/>
          <w:szCs w:val="21"/>
          <w:highlight w:val="none"/>
          <w:u w:val="single"/>
        </w:rPr>
        <w:t>天内</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）监理人商定或确定变更价格的期限：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监理人收到承包人变更报价书后的</w:t>
      </w:r>
      <w:r>
        <w:rPr>
          <w:rFonts w:ascii="宋体" w:hAnsi="宋体" w:cs="宋体"/>
          <w:color w:val="000000"/>
          <w:szCs w:val="21"/>
          <w:highlight w:val="none"/>
          <w:u w:val="single"/>
        </w:rPr>
        <w:t>14</w:t>
      </w:r>
      <w:r>
        <w:rPr>
          <w:rFonts w:hint="eastAsia" w:ascii="宋体" w:hAnsi="宋体" w:cs="宋体"/>
          <w:color w:val="000000"/>
          <w:szCs w:val="21"/>
          <w:highlight w:val="none"/>
          <w:u w:val="single"/>
        </w:rPr>
        <w:t>天内</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）收到变更指示后，如承包人未在规定的期限内提交变更报价书的，监理人可自行决定是否调整合同价款以及如果监理人决定调整合同价款时，相应调整的具体金额。</w:t>
      </w:r>
    </w:p>
    <w:p>
      <w:pPr>
        <w:pStyle w:val="126"/>
        <w:spacing w:line="360" w:lineRule="auto"/>
        <w:outlineLvl w:val="9"/>
        <w:rPr>
          <w:rFonts w:ascii="宋体" w:hAnsi="宋体" w:eastAsia="宋体"/>
          <w:color w:val="000000"/>
          <w:sz w:val="21"/>
          <w:szCs w:val="21"/>
          <w:highlight w:val="none"/>
        </w:rPr>
      </w:pPr>
      <w:bookmarkStart w:id="860" w:name="_Toc144974679"/>
      <w:bookmarkStart w:id="861" w:name="_Toc152042488"/>
      <w:bookmarkStart w:id="862" w:name="_Toc152045710"/>
      <w:bookmarkStart w:id="863" w:name="_Toc179632728"/>
      <w:bookmarkStart w:id="864" w:name="_Toc241459717"/>
      <w:bookmarkStart w:id="865" w:name="_Toc342296476"/>
      <w:bookmarkStart w:id="866" w:name="_Toc371939239"/>
      <w:bookmarkStart w:id="867" w:name="_Toc389141118"/>
      <w:bookmarkStart w:id="868" w:name="_Toc409517647"/>
      <w:bookmarkStart w:id="869" w:name="_Toc409517935"/>
      <w:bookmarkStart w:id="870" w:name="_Toc409518223"/>
      <w:bookmarkStart w:id="871" w:name="_Toc424289485"/>
      <w:bookmarkStart w:id="872" w:name="_Toc2051"/>
      <w:r>
        <w:rPr>
          <w:rFonts w:ascii="宋体" w:hAnsi="宋体" w:eastAsia="宋体"/>
          <w:color w:val="000000"/>
          <w:sz w:val="21"/>
          <w:szCs w:val="21"/>
          <w:highlight w:val="none"/>
        </w:rPr>
        <w:t xml:space="preserve">15.4 </w:t>
      </w:r>
      <w:r>
        <w:rPr>
          <w:rFonts w:hint="eastAsia" w:ascii="宋体" w:hAnsi="宋体" w:eastAsia="宋体"/>
          <w:color w:val="000000"/>
          <w:sz w:val="21"/>
          <w:szCs w:val="21"/>
          <w:highlight w:val="none"/>
        </w:rPr>
        <w:t>变更的估价原则</w:t>
      </w:r>
      <w:bookmarkEnd w:id="860"/>
      <w:bookmarkEnd w:id="861"/>
      <w:bookmarkEnd w:id="862"/>
      <w:bookmarkEnd w:id="863"/>
      <w:bookmarkEnd w:id="864"/>
      <w:bookmarkEnd w:id="865"/>
      <w:bookmarkEnd w:id="866"/>
      <w:bookmarkEnd w:id="867"/>
      <w:bookmarkEnd w:id="868"/>
      <w:bookmarkEnd w:id="869"/>
      <w:bookmarkEnd w:id="870"/>
      <w:bookmarkEnd w:id="871"/>
      <w:bookmarkEnd w:id="872"/>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15.4.4 </w:t>
      </w:r>
      <w:r>
        <w:rPr>
          <w:rFonts w:hint="eastAsia" w:ascii="宋体" w:hAnsi="宋体" w:cs="宋体"/>
          <w:color w:val="000000"/>
          <w:szCs w:val="21"/>
          <w:highlight w:val="none"/>
        </w:rPr>
        <w:t>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w:t>
      </w:r>
      <w:r>
        <w:rPr>
          <w:rFonts w:ascii="宋体" w:hAnsi="宋体" w:cs="宋体"/>
          <w:color w:val="000000"/>
          <w:szCs w:val="21"/>
          <w:highlight w:val="none"/>
        </w:rPr>
        <w:t>3.5</w:t>
      </w:r>
      <w:r>
        <w:rPr>
          <w:rFonts w:hint="eastAsia" w:ascii="宋体" w:hAnsi="宋体" w:cs="宋体"/>
          <w:color w:val="000000"/>
          <w:szCs w:val="21"/>
          <w:highlight w:val="none"/>
        </w:rPr>
        <w:t>款商定或确定变更措施项目的费用。</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15.4.5 </w:t>
      </w:r>
      <w:r>
        <w:rPr>
          <w:rFonts w:hint="eastAsia" w:ascii="宋体" w:hAnsi="宋体" w:cs="宋体"/>
          <w:color w:val="000000"/>
          <w:szCs w:val="21"/>
          <w:highlight w:val="none"/>
        </w:rPr>
        <w:t>合同协议书约定采用单价合同形式时，因非承包人原因引起已标价工程量清单中列明的工程量发生增减，且单个子目工程量变化幅度在</w:t>
      </w:r>
      <w:r>
        <w:rPr>
          <w:rFonts w:ascii="宋体" w:hAnsi="宋体" w:cs="宋体"/>
          <w:color w:val="000000"/>
          <w:szCs w:val="21"/>
          <w:highlight w:val="none"/>
          <w:u w:val="single"/>
        </w:rPr>
        <w:t xml:space="preserve">15 </w:t>
      </w:r>
      <w:r>
        <w:rPr>
          <w:rFonts w:ascii="宋体" w:hAnsi="宋体" w:cs="宋体"/>
          <w:color w:val="000000"/>
          <w:szCs w:val="21"/>
          <w:highlight w:val="none"/>
        </w:rPr>
        <w:t>%</w:t>
      </w:r>
      <w:r>
        <w:rPr>
          <w:rFonts w:hint="eastAsia" w:ascii="宋体" w:hAnsi="宋体" w:cs="宋体"/>
          <w:color w:val="000000"/>
          <w:szCs w:val="21"/>
          <w:highlight w:val="none"/>
        </w:rPr>
        <w:t>以内（含）时，应执行已标价工程量清单中列明的该子目的单价；单个子目工程量变化幅度在</w:t>
      </w:r>
      <w:r>
        <w:rPr>
          <w:rFonts w:ascii="宋体" w:hAnsi="宋体" w:cs="宋体"/>
          <w:color w:val="000000"/>
          <w:szCs w:val="21"/>
          <w:highlight w:val="none"/>
          <w:u w:val="single"/>
        </w:rPr>
        <w:t xml:space="preserve">15 </w:t>
      </w:r>
      <w:r>
        <w:rPr>
          <w:rFonts w:ascii="宋体" w:hAnsi="宋体" w:cs="宋体"/>
          <w:color w:val="000000"/>
          <w:szCs w:val="21"/>
          <w:highlight w:val="none"/>
        </w:rPr>
        <w:t>%</w:t>
      </w:r>
      <w:r>
        <w:rPr>
          <w:rFonts w:hint="eastAsia" w:ascii="宋体" w:hAnsi="宋体" w:cs="宋体"/>
          <w:color w:val="000000"/>
          <w:szCs w:val="21"/>
          <w:highlight w:val="none"/>
        </w:rPr>
        <w:t>以外（不含），且导致分部分项工程费总额变化幅度超过</w:t>
      </w:r>
      <w:r>
        <w:rPr>
          <w:rFonts w:ascii="宋体" w:hAnsi="宋体" w:cs="宋体"/>
          <w:color w:val="000000"/>
          <w:szCs w:val="21"/>
          <w:highlight w:val="none"/>
          <w:u w:val="single"/>
        </w:rPr>
        <w:t xml:space="preserve">0.1 </w:t>
      </w:r>
      <w:r>
        <w:rPr>
          <w:rFonts w:ascii="宋体" w:hAnsi="宋体" w:cs="宋体"/>
          <w:color w:val="000000"/>
          <w:szCs w:val="21"/>
          <w:highlight w:val="none"/>
        </w:rPr>
        <w:t>%</w:t>
      </w:r>
      <w:r>
        <w:rPr>
          <w:rFonts w:hint="eastAsia" w:ascii="宋体" w:hAnsi="宋体" w:cs="宋体"/>
          <w:color w:val="000000"/>
          <w:szCs w:val="21"/>
          <w:highlight w:val="none"/>
        </w:rPr>
        <w:t>时，由承包人提出并由监理人按第</w:t>
      </w:r>
      <w:r>
        <w:rPr>
          <w:rFonts w:ascii="宋体" w:hAnsi="宋体" w:cs="宋体"/>
          <w:color w:val="000000"/>
          <w:szCs w:val="21"/>
          <w:highlight w:val="none"/>
        </w:rPr>
        <w:t>3.5</w:t>
      </w:r>
      <w:r>
        <w:rPr>
          <w:rFonts w:hint="eastAsia" w:ascii="宋体" w:hAnsi="宋体" w:cs="宋体"/>
          <w:color w:val="000000"/>
          <w:szCs w:val="21"/>
          <w:highlight w:val="none"/>
        </w:rPr>
        <w:t>款商定或确定新的单价，该子目按修正后的新的单价计价。</w:t>
      </w:r>
    </w:p>
    <w:p>
      <w:pPr>
        <w:spacing w:line="360" w:lineRule="auto"/>
        <w:rPr>
          <w:rFonts w:ascii="宋体" w:cs="宋体"/>
          <w:color w:val="000000"/>
          <w:szCs w:val="21"/>
          <w:highlight w:val="none"/>
        </w:rPr>
      </w:pPr>
      <w:r>
        <w:rPr>
          <w:rFonts w:ascii="宋体" w:hAnsi="宋体" w:cs="宋体"/>
          <w:color w:val="000000"/>
          <w:szCs w:val="21"/>
          <w:highlight w:val="none"/>
        </w:rPr>
        <w:t xml:space="preserve">5.4.6 </w:t>
      </w:r>
      <w:r>
        <w:rPr>
          <w:rFonts w:hint="eastAsia" w:ascii="宋体" w:hAnsi="宋体" w:cs="宋体"/>
          <w:color w:val="000000"/>
          <w:szCs w:val="21"/>
          <w:highlight w:val="none"/>
        </w:rPr>
        <w:t>因变更引起价格调整的其他处理方式：</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873" w:name="_Toc144974680"/>
      <w:bookmarkStart w:id="874" w:name="_Toc152042489"/>
      <w:bookmarkStart w:id="875" w:name="_Toc152045711"/>
      <w:bookmarkStart w:id="876" w:name="_Toc179632729"/>
      <w:bookmarkStart w:id="877" w:name="_Toc241459718"/>
      <w:bookmarkStart w:id="878" w:name="_Toc342296477"/>
      <w:bookmarkStart w:id="879" w:name="_Toc371939240"/>
      <w:bookmarkStart w:id="880" w:name="_Toc389141119"/>
      <w:bookmarkStart w:id="881" w:name="_Toc409517648"/>
      <w:bookmarkStart w:id="882" w:name="_Toc409517936"/>
      <w:bookmarkStart w:id="883" w:name="_Toc409518224"/>
      <w:bookmarkStart w:id="884" w:name="_Toc424289486"/>
      <w:bookmarkStart w:id="885" w:name="_Toc2942"/>
      <w:r>
        <w:rPr>
          <w:rFonts w:ascii="宋体" w:hAnsi="宋体" w:eastAsia="宋体"/>
          <w:color w:val="000000"/>
          <w:sz w:val="21"/>
          <w:szCs w:val="21"/>
          <w:highlight w:val="none"/>
        </w:rPr>
        <w:t xml:space="preserve">15.5 </w:t>
      </w:r>
      <w:r>
        <w:rPr>
          <w:rFonts w:hint="eastAsia" w:ascii="宋体" w:hAnsi="宋体" w:eastAsia="宋体"/>
          <w:color w:val="000000"/>
          <w:sz w:val="21"/>
          <w:szCs w:val="21"/>
          <w:highlight w:val="none"/>
        </w:rPr>
        <w:t>承包人的合理化建议</w:t>
      </w:r>
      <w:bookmarkEnd w:id="873"/>
      <w:bookmarkEnd w:id="874"/>
      <w:bookmarkEnd w:id="875"/>
      <w:bookmarkEnd w:id="876"/>
      <w:bookmarkEnd w:id="877"/>
      <w:bookmarkEnd w:id="878"/>
      <w:bookmarkEnd w:id="879"/>
      <w:bookmarkEnd w:id="880"/>
      <w:bookmarkEnd w:id="881"/>
      <w:bookmarkEnd w:id="882"/>
      <w:bookmarkEnd w:id="883"/>
      <w:bookmarkEnd w:id="884"/>
      <w:bookmarkEnd w:id="885"/>
    </w:p>
    <w:p>
      <w:pPr>
        <w:spacing w:line="360" w:lineRule="auto"/>
        <w:rPr>
          <w:rFonts w:ascii="宋体" w:cs="宋体"/>
          <w:color w:val="000000"/>
          <w:szCs w:val="21"/>
          <w:highlight w:val="none"/>
        </w:rPr>
      </w:pPr>
      <w:r>
        <w:rPr>
          <w:rFonts w:ascii="宋体" w:hAnsi="宋体" w:cs="宋体"/>
          <w:color w:val="000000"/>
          <w:szCs w:val="21"/>
          <w:highlight w:val="none"/>
        </w:rPr>
        <w:t>15.5.2</w:t>
      </w:r>
      <w:r>
        <w:rPr>
          <w:rFonts w:hint="eastAsia" w:ascii="宋体" w:hAnsi="宋体" w:cs="宋体"/>
          <w:color w:val="000000"/>
          <w:szCs w:val="21"/>
          <w:highlight w:val="none"/>
        </w:rPr>
        <w:t>对承包人提出合理化建议的奖励方法：</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无</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886" w:name="_Toc144974683"/>
      <w:bookmarkStart w:id="887" w:name="_Toc152042492"/>
      <w:bookmarkStart w:id="888" w:name="_Toc152045714"/>
      <w:bookmarkStart w:id="889" w:name="_Toc179632732"/>
      <w:bookmarkStart w:id="890" w:name="_Toc241459719"/>
      <w:bookmarkStart w:id="891" w:name="_Toc342296478"/>
      <w:bookmarkStart w:id="892" w:name="_Toc371939241"/>
      <w:bookmarkStart w:id="893" w:name="_Toc389141120"/>
      <w:bookmarkStart w:id="894" w:name="_Toc409517649"/>
      <w:bookmarkStart w:id="895" w:name="_Toc409517937"/>
      <w:bookmarkStart w:id="896" w:name="_Toc409518225"/>
      <w:bookmarkStart w:id="897" w:name="_Toc424289487"/>
      <w:bookmarkStart w:id="898" w:name="_Toc4634"/>
      <w:r>
        <w:rPr>
          <w:rFonts w:ascii="宋体" w:hAnsi="宋体" w:eastAsia="宋体"/>
          <w:color w:val="000000"/>
          <w:sz w:val="21"/>
          <w:szCs w:val="21"/>
          <w:highlight w:val="none"/>
        </w:rPr>
        <w:t xml:space="preserve">15.8 </w:t>
      </w:r>
      <w:r>
        <w:rPr>
          <w:rFonts w:hint="eastAsia" w:ascii="宋体" w:hAnsi="宋体" w:eastAsia="宋体"/>
          <w:color w:val="000000"/>
          <w:sz w:val="21"/>
          <w:szCs w:val="21"/>
          <w:highlight w:val="none"/>
        </w:rPr>
        <w:t>暂估价</w:t>
      </w:r>
      <w:bookmarkEnd w:id="886"/>
      <w:bookmarkEnd w:id="887"/>
      <w:bookmarkEnd w:id="888"/>
      <w:bookmarkEnd w:id="889"/>
      <w:bookmarkEnd w:id="890"/>
      <w:bookmarkEnd w:id="891"/>
      <w:bookmarkEnd w:id="892"/>
      <w:bookmarkEnd w:id="893"/>
      <w:bookmarkEnd w:id="894"/>
      <w:bookmarkEnd w:id="895"/>
      <w:bookmarkEnd w:id="896"/>
      <w:bookmarkEnd w:id="897"/>
      <w:bookmarkEnd w:id="898"/>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15.8.1</w:t>
      </w:r>
      <w:r>
        <w:rPr>
          <w:rFonts w:hint="eastAsia" w:ascii="宋体" w:hAnsi="宋体" w:cs="宋体"/>
          <w:color w:val="000000"/>
          <w:szCs w:val="21"/>
          <w:highlight w:val="none"/>
        </w:rPr>
        <w:t>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）在任何招标工作启动前，承包人应当提前至少</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天内给予批准或者提出修改意见。承包人应当严格按照经过发包人批准的招标工作计划开展招标工作。</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）承包人应当在发出招标公告（或者资格预审公告或者投标邀请书）、资格预审文件和招标文件前至少</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天，分别将相关文件通过监理人报请发包人审批，发包人应当在监理人收到承包人报送的相关文件后</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）如果发、承包任何一方委派评标代表，评标委员会应当由七人以上单数构成。除发包人或者承包人自愿放弃委派评标代表的权利外，招标人评标代表应当分别由发包人和承包人等额委派。</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）设有标底的，承包人应当在开标前提前</w:t>
      </w:r>
      <w:r>
        <w:rPr>
          <w:rFonts w:ascii="宋体" w:hAnsi="宋体" w:cs="宋体"/>
          <w:color w:val="000000"/>
          <w:szCs w:val="21"/>
          <w:highlight w:val="none"/>
        </w:rPr>
        <w:t>48</w:t>
      </w:r>
      <w:r>
        <w:rPr>
          <w:rFonts w:hint="eastAsia" w:ascii="宋体" w:hAnsi="宋体" w:cs="宋体"/>
          <w:color w:val="000000"/>
          <w:szCs w:val="21"/>
          <w:highlight w:val="none"/>
        </w:rPr>
        <w:t>小时将标底报发包人审核认可，发包人应当在收到承包人报送的标底后</w:t>
      </w:r>
      <w:r>
        <w:rPr>
          <w:rFonts w:ascii="宋体" w:hAnsi="宋体" w:cs="宋体"/>
          <w:color w:val="000000"/>
          <w:szCs w:val="21"/>
          <w:highlight w:val="none"/>
        </w:rPr>
        <w:t>24</w:t>
      </w:r>
      <w:r>
        <w:rPr>
          <w:rFonts w:hint="eastAsia" w:ascii="宋体" w:hAnsi="宋体" w:cs="宋体"/>
          <w:color w:val="000000"/>
          <w:szCs w:val="21"/>
          <w:highlight w:val="none"/>
        </w:rPr>
        <w:t>小时内给予批准或者提出修改意见。承包人和发包人应当共同制定标底保密措施，不得提前泄露标底。标底的最终审核和决定权属于发包人。</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）设有招标控制价的，承包人应当在招标文件发出前提前</w:t>
      </w:r>
      <w:r>
        <w:rPr>
          <w:rFonts w:ascii="宋体" w:hAnsi="宋体" w:cs="宋体"/>
          <w:color w:val="000000"/>
          <w:szCs w:val="21"/>
          <w:highlight w:val="none"/>
        </w:rPr>
        <w:t>7</w:t>
      </w:r>
      <w:r>
        <w:rPr>
          <w:rFonts w:hint="eastAsia" w:ascii="宋体" w:hAnsi="宋体" w:cs="宋体"/>
          <w:color w:val="000000"/>
          <w:szCs w:val="21"/>
          <w:highlight w:val="none"/>
        </w:rPr>
        <w:t>天将招标控制价报发包人审核认可，发包人应当在收到承包人报送的招标控制价后</w:t>
      </w:r>
      <w:r>
        <w:rPr>
          <w:rFonts w:ascii="宋体" w:hAnsi="宋体" w:cs="宋体"/>
          <w:color w:val="000000"/>
          <w:szCs w:val="21"/>
          <w:highlight w:val="none"/>
        </w:rPr>
        <w:t>72</w:t>
      </w:r>
      <w:r>
        <w:rPr>
          <w:rFonts w:hint="eastAsia" w:ascii="宋体" w:hAnsi="宋体" w:cs="宋体"/>
          <w:color w:val="000000"/>
          <w:szCs w:val="21"/>
          <w:highlight w:val="none"/>
        </w:rPr>
        <w:t>小时内给予认可或者提出修改意见。招标控制价的最终审核和决定权属于发包人，未经发包人认可，承包人不得发出招标文件。</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6</w:t>
      </w:r>
      <w:r>
        <w:rPr>
          <w:rFonts w:hint="eastAsia" w:ascii="宋体" w:hAnsi="宋体" w:cs="宋体"/>
          <w:color w:val="000000"/>
          <w:szCs w:val="21"/>
          <w:highlight w:val="none"/>
        </w:rPr>
        <w:t>）承包人在收到相关招标项目评标委员会提交的评标报告后，应当在</w:t>
      </w:r>
      <w:r>
        <w:rPr>
          <w:rFonts w:ascii="宋体" w:hAnsi="宋体" w:cs="宋体"/>
          <w:color w:val="000000"/>
          <w:szCs w:val="21"/>
          <w:highlight w:val="none"/>
        </w:rPr>
        <w:t>24</w:t>
      </w:r>
      <w:r>
        <w:rPr>
          <w:rFonts w:hint="eastAsia" w:ascii="宋体" w:hAnsi="宋体" w:cs="宋体"/>
          <w:color w:val="000000"/>
          <w:szCs w:val="21"/>
          <w:highlight w:val="none"/>
        </w:rPr>
        <w:t>小时内通过监理人转报发包人核查，发包人应当在监理人收到承包人报送的评标报告后</w:t>
      </w:r>
      <w:r>
        <w:rPr>
          <w:rFonts w:ascii="宋体" w:hAnsi="宋体" w:cs="宋体"/>
          <w:color w:val="000000"/>
          <w:szCs w:val="21"/>
          <w:highlight w:val="none"/>
        </w:rPr>
        <w:t>48</w:t>
      </w:r>
      <w:r>
        <w:rPr>
          <w:rFonts w:hint="eastAsia" w:ascii="宋体" w:hAnsi="宋体" w:cs="宋体"/>
          <w:color w:val="000000"/>
          <w:szCs w:val="21"/>
          <w:highlight w:val="none"/>
        </w:rPr>
        <w:t>小时内核查完毕，评标报告经过发包人核查认可后，承包人才可以开始后续程序，依法确定中标人并发出中标通知书。</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7</w:t>
      </w:r>
      <w:r>
        <w:rPr>
          <w:rFonts w:hint="eastAsia" w:ascii="宋体" w:hAnsi="宋体" w:cs="宋体"/>
          <w:color w:val="000000"/>
          <w:szCs w:val="21"/>
          <w:highlight w:val="none"/>
        </w:rPr>
        <w:t>）承包人与专业分包人或者专项供应商订立合同前</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天，应当将准备用于正式签订的合同文件通过监理人报发包人审核，发包人应当在监理人收到相关文件后</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天内给予批准或者提出修改意见，承包人应当按照发包人批准的合同文件签订相关合同，合同订立后</w:t>
      </w:r>
      <w:r>
        <w:rPr>
          <w:rFonts w:ascii="宋体" w:hAnsi="宋体" w:cs="宋体"/>
          <w:color w:val="000000"/>
          <w:szCs w:val="21"/>
          <w:highlight w:val="none"/>
          <w:u w:val="single"/>
        </w:rPr>
        <w:t xml:space="preserve">  /  </w:t>
      </w:r>
      <w:r>
        <w:rPr>
          <w:rFonts w:hint="eastAsia" w:ascii="宋体" w:hAnsi="宋体" w:cs="宋体"/>
          <w:color w:val="000000"/>
          <w:szCs w:val="21"/>
          <w:highlight w:val="none"/>
        </w:rPr>
        <w:t>天内，承包人应当将其中的两份副本报送监理人，其中一份由监理人报发包人留存。</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8</w:t>
      </w:r>
      <w:r>
        <w:rPr>
          <w:rFonts w:hint="eastAsia" w:ascii="宋体" w:hAnsi="宋体" w:cs="宋体"/>
          <w:color w:val="000000"/>
          <w:szCs w:val="21"/>
          <w:highlight w:val="none"/>
        </w:rPr>
        <w:t>）发包人对承包人报送文件进行审批或提出的修改意见应当合理，并符合现行有关法律法规的规定。</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9</w:t>
      </w:r>
      <w:r>
        <w:rPr>
          <w:rFonts w:hint="eastAsia" w:ascii="宋体" w:hAnsi="宋体" w:cs="宋体"/>
          <w:color w:val="000000"/>
          <w:szCs w:val="21"/>
          <w:highlight w:val="none"/>
        </w:rPr>
        <w:t>）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15.8.3</w:t>
      </w:r>
      <w:r>
        <w:rPr>
          <w:rFonts w:hint="eastAsia" w:ascii="宋体" w:hAnsi="宋体" w:cs="宋体"/>
          <w:color w:val="000000"/>
          <w:szCs w:val="21"/>
          <w:highlight w:val="none"/>
        </w:rPr>
        <w:t>发包人在工程量清单中给定暂估价的专业工程不属于依法必须招标的范围或者未达到依法必须招标的规模标准的，其最终价格的估价人为：</w:t>
      </w:r>
      <w:r>
        <w:rPr>
          <w:rFonts w:ascii="宋体" w:hAnsi="宋体" w:cs="宋体"/>
          <w:color w:val="000000"/>
          <w:szCs w:val="21"/>
          <w:highlight w:val="none"/>
          <w:u w:val="single"/>
        </w:rPr>
        <w:t xml:space="preserve">   /   </w:t>
      </w:r>
      <w:r>
        <w:rPr>
          <w:rFonts w:hint="eastAsia" w:ascii="宋体" w:hAnsi="宋体" w:cs="宋体"/>
          <w:color w:val="000000"/>
          <w:szCs w:val="21"/>
          <w:highlight w:val="none"/>
        </w:rPr>
        <w:t>或者按照下列约定：</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无</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89"/>
        <w:spacing w:before="0" w:line="360" w:lineRule="auto"/>
        <w:outlineLvl w:val="9"/>
        <w:rPr>
          <w:rFonts w:ascii="宋体" w:hAnsi="宋体" w:eastAsia="宋体"/>
          <w:color w:val="000000"/>
          <w:sz w:val="21"/>
          <w:szCs w:val="21"/>
          <w:highlight w:val="none"/>
        </w:rPr>
      </w:pPr>
      <w:bookmarkStart w:id="899" w:name="_Toc144974689"/>
      <w:bookmarkStart w:id="900" w:name="_Toc152042497"/>
      <w:bookmarkStart w:id="901" w:name="_Toc152045718"/>
      <w:bookmarkStart w:id="902" w:name="_Toc179632736"/>
      <w:bookmarkStart w:id="903" w:name="_Toc241459722"/>
      <w:bookmarkStart w:id="904" w:name="_Toc342296481"/>
      <w:bookmarkStart w:id="905" w:name="_Toc371939244"/>
      <w:bookmarkStart w:id="906" w:name="_Toc389141123"/>
      <w:bookmarkStart w:id="907" w:name="_Toc409517652"/>
      <w:bookmarkStart w:id="908" w:name="_Toc409517940"/>
      <w:bookmarkStart w:id="909" w:name="_Toc409518228"/>
      <w:bookmarkStart w:id="910" w:name="_Toc424289488"/>
      <w:bookmarkStart w:id="911" w:name="_Toc13515"/>
      <w:bookmarkStart w:id="912" w:name="_Toc681"/>
      <w:r>
        <w:rPr>
          <w:rFonts w:ascii="宋体" w:hAnsi="宋体" w:eastAsia="宋体"/>
          <w:color w:val="000000"/>
          <w:sz w:val="21"/>
          <w:szCs w:val="21"/>
          <w:highlight w:val="none"/>
        </w:rPr>
        <w:t xml:space="preserve">17 </w:t>
      </w:r>
      <w:r>
        <w:rPr>
          <w:rFonts w:hint="eastAsia" w:ascii="宋体" w:hAnsi="宋体" w:eastAsia="宋体"/>
          <w:color w:val="000000"/>
          <w:sz w:val="21"/>
          <w:szCs w:val="21"/>
          <w:highlight w:val="none"/>
        </w:rPr>
        <w:t>计量与支付</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126"/>
        <w:spacing w:line="360" w:lineRule="auto"/>
        <w:outlineLvl w:val="9"/>
        <w:rPr>
          <w:rFonts w:ascii="宋体" w:hAnsi="宋体" w:eastAsia="宋体"/>
          <w:color w:val="000000"/>
          <w:sz w:val="21"/>
          <w:szCs w:val="21"/>
          <w:highlight w:val="none"/>
        </w:rPr>
      </w:pPr>
      <w:bookmarkStart w:id="913" w:name="_Toc144974690"/>
      <w:bookmarkStart w:id="914" w:name="_Toc152042498"/>
      <w:bookmarkStart w:id="915" w:name="_Toc152045719"/>
      <w:bookmarkStart w:id="916" w:name="_Toc179632737"/>
      <w:bookmarkStart w:id="917" w:name="_Toc241459723"/>
      <w:bookmarkStart w:id="918" w:name="_Toc342296482"/>
      <w:bookmarkStart w:id="919" w:name="_Toc371939245"/>
      <w:bookmarkStart w:id="920" w:name="_Toc389141124"/>
      <w:bookmarkStart w:id="921" w:name="_Toc409517653"/>
      <w:bookmarkStart w:id="922" w:name="_Toc409517941"/>
      <w:bookmarkStart w:id="923" w:name="_Toc409518229"/>
      <w:bookmarkStart w:id="924" w:name="_Toc424289489"/>
      <w:bookmarkStart w:id="925" w:name="_Toc11291"/>
      <w:r>
        <w:rPr>
          <w:rFonts w:ascii="宋体" w:hAnsi="宋体" w:eastAsia="宋体"/>
          <w:color w:val="000000"/>
          <w:sz w:val="21"/>
          <w:szCs w:val="21"/>
          <w:highlight w:val="none"/>
        </w:rPr>
        <w:t xml:space="preserve">17.1 </w:t>
      </w:r>
      <w:r>
        <w:rPr>
          <w:rFonts w:hint="eastAsia" w:ascii="宋体" w:hAnsi="宋体" w:eastAsia="宋体"/>
          <w:color w:val="000000"/>
          <w:sz w:val="21"/>
          <w:szCs w:val="21"/>
          <w:highlight w:val="none"/>
        </w:rPr>
        <w:t>计量</w:t>
      </w:r>
      <w:bookmarkEnd w:id="913"/>
      <w:bookmarkEnd w:id="914"/>
      <w:bookmarkEnd w:id="915"/>
      <w:bookmarkEnd w:id="916"/>
      <w:bookmarkEnd w:id="917"/>
      <w:bookmarkEnd w:id="918"/>
      <w:bookmarkEnd w:id="919"/>
      <w:bookmarkEnd w:id="920"/>
      <w:bookmarkEnd w:id="921"/>
      <w:bookmarkEnd w:id="922"/>
      <w:bookmarkEnd w:id="923"/>
      <w:bookmarkEnd w:id="924"/>
      <w:bookmarkEnd w:id="925"/>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17.1.2 </w:t>
      </w:r>
      <w:r>
        <w:rPr>
          <w:rFonts w:hint="eastAsia" w:ascii="宋体" w:hAnsi="宋体" w:cs="宋体"/>
          <w:color w:val="000000"/>
          <w:szCs w:val="21"/>
          <w:highlight w:val="none"/>
        </w:rPr>
        <w:t>计量方法</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工程量计算规则执行国家标准《建设工程工程量清单计价规范》（</w:t>
      </w:r>
      <w:r>
        <w:rPr>
          <w:rFonts w:ascii="宋体" w:hAnsi="宋体" w:cs="宋体"/>
          <w:color w:val="000000"/>
          <w:szCs w:val="21"/>
          <w:highlight w:val="none"/>
        </w:rPr>
        <w:t>GB50500</w:t>
      </w:r>
      <w:r>
        <w:rPr>
          <w:rFonts w:hint="eastAsia" w:ascii="宋体" w:hAnsi="宋体" w:cs="宋体"/>
          <w:color w:val="000000"/>
          <w:szCs w:val="21"/>
          <w:highlight w:val="none"/>
        </w:rPr>
        <w:t>）或其适用的修订版本。除合同另有约定外，承包人实际完成的工程量按约定的工程量计算规则和有合同约束力的图纸进行计量。</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17.1.3 </w:t>
      </w:r>
      <w:r>
        <w:rPr>
          <w:rFonts w:hint="eastAsia" w:ascii="宋体" w:hAnsi="宋体" w:cs="宋体"/>
          <w:color w:val="000000"/>
          <w:szCs w:val="21"/>
          <w:highlight w:val="none"/>
        </w:rPr>
        <w:t>计量周期</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）本合同的计量周期为月，每月</w:t>
      </w:r>
      <w:r>
        <w:rPr>
          <w:rFonts w:ascii="宋体" w:hAnsi="宋体" w:cs="宋体"/>
          <w:color w:val="000000"/>
          <w:szCs w:val="21"/>
          <w:highlight w:val="none"/>
          <w:u w:val="single"/>
        </w:rPr>
        <w:t xml:space="preserve">25 </w:t>
      </w:r>
      <w:r>
        <w:rPr>
          <w:rFonts w:hint="eastAsia" w:ascii="宋体" w:hAnsi="宋体" w:cs="宋体"/>
          <w:color w:val="000000"/>
          <w:szCs w:val="21"/>
          <w:highlight w:val="none"/>
        </w:rPr>
        <w:t>日为当月计量截止日期（不含当日）和下月计量起始日期（含当日）。</w:t>
      </w:r>
    </w:p>
    <w:p>
      <w:pPr>
        <w:spacing w:line="360" w:lineRule="auto"/>
        <w:ind w:firstLine="420" w:firstLineChars="200"/>
        <w:rPr>
          <w:rFonts w:ascii="宋体" w:cs="宋体"/>
          <w:color w:val="000000"/>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）本合同</w:t>
      </w:r>
      <w:r>
        <w:rPr>
          <w:rFonts w:ascii="宋体" w:hAnsi="宋体" w:cs="宋体"/>
          <w:szCs w:val="21"/>
          <w:highlight w:val="none"/>
          <w:u w:val="single"/>
        </w:rPr>
        <w:t xml:space="preserve">   </w:t>
      </w:r>
      <w:r>
        <w:rPr>
          <w:rFonts w:hint="eastAsia" w:ascii="宋体" w:hAnsi="宋体" w:cs="宋体"/>
          <w:szCs w:val="21"/>
          <w:highlight w:val="none"/>
          <w:u w:val="single"/>
        </w:rPr>
        <w:t>不执行</w:t>
      </w:r>
      <w:r>
        <w:rPr>
          <w:rFonts w:ascii="宋体" w:hAnsi="宋体" w:cs="宋体"/>
          <w:szCs w:val="21"/>
          <w:highlight w:val="none"/>
          <w:u w:val="single"/>
        </w:rPr>
        <w:t xml:space="preserve">  </w:t>
      </w:r>
      <w:r>
        <w:rPr>
          <w:rFonts w:ascii="宋体" w:hAnsi="宋体" w:cs="宋体"/>
          <w:szCs w:val="21"/>
          <w:highlight w:val="none"/>
        </w:rPr>
        <w:t>(</w:t>
      </w:r>
      <w:r>
        <w:rPr>
          <w:rFonts w:hint="eastAsia" w:ascii="宋体" w:hAnsi="宋体" w:cs="宋体"/>
          <w:szCs w:val="21"/>
          <w:highlight w:val="none"/>
        </w:rPr>
        <w:t>采用单价合同形式</w:t>
      </w:r>
      <w:r>
        <w:rPr>
          <w:rFonts w:ascii="宋体" w:hAnsi="宋体" w:cs="宋体"/>
          <w:szCs w:val="21"/>
          <w:highlight w:val="none"/>
        </w:rPr>
        <w:t>)</w:t>
      </w:r>
      <w:r>
        <w:rPr>
          <w:rFonts w:hint="eastAsia" w:ascii="宋体" w:hAnsi="宋体" w:cs="宋体"/>
          <w:szCs w:val="21"/>
          <w:highlight w:val="none"/>
        </w:rPr>
        <w:t>（执行（采用单价合同形式</w:t>
      </w:r>
      <w:r>
        <w:rPr>
          <w:rFonts w:hint="eastAsia" w:ascii="宋体" w:hAnsi="宋体" w:cs="宋体"/>
          <w:color w:val="000000"/>
          <w:szCs w:val="21"/>
          <w:highlight w:val="none"/>
        </w:rPr>
        <w:t>时）</w:t>
      </w:r>
      <w:r>
        <w:rPr>
          <w:rFonts w:ascii="宋体" w:hAnsi="宋体" w:cs="宋体"/>
          <w:color w:val="000000"/>
          <w:szCs w:val="21"/>
          <w:highlight w:val="none"/>
        </w:rPr>
        <w:t>/</w:t>
      </w:r>
      <w:r>
        <w:rPr>
          <w:rFonts w:hint="eastAsia" w:ascii="宋体" w:hAnsi="宋体" w:cs="宋体"/>
          <w:color w:val="000000"/>
          <w:szCs w:val="21"/>
          <w:highlight w:val="none"/>
        </w:rPr>
        <w:t>不执行（采用总价合同形式时））通用合同条款本项约定的单价子目计量。总价子目计量方法按专用合同条款第</w:t>
      </w:r>
      <w:r>
        <w:rPr>
          <w:rFonts w:ascii="宋体" w:hAnsi="宋体" w:cs="宋体"/>
          <w:color w:val="000000"/>
          <w:szCs w:val="21"/>
          <w:highlight w:val="none"/>
        </w:rPr>
        <w:t>17.1.5</w:t>
      </w:r>
      <w:r>
        <w:rPr>
          <w:rFonts w:hint="eastAsia" w:ascii="宋体" w:hAnsi="宋体" w:cs="宋体"/>
          <w:color w:val="000000"/>
          <w:szCs w:val="21"/>
          <w:highlight w:val="none"/>
        </w:rPr>
        <w:t>项总价子目的计量</w:t>
      </w:r>
      <w:r>
        <w:rPr>
          <w:rFonts w:ascii="宋体" w:cs="宋体"/>
          <w:color w:val="000000"/>
          <w:szCs w:val="21"/>
          <w:highlight w:val="none"/>
        </w:rPr>
        <w:t>--</w:t>
      </w:r>
      <w:r>
        <w:rPr>
          <w:rFonts w:hint="eastAsia" w:ascii="宋体" w:hAnsi="宋体" w:cs="宋体"/>
          <w:color w:val="000000"/>
          <w:szCs w:val="21"/>
          <w:highlight w:val="none"/>
          <w:u w:val="single"/>
        </w:rPr>
        <w:t>按实际完成工程量计量</w:t>
      </w:r>
      <w:r>
        <w:rPr>
          <w:rFonts w:hint="eastAsia" w:ascii="宋体" w:hAnsi="宋体" w:cs="宋体"/>
          <w:color w:val="000000"/>
          <w:szCs w:val="21"/>
          <w:highlight w:val="none"/>
        </w:rPr>
        <w:t>（支付分解报告</w:t>
      </w:r>
      <w:r>
        <w:rPr>
          <w:rFonts w:ascii="宋体" w:hAnsi="宋体" w:cs="宋体"/>
          <w:color w:val="000000"/>
          <w:szCs w:val="21"/>
          <w:highlight w:val="none"/>
        </w:rPr>
        <w:t>/</w:t>
      </w:r>
      <w:r>
        <w:rPr>
          <w:rFonts w:hint="eastAsia" w:ascii="宋体" w:hAnsi="宋体" w:cs="宋体"/>
          <w:color w:val="000000"/>
          <w:szCs w:val="21"/>
          <w:highlight w:val="none"/>
        </w:rPr>
        <w:t>按实际完成工程量计量）。</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17.1.5 </w:t>
      </w:r>
      <w:r>
        <w:rPr>
          <w:rFonts w:hint="eastAsia" w:ascii="宋体" w:hAnsi="宋体" w:cs="宋体"/>
          <w:color w:val="000000"/>
          <w:szCs w:val="21"/>
          <w:highlight w:val="none"/>
        </w:rPr>
        <w:t>总价子目的计量</w:t>
      </w:r>
      <w:r>
        <w:rPr>
          <w:rFonts w:ascii="宋体" w:hAnsi="宋体" w:cs="宋体"/>
          <w:color w:val="000000"/>
          <w:szCs w:val="21"/>
          <w:highlight w:val="none"/>
        </w:rPr>
        <w:t>—</w:t>
      </w:r>
      <w:r>
        <w:rPr>
          <w:rFonts w:hint="eastAsia" w:ascii="宋体" w:hAnsi="宋体" w:cs="宋体"/>
          <w:color w:val="000000"/>
          <w:szCs w:val="21"/>
          <w:highlight w:val="none"/>
        </w:rPr>
        <w:t>支付分解报告</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总价子目按照有合同约束力的支付分解表支付。承包人应根据合同条款第</w:t>
      </w:r>
      <w:r>
        <w:rPr>
          <w:rFonts w:ascii="宋体" w:hAnsi="宋体" w:cs="宋体"/>
          <w:color w:val="000000"/>
          <w:szCs w:val="21"/>
          <w:highlight w:val="none"/>
        </w:rPr>
        <w:t>10</w:t>
      </w:r>
      <w:r>
        <w:rPr>
          <w:rFonts w:hint="eastAsia" w:ascii="宋体" w:hAnsi="宋体" w:cs="宋体"/>
          <w:color w:val="000000"/>
          <w:szCs w:val="21"/>
          <w:highlight w:val="none"/>
        </w:rPr>
        <w:t>条约定的合同进度计划和总价子目的总价构成、费用性质、计划发生时间和相应工作量等因素对各个总价子目的总价按月进行分解，形成支付分解报告。承包人应当在收到经过监理人批复的合同进度计划后</w:t>
      </w:r>
      <w:r>
        <w:rPr>
          <w:rFonts w:ascii="宋体" w:hAnsi="宋体" w:cs="宋体"/>
          <w:color w:val="000000"/>
          <w:szCs w:val="21"/>
          <w:highlight w:val="none"/>
        </w:rPr>
        <w:t>7</w:t>
      </w:r>
      <w:r>
        <w:rPr>
          <w:rFonts w:hint="eastAsia" w:ascii="宋体" w:hAnsi="宋体" w:cs="宋体"/>
          <w:color w:val="000000"/>
          <w:szCs w:val="21"/>
          <w:highlight w:val="none"/>
        </w:rPr>
        <w:t>天内，将支付分解报告以及形成支付分解报告的分项计量和总价分解等支持性资料报监理人审批，监理人应当在收到承包人报送的支付分解报告后</w:t>
      </w:r>
      <w:r>
        <w:rPr>
          <w:rFonts w:ascii="宋体" w:hAnsi="宋体" w:cs="宋体"/>
          <w:color w:val="000000"/>
          <w:szCs w:val="21"/>
          <w:highlight w:val="none"/>
        </w:rPr>
        <w:t>7</w:t>
      </w:r>
      <w:r>
        <w:rPr>
          <w:rFonts w:hint="eastAsia" w:ascii="宋体" w:hAnsi="宋体" w:cs="宋体"/>
          <w:color w:val="000000"/>
          <w:szCs w:val="21"/>
          <w:highlight w:val="none"/>
        </w:rPr>
        <w:t>天内给予批复或提出修改意见，经监理人批准的支付分解报告为有合同约束力的支付分解表。支付分解表应根据合同条款第</w:t>
      </w:r>
      <w:r>
        <w:rPr>
          <w:rFonts w:ascii="宋体" w:hAnsi="宋体" w:cs="宋体"/>
          <w:color w:val="000000"/>
          <w:szCs w:val="21"/>
          <w:highlight w:val="none"/>
        </w:rPr>
        <w:t>10.2</w:t>
      </w:r>
      <w:r>
        <w:rPr>
          <w:rFonts w:hint="eastAsia" w:ascii="宋体" w:hAnsi="宋体" w:cs="宋体"/>
          <w:color w:val="000000"/>
          <w:szCs w:val="21"/>
          <w:highlight w:val="none"/>
        </w:rPr>
        <w:t>款约定的修订合同进度计划进行修正，修正的程序和期限应当依照本项上述约定，经修正的支付分解表为有合同约束力的支付分解表。</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）总价子目的价格调整方法：</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）列入每月进度付款申请单中各总价子目的价值为有合同约束力的支付分解表中对应月份的总价子目总价值。</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）监理人根据有合同约束力的支付分解表复核列入每月进度付款申请单中的总价子目的总价值。</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）除按照第</w:t>
      </w:r>
      <w:r>
        <w:rPr>
          <w:rFonts w:ascii="宋体" w:hAnsi="宋体" w:cs="宋体"/>
          <w:color w:val="000000"/>
          <w:szCs w:val="21"/>
          <w:highlight w:val="none"/>
        </w:rPr>
        <w:t>15</w:t>
      </w:r>
      <w:r>
        <w:rPr>
          <w:rFonts w:hint="eastAsia" w:ascii="宋体" w:hAnsi="宋体" w:cs="宋体"/>
          <w:color w:val="000000"/>
          <w:szCs w:val="21"/>
          <w:highlight w:val="none"/>
        </w:rPr>
        <w:t>条约定的变更外，在竣工结算时总价子目的工程量不应当重新计量，签约合同价所基于的工程量即是用于竣工结算的最终工程量。</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16.1.5 </w:t>
      </w:r>
      <w:r>
        <w:rPr>
          <w:rFonts w:hint="eastAsia" w:ascii="宋体" w:hAnsi="宋体" w:cs="宋体"/>
          <w:color w:val="000000"/>
          <w:szCs w:val="21"/>
          <w:highlight w:val="none"/>
        </w:rPr>
        <w:t>总价子目的计量</w:t>
      </w:r>
      <w:r>
        <w:rPr>
          <w:rFonts w:ascii="宋体" w:cs="宋体"/>
          <w:color w:val="000000"/>
          <w:szCs w:val="21"/>
          <w:highlight w:val="none"/>
        </w:rPr>
        <w:t>--</w:t>
      </w:r>
      <w:r>
        <w:rPr>
          <w:rFonts w:hint="eastAsia" w:ascii="宋体" w:hAnsi="宋体" w:cs="宋体"/>
          <w:color w:val="000000"/>
          <w:szCs w:val="21"/>
          <w:highlight w:val="none"/>
        </w:rPr>
        <w:t>按实际完成工程量计量</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）总价子目的价格调整方法：</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因非承包人原因引起已标价工程量清单中某个子目工程量变化幅度超过</w:t>
      </w:r>
      <w:r>
        <w:rPr>
          <w:rFonts w:ascii="宋体" w:hAnsi="宋体" w:cs="宋体"/>
          <w:color w:val="000000"/>
          <w:szCs w:val="21"/>
          <w:highlight w:val="none"/>
          <w:u w:val="single"/>
        </w:rPr>
        <w:t>15%(</w:t>
      </w:r>
      <w:r>
        <w:rPr>
          <w:rFonts w:hint="eastAsia" w:ascii="宋体" w:hAnsi="宋体" w:cs="宋体"/>
          <w:color w:val="000000"/>
          <w:szCs w:val="21"/>
          <w:highlight w:val="none"/>
          <w:u w:val="single"/>
        </w:rPr>
        <w:t>不含</w:t>
      </w:r>
      <w:r>
        <w:rPr>
          <w:rFonts w:ascii="宋体" w:hAnsi="宋体" w:cs="宋体"/>
          <w:color w:val="000000"/>
          <w:szCs w:val="21"/>
          <w:highlight w:val="none"/>
          <w:u w:val="single"/>
        </w:rPr>
        <w:t>),</w:t>
      </w:r>
      <w:r>
        <w:rPr>
          <w:rFonts w:hint="eastAsia" w:ascii="宋体" w:hAnsi="宋体" w:cs="宋体"/>
          <w:color w:val="000000"/>
          <w:szCs w:val="21"/>
          <w:highlight w:val="none"/>
          <w:u w:val="single"/>
        </w:rPr>
        <w:t>且承包人或监理人认为该变化引起相关措施项目发生变化的</w:t>
      </w:r>
      <w:r>
        <w:rPr>
          <w:rFonts w:ascii="宋体" w:cs="宋体"/>
          <w:color w:val="000000"/>
          <w:szCs w:val="21"/>
          <w:highlight w:val="none"/>
          <w:u w:val="single"/>
        </w:rPr>
        <w:t>,</w:t>
      </w:r>
      <w:r>
        <w:rPr>
          <w:rFonts w:hint="eastAsia" w:ascii="宋体" w:hAnsi="宋体" w:cs="宋体"/>
          <w:color w:val="000000"/>
          <w:szCs w:val="21"/>
          <w:highlight w:val="none"/>
          <w:u w:val="single"/>
        </w:rPr>
        <w:t>承包人或监理人要求承包人针对措施项目的变化提交施工调整方案及价格调整报告</w:t>
      </w:r>
      <w:r>
        <w:rPr>
          <w:rFonts w:ascii="宋体" w:cs="宋体"/>
          <w:color w:val="000000"/>
          <w:szCs w:val="21"/>
          <w:highlight w:val="none"/>
          <w:u w:val="single"/>
        </w:rPr>
        <w:t>,</w:t>
      </w:r>
      <w:r>
        <w:rPr>
          <w:rFonts w:hint="eastAsia" w:ascii="宋体" w:hAnsi="宋体" w:cs="宋体"/>
          <w:color w:val="000000"/>
          <w:szCs w:val="21"/>
          <w:highlight w:val="none"/>
          <w:u w:val="single"/>
        </w:rPr>
        <w:t>监理人批准后确定需调整的措施项目价款</w:t>
      </w:r>
      <w:r>
        <w:rPr>
          <w:rFonts w:ascii="宋体" w:hAnsi="宋体" w:cs="宋体"/>
          <w:color w:val="000000"/>
          <w:szCs w:val="21"/>
          <w:highlight w:val="none"/>
          <w:u w:val="single"/>
        </w:rPr>
        <w:t xml:space="preserve">   </w:t>
      </w:r>
      <w:r>
        <w:rPr>
          <w:rFonts w:hint="eastAsia" w:ascii="宋体" w:hAnsi="宋体" w:cs="宋体"/>
          <w:color w:val="000000"/>
          <w:szCs w:val="21"/>
          <w:highlight w:val="none"/>
        </w:rPr>
        <w:t>。总价子目的计量和支付应以总价为基础，对承包人实际完成的工程量进行计量，是进行工程目标管理和控制进度款支付的依据。</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）承包人在专用合同条款第</w:t>
      </w:r>
      <w:r>
        <w:rPr>
          <w:rFonts w:ascii="宋体" w:hAnsi="宋体" w:cs="宋体"/>
          <w:color w:val="000000"/>
          <w:szCs w:val="21"/>
          <w:highlight w:val="none"/>
        </w:rPr>
        <w:t>17.1.3</w:t>
      </w: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）目约定的每月计量截止日期后，对已完成的分部分项工程和单价措施项目的子目，按照专用合同条款第</w:t>
      </w:r>
      <w:r>
        <w:rPr>
          <w:rFonts w:ascii="宋体" w:hAnsi="宋体" w:cs="宋体"/>
          <w:color w:val="000000"/>
          <w:szCs w:val="21"/>
          <w:highlight w:val="none"/>
        </w:rPr>
        <w:t>17.1.2</w:t>
      </w:r>
      <w:r>
        <w:rPr>
          <w:rFonts w:hint="eastAsia" w:ascii="宋体" w:hAnsi="宋体" w:cs="宋体"/>
          <w:color w:val="000000"/>
          <w:szCs w:val="21"/>
          <w:highlight w:val="none"/>
        </w:rPr>
        <w:t>项约定的计量方法进行计量，对已完成的总价措施项目的相关子目，按其总价构成、费用性质和实际发生比例进行计量，向监理人提交进度付款申请单、已完成工程量报表和有关计量资料。</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）监理人应在收到承包人提交的工程量报表后的</w:t>
      </w:r>
      <w:r>
        <w:rPr>
          <w:rFonts w:ascii="宋体" w:hAnsi="宋体" w:cs="宋体"/>
          <w:color w:val="000000"/>
          <w:szCs w:val="21"/>
          <w:highlight w:val="none"/>
        </w:rPr>
        <w:t>7</w:t>
      </w:r>
      <w:r>
        <w:rPr>
          <w:rFonts w:hint="eastAsia" w:ascii="宋体" w:hAnsi="宋体" w:cs="宋体"/>
          <w:color w:val="000000"/>
          <w:szCs w:val="21"/>
          <w:highlight w:val="none"/>
        </w:rPr>
        <w:t>天内进行复核，监理人未在约定时间内复核的，承包人提交的工程量报表中的工程量视为承包人实际完成的工程量，据此计算工程价款。</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）除按照第</w:t>
      </w:r>
      <w:r>
        <w:rPr>
          <w:rFonts w:ascii="宋体" w:hAnsi="宋体" w:cs="宋体"/>
          <w:color w:val="000000"/>
          <w:szCs w:val="21"/>
          <w:highlight w:val="none"/>
        </w:rPr>
        <w:t>15</w:t>
      </w:r>
      <w:r>
        <w:rPr>
          <w:rFonts w:hint="eastAsia" w:ascii="宋体" w:hAnsi="宋体" w:cs="宋体"/>
          <w:color w:val="000000"/>
          <w:szCs w:val="21"/>
          <w:highlight w:val="none"/>
        </w:rPr>
        <w:t>条约定的变更外，在竣工结算时总价子目的工程量不应当重新计量，签约合同价所基于的工程量即是用于竣工结算的最终工程量。</w:t>
      </w:r>
    </w:p>
    <w:p>
      <w:pPr>
        <w:pStyle w:val="126"/>
        <w:spacing w:line="360" w:lineRule="auto"/>
        <w:outlineLvl w:val="9"/>
        <w:rPr>
          <w:rFonts w:ascii="宋体" w:hAnsi="宋体" w:eastAsia="宋体"/>
          <w:color w:val="000000"/>
          <w:sz w:val="21"/>
          <w:szCs w:val="21"/>
          <w:highlight w:val="none"/>
        </w:rPr>
      </w:pPr>
      <w:r>
        <w:rPr>
          <w:rFonts w:ascii="宋体" w:hAnsi="宋体" w:eastAsia="宋体"/>
          <w:color w:val="000000"/>
          <w:sz w:val="21"/>
          <w:szCs w:val="21"/>
          <w:highlight w:val="none"/>
        </w:rPr>
        <w:t>17.2</w:t>
      </w:r>
      <w:r>
        <w:rPr>
          <w:rFonts w:hint="eastAsia" w:ascii="宋体" w:hAnsi="宋体" w:eastAsia="宋体"/>
          <w:color w:val="000000"/>
          <w:sz w:val="21"/>
          <w:szCs w:val="21"/>
          <w:highlight w:val="none"/>
        </w:rPr>
        <w:t>付款方式</w:t>
      </w:r>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 xml:space="preserve">17.2.1 </w:t>
      </w:r>
      <w:r>
        <w:rPr>
          <w:rFonts w:hint="eastAsia" w:ascii="宋体" w:hAnsi="宋体" w:cs="宋体"/>
          <w:color w:val="000000"/>
          <w:szCs w:val="21"/>
          <w:highlight w:val="none"/>
        </w:rPr>
        <w:t>预付款</w:t>
      </w:r>
      <w:r>
        <w:rPr>
          <w:rFonts w:ascii="宋体" w:cs="宋体"/>
          <w:color w:val="000000"/>
          <w:szCs w:val="21"/>
          <w:highlight w:val="none"/>
        </w:rPr>
        <w:br w:type="textWrapping"/>
      </w:r>
      <w:r>
        <w:rPr>
          <w:rFonts w:hint="eastAsia" w:ascii="宋体" w:hAnsi="宋体" w:cs="宋体"/>
          <w:color w:val="000000"/>
          <w:szCs w:val="21"/>
          <w:highlight w:val="none"/>
        </w:rPr>
        <w:t>　　合同生效后经承包方书面申请，并提供增值税发票等相关支付凭证后，支付合同总价的</w:t>
      </w:r>
      <w:r>
        <w:rPr>
          <w:rFonts w:ascii="宋体" w:hAnsi="宋体" w:cs="宋体"/>
          <w:color w:val="000000"/>
          <w:szCs w:val="21"/>
          <w:highlight w:val="none"/>
        </w:rPr>
        <w:t>30%</w:t>
      </w:r>
      <w:r>
        <w:rPr>
          <w:rFonts w:hint="eastAsia" w:ascii="宋体" w:hAnsi="宋体" w:cs="宋体"/>
          <w:color w:val="000000"/>
          <w:szCs w:val="21"/>
          <w:highlight w:val="none"/>
        </w:rPr>
        <w:t>。</w:t>
      </w:r>
    </w:p>
    <w:p>
      <w:pPr>
        <w:spacing w:line="360" w:lineRule="auto"/>
        <w:ind w:firstLine="420" w:firstLineChars="200"/>
        <w:rPr>
          <w:rFonts w:ascii="宋体" w:hAnsi="宋体" w:cs="宋体"/>
          <w:color w:val="000000"/>
          <w:szCs w:val="21"/>
          <w:highlight w:val="none"/>
          <w:u w:val="single"/>
        </w:rPr>
      </w:pPr>
      <w:r>
        <w:rPr>
          <w:rFonts w:ascii="宋体" w:hAnsi="宋体" w:cs="宋体"/>
          <w:color w:val="000000"/>
          <w:szCs w:val="21"/>
          <w:highlight w:val="none"/>
        </w:rPr>
        <w:t xml:space="preserve">17.2.3 </w:t>
      </w:r>
      <w:r>
        <w:rPr>
          <w:rFonts w:hint="eastAsia" w:ascii="宋体" w:hAnsi="宋体" w:cs="宋体"/>
          <w:color w:val="000000"/>
          <w:szCs w:val="21"/>
          <w:highlight w:val="none"/>
        </w:rPr>
        <w:t>预付款的扣回与还清：</w:t>
      </w:r>
      <w:r>
        <w:rPr>
          <w:rFonts w:ascii="宋体" w:hAnsi="宋体" w:cs="宋体"/>
          <w:color w:val="000000"/>
          <w:szCs w:val="21"/>
          <w:highlight w:val="none"/>
          <w:u w:val="single"/>
        </w:rPr>
        <w:t xml:space="preserve">  /    </w:t>
      </w:r>
    </w:p>
    <w:p>
      <w:pPr>
        <w:pStyle w:val="126"/>
        <w:spacing w:line="360" w:lineRule="auto"/>
        <w:outlineLvl w:val="9"/>
        <w:rPr>
          <w:rFonts w:ascii="宋体" w:hAnsi="宋体" w:eastAsia="宋体"/>
          <w:color w:val="000000"/>
          <w:sz w:val="21"/>
          <w:szCs w:val="21"/>
          <w:highlight w:val="none"/>
        </w:rPr>
      </w:pPr>
      <w:bookmarkStart w:id="926" w:name="_Toc424199892"/>
      <w:bookmarkStart w:id="927" w:name="_Toc5459"/>
      <w:bookmarkStart w:id="928" w:name="_Toc424289491"/>
      <w:bookmarkStart w:id="929" w:name="_Toc424200230"/>
      <w:r>
        <w:rPr>
          <w:rFonts w:ascii="宋体" w:hAnsi="宋体" w:eastAsia="宋体"/>
          <w:color w:val="000000"/>
          <w:sz w:val="21"/>
          <w:szCs w:val="21"/>
          <w:highlight w:val="none"/>
        </w:rPr>
        <w:t xml:space="preserve">17.3 </w:t>
      </w:r>
      <w:r>
        <w:rPr>
          <w:rFonts w:hint="eastAsia" w:ascii="宋体" w:hAnsi="宋体" w:eastAsia="宋体"/>
          <w:color w:val="000000"/>
          <w:sz w:val="21"/>
          <w:szCs w:val="21"/>
          <w:highlight w:val="none"/>
        </w:rPr>
        <w:t>工程进度付款</w:t>
      </w:r>
      <w:bookmarkEnd w:id="926"/>
      <w:bookmarkEnd w:id="927"/>
      <w:bookmarkEnd w:id="928"/>
      <w:bookmarkEnd w:id="929"/>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工程进展过半时，经承包方书面申请，并提供增值税发票等相关支付凭证后，支付至合同总价的</w:t>
      </w:r>
      <w:r>
        <w:rPr>
          <w:rFonts w:ascii="宋体" w:hAnsi="宋体" w:cs="宋体"/>
          <w:color w:val="000000"/>
          <w:szCs w:val="21"/>
          <w:highlight w:val="none"/>
        </w:rPr>
        <w:t>50%</w:t>
      </w:r>
      <w:r>
        <w:rPr>
          <w:rFonts w:hint="eastAsia" w:ascii="宋体" w:hAnsi="宋体" w:cs="宋体"/>
          <w:color w:val="000000"/>
          <w:szCs w:val="21"/>
          <w:highlight w:val="none"/>
        </w:rPr>
        <w:t>，工程竣工验收合格，通过并经发包方审计后，支付至审定金额的</w:t>
      </w:r>
      <w:r>
        <w:rPr>
          <w:rFonts w:ascii="宋体" w:hAnsi="宋体" w:cs="宋体"/>
          <w:color w:val="000000"/>
          <w:szCs w:val="21"/>
          <w:highlight w:val="none"/>
        </w:rPr>
        <w:t>97%</w:t>
      </w:r>
      <w:r>
        <w:rPr>
          <w:rFonts w:hint="eastAsia" w:ascii="宋体" w:hAnsi="宋体" w:cs="宋体"/>
          <w:color w:val="000000"/>
          <w:szCs w:val="21"/>
          <w:highlight w:val="none"/>
        </w:rPr>
        <w:t>，审定工程款金额的</w:t>
      </w:r>
      <w:r>
        <w:rPr>
          <w:rFonts w:ascii="宋体" w:hAnsi="宋体" w:cs="宋体"/>
          <w:color w:val="000000"/>
          <w:szCs w:val="21"/>
          <w:highlight w:val="none"/>
        </w:rPr>
        <w:t>3%</w:t>
      </w:r>
      <w:r>
        <w:rPr>
          <w:rFonts w:hint="eastAsia" w:ascii="宋体" w:hAnsi="宋体" w:cs="宋体"/>
          <w:color w:val="000000"/>
          <w:szCs w:val="21"/>
          <w:highlight w:val="none"/>
        </w:rPr>
        <w:t>为质量保证金，本工程缺陷责任期为一年，在缺陷责任期满后且无质量问题，经承包方书面申请后，发包方一次性将质保金无息支付给承包方。</w:t>
      </w:r>
    </w:p>
    <w:p>
      <w:pPr>
        <w:pStyle w:val="126"/>
        <w:spacing w:line="360" w:lineRule="auto"/>
        <w:rPr>
          <w:rFonts w:ascii="宋体" w:hAnsi="宋体" w:eastAsia="宋体"/>
          <w:color w:val="000000"/>
          <w:sz w:val="21"/>
          <w:szCs w:val="21"/>
          <w:highlight w:val="none"/>
        </w:rPr>
      </w:pPr>
      <w:r>
        <w:rPr>
          <w:rFonts w:ascii="宋体" w:hAnsi="宋体" w:eastAsia="宋体"/>
          <w:color w:val="000000"/>
          <w:sz w:val="21"/>
          <w:szCs w:val="21"/>
          <w:highlight w:val="none"/>
        </w:rPr>
        <w:t>17.4</w:t>
      </w:r>
      <w:r>
        <w:rPr>
          <w:rFonts w:hint="eastAsia" w:ascii="宋体" w:hAnsi="宋体" w:eastAsia="宋体"/>
          <w:color w:val="000000"/>
          <w:sz w:val="21"/>
          <w:szCs w:val="21"/>
          <w:highlight w:val="none"/>
        </w:rPr>
        <w:t>履约担保的格式和金额</w:t>
      </w:r>
    </w:p>
    <w:p>
      <w:pPr>
        <w:pStyle w:val="126"/>
        <w:spacing w:line="360" w:lineRule="auto"/>
        <w:ind w:firstLine="420" w:firstLineChars="200"/>
        <w:rPr>
          <w:rFonts w:ascii="宋体" w:hAnsi="宋体" w:eastAsia="宋体"/>
          <w:color w:val="000000"/>
          <w:sz w:val="21"/>
          <w:szCs w:val="21"/>
          <w:highlight w:val="none"/>
        </w:rPr>
      </w:pPr>
      <w:r>
        <w:rPr>
          <w:rFonts w:hint="eastAsia" w:ascii="宋体" w:hAnsi="宋体" w:eastAsia="宋体"/>
          <w:color w:val="000000"/>
          <w:sz w:val="21"/>
          <w:szCs w:val="21"/>
          <w:highlight w:val="none"/>
        </w:rPr>
        <w:t>承包人应在签订合同前，按照发包人在招标文件中规定的格式或者其他经过发包人认可的格式向发包人递交一份履约担保。经过发包人事先书</w:t>
      </w:r>
      <w:r>
        <w:rPr>
          <w:rFonts w:hint="eastAsia" w:ascii="宋体" w:hAnsi="宋体" w:eastAsia="宋体"/>
          <w:color w:val="000000"/>
          <w:sz w:val="21"/>
          <w:szCs w:val="21"/>
          <w:highlight w:val="none"/>
        </w:rPr>
        <w:t>面认可的其他格式的履约担保，其担保条款的实质性内容应当与发包人在招标文件中规定的格式内容保持一致。履约担保的金额为</w:t>
      </w:r>
      <w:r>
        <w:rPr>
          <w:rFonts w:ascii="宋体" w:hAnsi="宋体" w:eastAsia="宋体"/>
          <w:color w:val="000000"/>
          <w:sz w:val="21"/>
          <w:szCs w:val="21"/>
          <w:highlight w:val="none"/>
          <w:u w:val="single"/>
        </w:rPr>
        <w:t xml:space="preserve"> 5% </w:t>
      </w:r>
      <w:r>
        <w:rPr>
          <w:rFonts w:hint="eastAsia" w:ascii="宋体" w:hAnsi="宋体" w:eastAsia="宋体"/>
          <w:color w:val="000000"/>
          <w:sz w:val="21"/>
          <w:szCs w:val="21"/>
          <w:highlight w:val="none"/>
        </w:rPr>
        <w:t>。履约担保是本合同的附件</w:t>
      </w:r>
      <w:r>
        <w:rPr>
          <w:rFonts w:hint="eastAsia" w:ascii="宋体" w:hAnsi="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930" w:name="_Toc144974699"/>
      <w:bookmarkStart w:id="931" w:name="_Toc152042507"/>
      <w:bookmarkStart w:id="932" w:name="_Toc152045728"/>
      <w:bookmarkStart w:id="933" w:name="_Toc179632746"/>
      <w:bookmarkStart w:id="934" w:name="_Toc241459731"/>
      <w:bookmarkStart w:id="935" w:name="_Toc342296490"/>
      <w:bookmarkStart w:id="936" w:name="_Toc371939252"/>
      <w:bookmarkStart w:id="937" w:name="_Toc389141131"/>
      <w:bookmarkStart w:id="938" w:name="_Toc409517661"/>
      <w:bookmarkStart w:id="939" w:name="_Toc409517949"/>
      <w:bookmarkStart w:id="940" w:name="_Toc409518237"/>
      <w:bookmarkStart w:id="941" w:name="_Toc424289492"/>
      <w:bookmarkStart w:id="942" w:name="_Toc30061"/>
      <w:r>
        <w:rPr>
          <w:rFonts w:ascii="宋体" w:hAnsi="宋体" w:eastAsia="宋体"/>
          <w:color w:val="000000"/>
          <w:sz w:val="21"/>
          <w:szCs w:val="21"/>
          <w:highlight w:val="none"/>
        </w:rPr>
        <w:t xml:space="preserve">18.3 </w:t>
      </w:r>
      <w:r>
        <w:rPr>
          <w:rFonts w:hint="eastAsia" w:ascii="宋体" w:hAnsi="宋体" w:eastAsia="宋体"/>
          <w:color w:val="000000"/>
          <w:sz w:val="21"/>
          <w:szCs w:val="21"/>
          <w:highlight w:val="none"/>
        </w:rPr>
        <w:t>验</w:t>
      </w:r>
      <w:r>
        <w:rPr>
          <w:rFonts w:ascii="宋体" w:hAnsi="宋体" w:eastAsia="宋体"/>
          <w:color w:val="000000"/>
          <w:sz w:val="21"/>
          <w:szCs w:val="21"/>
          <w:highlight w:val="none"/>
        </w:rPr>
        <w:t xml:space="preserve"> </w:t>
      </w:r>
      <w:r>
        <w:rPr>
          <w:rFonts w:hint="eastAsia" w:ascii="宋体" w:hAnsi="宋体" w:eastAsia="宋体"/>
          <w:color w:val="000000"/>
          <w:sz w:val="21"/>
          <w:szCs w:val="21"/>
          <w:highlight w:val="none"/>
        </w:rPr>
        <w:t>收</w:t>
      </w:r>
      <w:bookmarkEnd w:id="930"/>
      <w:bookmarkEnd w:id="931"/>
      <w:bookmarkEnd w:id="932"/>
      <w:bookmarkEnd w:id="933"/>
      <w:bookmarkEnd w:id="934"/>
      <w:bookmarkEnd w:id="935"/>
      <w:bookmarkEnd w:id="936"/>
      <w:bookmarkEnd w:id="937"/>
      <w:bookmarkEnd w:id="938"/>
      <w:bookmarkEnd w:id="939"/>
      <w:bookmarkEnd w:id="940"/>
      <w:bookmarkEnd w:id="941"/>
      <w:bookmarkEnd w:id="942"/>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18.3.5</w:t>
      </w:r>
      <w:r>
        <w:rPr>
          <w:rFonts w:hint="eastAsia" w:ascii="宋体" w:hAnsi="宋体" w:cs="宋体"/>
          <w:color w:val="000000"/>
          <w:szCs w:val="21"/>
          <w:highlight w:val="none"/>
        </w:rPr>
        <w:t>经验收合格的工程</w:t>
      </w:r>
      <w:r>
        <w:rPr>
          <w:rFonts w:ascii="宋体" w:hAnsi="宋体" w:cs="宋体"/>
          <w:color w:val="000000"/>
          <w:szCs w:val="21"/>
          <w:highlight w:val="none"/>
        </w:rPr>
        <w:t xml:space="preserve">, </w:t>
      </w:r>
      <w:r>
        <w:rPr>
          <w:rFonts w:hint="eastAsia" w:ascii="宋体" w:hAnsi="宋体" w:cs="宋体"/>
          <w:color w:val="000000"/>
          <w:szCs w:val="21"/>
          <w:highlight w:val="none"/>
        </w:rPr>
        <w:t>实际竣工日期为承包人按照第</w:t>
      </w:r>
      <w:r>
        <w:rPr>
          <w:rFonts w:ascii="宋体" w:hAnsi="宋体" w:cs="宋体"/>
          <w:color w:val="000000"/>
          <w:szCs w:val="21"/>
          <w:highlight w:val="none"/>
        </w:rPr>
        <w:t>18.2</w:t>
      </w:r>
      <w:r>
        <w:rPr>
          <w:rFonts w:hint="eastAsia" w:ascii="宋体" w:hAnsi="宋体" w:cs="宋体"/>
          <w:color w:val="000000"/>
          <w:szCs w:val="21"/>
          <w:highlight w:val="none"/>
        </w:rPr>
        <w:t>款提交竣工验收申请报告或按照本款重新提交竣工验收申请报告的日期（以两者中时间在后者为准）。</w:t>
      </w:r>
    </w:p>
    <w:p>
      <w:pPr>
        <w:pStyle w:val="126"/>
        <w:spacing w:line="360" w:lineRule="auto"/>
        <w:outlineLvl w:val="9"/>
        <w:rPr>
          <w:rFonts w:ascii="宋体" w:hAnsi="宋体" w:eastAsia="宋体"/>
          <w:color w:val="000000"/>
          <w:sz w:val="21"/>
          <w:szCs w:val="21"/>
          <w:highlight w:val="none"/>
        </w:rPr>
      </w:pPr>
      <w:bookmarkStart w:id="943" w:name="_Toc144974701"/>
      <w:bookmarkStart w:id="944" w:name="_Toc152042509"/>
      <w:bookmarkStart w:id="945" w:name="_Toc152045730"/>
      <w:bookmarkStart w:id="946" w:name="_Toc179632748"/>
      <w:bookmarkStart w:id="947" w:name="_Toc241459732"/>
      <w:bookmarkStart w:id="948" w:name="_Toc342296491"/>
      <w:bookmarkStart w:id="949" w:name="_Toc371939253"/>
      <w:bookmarkStart w:id="950" w:name="_Toc389141132"/>
      <w:bookmarkStart w:id="951" w:name="_Toc409517662"/>
      <w:bookmarkStart w:id="952" w:name="_Toc409517950"/>
      <w:bookmarkStart w:id="953" w:name="_Toc409518238"/>
      <w:bookmarkStart w:id="954" w:name="_Toc424289493"/>
      <w:bookmarkStart w:id="955" w:name="_Toc15239"/>
      <w:r>
        <w:rPr>
          <w:rFonts w:ascii="宋体" w:hAnsi="宋体" w:eastAsia="宋体"/>
          <w:color w:val="000000"/>
          <w:sz w:val="21"/>
          <w:szCs w:val="21"/>
          <w:highlight w:val="none"/>
        </w:rPr>
        <w:t xml:space="preserve">18.5 </w:t>
      </w:r>
      <w:r>
        <w:rPr>
          <w:rFonts w:hint="eastAsia" w:ascii="宋体" w:hAnsi="宋体" w:eastAsia="宋体"/>
          <w:color w:val="000000"/>
          <w:sz w:val="21"/>
          <w:szCs w:val="21"/>
          <w:highlight w:val="none"/>
        </w:rPr>
        <w:t>施工期运行</w:t>
      </w:r>
      <w:bookmarkEnd w:id="943"/>
      <w:bookmarkEnd w:id="944"/>
      <w:bookmarkEnd w:id="945"/>
      <w:bookmarkEnd w:id="946"/>
      <w:bookmarkEnd w:id="947"/>
      <w:bookmarkEnd w:id="948"/>
      <w:bookmarkEnd w:id="949"/>
      <w:bookmarkEnd w:id="950"/>
      <w:bookmarkEnd w:id="951"/>
      <w:bookmarkEnd w:id="952"/>
      <w:bookmarkEnd w:id="953"/>
      <w:bookmarkEnd w:id="954"/>
      <w:bookmarkEnd w:id="955"/>
    </w:p>
    <w:p>
      <w:pPr>
        <w:spacing w:line="360" w:lineRule="auto"/>
        <w:ind w:firstLine="420" w:firstLineChars="200"/>
        <w:rPr>
          <w:rFonts w:ascii="宋体" w:cs="宋体"/>
          <w:color w:val="000000"/>
          <w:szCs w:val="21"/>
          <w:highlight w:val="none"/>
          <w:u w:val="single"/>
        </w:rPr>
      </w:pPr>
      <w:bookmarkStart w:id="956" w:name="_Toc144974702"/>
      <w:bookmarkStart w:id="957" w:name="_Toc152042510"/>
      <w:bookmarkStart w:id="958" w:name="_Toc152045731"/>
      <w:bookmarkStart w:id="959" w:name="_Toc179632749"/>
      <w:r>
        <w:rPr>
          <w:rFonts w:ascii="宋体" w:hAnsi="宋体" w:cs="宋体"/>
          <w:color w:val="000000"/>
          <w:szCs w:val="21"/>
          <w:highlight w:val="none"/>
        </w:rPr>
        <w:t>18.5.1</w:t>
      </w:r>
      <w:r>
        <w:rPr>
          <w:rFonts w:hint="eastAsia" w:ascii="宋体" w:hAnsi="宋体" w:cs="宋体"/>
          <w:color w:val="000000"/>
          <w:szCs w:val="21"/>
          <w:highlight w:val="none"/>
        </w:rPr>
        <w:t>需要施工期运行的单位工程或设备安装工程：</w:t>
      </w:r>
      <w:r>
        <w:rPr>
          <w:rFonts w:hint="eastAsia" w:ascii="宋体" w:hAnsi="宋体" w:cs="宋体"/>
          <w:color w:val="000000"/>
          <w:szCs w:val="21"/>
          <w:highlight w:val="none"/>
          <w:u w:val="single"/>
        </w:rPr>
        <w:t>发包人根据工程实际情况另行安排</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960" w:name="_Toc241459733"/>
      <w:bookmarkStart w:id="961" w:name="_Toc342296492"/>
      <w:bookmarkStart w:id="962" w:name="_Toc371939254"/>
      <w:bookmarkStart w:id="963" w:name="_Toc389141133"/>
      <w:bookmarkStart w:id="964" w:name="_Toc409517663"/>
      <w:bookmarkStart w:id="965" w:name="_Toc409517951"/>
      <w:bookmarkStart w:id="966" w:name="_Toc409518239"/>
      <w:bookmarkStart w:id="967" w:name="_Toc424289494"/>
      <w:bookmarkStart w:id="968" w:name="_Toc11314"/>
      <w:r>
        <w:rPr>
          <w:rFonts w:ascii="宋体" w:hAnsi="宋体" w:eastAsia="宋体"/>
          <w:color w:val="000000"/>
          <w:sz w:val="21"/>
          <w:szCs w:val="21"/>
          <w:highlight w:val="none"/>
        </w:rPr>
        <w:t xml:space="preserve">18.6 </w:t>
      </w:r>
      <w:r>
        <w:rPr>
          <w:rFonts w:hint="eastAsia" w:ascii="宋体" w:hAnsi="宋体" w:eastAsia="宋体"/>
          <w:color w:val="000000"/>
          <w:sz w:val="21"/>
          <w:szCs w:val="21"/>
          <w:highlight w:val="none"/>
        </w:rPr>
        <w:t>试运行</w:t>
      </w:r>
      <w:bookmarkEnd w:id="956"/>
      <w:bookmarkEnd w:id="957"/>
      <w:bookmarkEnd w:id="958"/>
      <w:bookmarkEnd w:id="959"/>
      <w:bookmarkEnd w:id="960"/>
      <w:bookmarkEnd w:id="961"/>
      <w:bookmarkEnd w:id="962"/>
      <w:bookmarkEnd w:id="963"/>
      <w:bookmarkEnd w:id="964"/>
      <w:bookmarkEnd w:id="965"/>
      <w:bookmarkEnd w:id="966"/>
      <w:bookmarkEnd w:id="967"/>
      <w:bookmarkEnd w:id="968"/>
    </w:p>
    <w:p>
      <w:pPr>
        <w:spacing w:line="360" w:lineRule="auto"/>
        <w:ind w:firstLine="420" w:firstLineChars="200"/>
        <w:rPr>
          <w:rFonts w:ascii="宋体" w:cs="宋体"/>
          <w:color w:val="000000"/>
          <w:szCs w:val="21"/>
          <w:highlight w:val="none"/>
        </w:rPr>
      </w:pPr>
      <w:bookmarkStart w:id="969" w:name="_Toc144974703"/>
      <w:bookmarkStart w:id="970" w:name="_Toc152042511"/>
      <w:bookmarkStart w:id="971" w:name="_Toc152045732"/>
      <w:bookmarkStart w:id="972" w:name="_Toc179632750"/>
      <w:r>
        <w:rPr>
          <w:rFonts w:ascii="宋体" w:hAnsi="宋体" w:cs="宋体"/>
          <w:color w:val="000000"/>
          <w:szCs w:val="21"/>
          <w:highlight w:val="none"/>
        </w:rPr>
        <w:t>18.6.1</w:t>
      </w:r>
      <w:r>
        <w:rPr>
          <w:rFonts w:hint="eastAsia" w:ascii="宋体" w:hAnsi="宋体" w:cs="宋体"/>
          <w:color w:val="000000"/>
          <w:szCs w:val="21"/>
          <w:highlight w:val="none"/>
        </w:rPr>
        <w:t>工程及工程设备试运行的组织与费用承担</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）工程设备安装具备单机无负荷试运行条件，由承包人组织试运行，费用由承包人承担。</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w:t>
      </w:r>
      <w:r>
        <w:rPr>
          <w:rFonts w:ascii="宋体" w:hAnsi="宋体" w:cs="宋体"/>
          <w:color w:val="000000"/>
          <w:szCs w:val="21"/>
          <w:highlight w:val="none"/>
        </w:rPr>
        <w:t xml:space="preserve"> </w:t>
      </w:r>
      <w:r>
        <w:rPr>
          <w:rFonts w:hint="eastAsia" w:ascii="宋体" w:hAnsi="宋体" w:cs="宋体"/>
          <w:color w:val="000000"/>
          <w:szCs w:val="21"/>
          <w:highlight w:val="none"/>
        </w:rPr>
        <w:t>工程设备安装具备无负荷联动试运行条件，由发包人组织试运行，费用由发包人承担。</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）投料试运行应在工程竣工验收后由发包人负责，如发包人要求在工程竣工验收前进行或需要承包人配合时，应征得承包人同意，另行签订补充协议。</w:t>
      </w:r>
    </w:p>
    <w:p>
      <w:pPr>
        <w:pStyle w:val="126"/>
        <w:spacing w:line="360" w:lineRule="auto"/>
        <w:outlineLvl w:val="9"/>
        <w:rPr>
          <w:rFonts w:ascii="宋体" w:hAnsi="宋体" w:eastAsia="宋体"/>
          <w:color w:val="000000"/>
          <w:sz w:val="21"/>
          <w:szCs w:val="21"/>
          <w:highlight w:val="none"/>
        </w:rPr>
      </w:pPr>
      <w:bookmarkStart w:id="973" w:name="_Toc241459734"/>
      <w:bookmarkStart w:id="974" w:name="_Toc342296493"/>
      <w:bookmarkStart w:id="975" w:name="_Toc371939255"/>
      <w:bookmarkStart w:id="976" w:name="_Toc389141134"/>
      <w:bookmarkStart w:id="977" w:name="_Toc409517664"/>
      <w:bookmarkStart w:id="978" w:name="_Toc409517952"/>
      <w:bookmarkStart w:id="979" w:name="_Toc409518240"/>
      <w:bookmarkStart w:id="980" w:name="_Toc424289495"/>
      <w:bookmarkStart w:id="981" w:name="_Toc28343"/>
      <w:r>
        <w:rPr>
          <w:rFonts w:ascii="宋体" w:hAnsi="宋体" w:eastAsia="宋体"/>
          <w:color w:val="000000"/>
          <w:sz w:val="21"/>
          <w:szCs w:val="21"/>
          <w:highlight w:val="none"/>
        </w:rPr>
        <w:t xml:space="preserve">18.7 </w:t>
      </w:r>
      <w:r>
        <w:rPr>
          <w:rFonts w:hint="eastAsia" w:ascii="宋体" w:hAnsi="宋体" w:eastAsia="宋体"/>
          <w:color w:val="000000"/>
          <w:sz w:val="21"/>
          <w:szCs w:val="21"/>
          <w:highlight w:val="none"/>
        </w:rPr>
        <w:t>竣工清场</w:t>
      </w:r>
      <w:bookmarkEnd w:id="969"/>
      <w:bookmarkEnd w:id="970"/>
      <w:bookmarkEnd w:id="971"/>
      <w:bookmarkEnd w:id="972"/>
      <w:bookmarkEnd w:id="973"/>
      <w:bookmarkEnd w:id="974"/>
      <w:bookmarkEnd w:id="975"/>
      <w:bookmarkEnd w:id="976"/>
      <w:bookmarkEnd w:id="977"/>
      <w:bookmarkEnd w:id="978"/>
      <w:bookmarkEnd w:id="979"/>
      <w:bookmarkEnd w:id="980"/>
      <w:bookmarkEnd w:id="981"/>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18.7.1</w:t>
      </w:r>
      <w:r>
        <w:rPr>
          <w:rFonts w:hint="eastAsia" w:ascii="宋体" w:hAnsi="宋体" w:cs="宋体"/>
          <w:color w:val="000000"/>
          <w:szCs w:val="21"/>
          <w:highlight w:val="none"/>
        </w:rPr>
        <w:t>监理人颁发（出具）工程接收证书后，承包人负责按照通用合同条款本项约定的要求对施工场地进行清理并承担相关费用，直至监理人检验合格为止。</w:t>
      </w:r>
    </w:p>
    <w:p>
      <w:pPr>
        <w:pStyle w:val="126"/>
        <w:spacing w:line="360" w:lineRule="auto"/>
        <w:outlineLvl w:val="9"/>
        <w:rPr>
          <w:rFonts w:ascii="宋体" w:hAnsi="宋体" w:eastAsia="宋体"/>
          <w:color w:val="000000"/>
          <w:sz w:val="21"/>
          <w:szCs w:val="21"/>
          <w:highlight w:val="none"/>
        </w:rPr>
      </w:pPr>
      <w:bookmarkStart w:id="982" w:name="_Toc144974704"/>
      <w:bookmarkStart w:id="983" w:name="_Toc152042512"/>
      <w:bookmarkStart w:id="984" w:name="_Toc152045733"/>
      <w:bookmarkStart w:id="985" w:name="_Toc179632751"/>
      <w:bookmarkStart w:id="986" w:name="_Toc241459735"/>
      <w:bookmarkStart w:id="987" w:name="_Toc342296494"/>
      <w:bookmarkStart w:id="988" w:name="_Toc371939256"/>
      <w:bookmarkStart w:id="989" w:name="_Toc389141135"/>
      <w:bookmarkStart w:id="990" w:name="_Toc409517665"/>
      <w:bookmarkStart w:id="991" w:name="_Toc409517953"/>
      <w:bookmarkStart w:id="992" w:name="_Toc409518241"/>
      <w:bookmarkStart w:id="993" w:name="_Toc424289496"/>
      <w:bookmarkStart w:id="994" w:name="_Toc4423"/>
      <w:r>
        <w:rPr>
          <w:rFonts w:ascii="宋体" w:hAnsi="宋体" w:eastAsia="宋体"/>
          <w:color w:val="000000"/>
          <w:sz w:val="21"/>
          <w:szCs w:val="21"/>
          <w:highlight w:val="none"/>
        </w:rPr>
        <w:t xml:space="preserve">18.8 </w:t>
      </w:r>
      <w:r>
        <w:rPr>
          <w:rFonts w:hint="eastAsia" w:ascii="宋体" w:hAnsi="宋体" w:eastAsia="宋体"/>
          <w:color w:val="000000"/>
          <w:sz w:val="21"/>
          <w:szCs w:val="21"/>
          <w:highlight w:val="none"/>
        </w:rPr>
        <w:t>施工队伍的撤离</w:t>
      </w:r>
      <w:bookmarkEnd w:id="982"/>
      <w:bookmarkEnd w:id="983"/>
      <w:bookmarkEnd w:id="984"/>
      <w:bookmarkEnd w:id="985"/>
      <w:bookmarkEnd w:id="986"/>
      <w:bookmarkEnd w:id="987"/>
      <w:bookmarkEnd w:id="988"/>
      <w:bookmarkEnd w:id="989"/>
      <w:bookmarkEnd w:id="990"/>
      <w:bookmarkEnd w:id="991"/>
      <w:bookmarkEnd w:id="992"/>
      <w:bookmarkEnd w:id="993"/>
      <w:bookmarkEnd w:id="994"/>
    </w:p>
    <w:p>
      <w:pPr>
        <w:spacing w:line="360" w:lineRule="auto"/>
        <w:ind w:firstLine="420" w:firstLineChars="200"/>
        <w:rPr>
          <w:rFonts w:ascii="宋体" w:cs="宋体"/>
          <w:color w:val="000000"/>
          <w:szCs w:val="21"/>
          <w:highlight w:val="none"/>
        </w:rPr>
      </w:pPr>
      <w:bookmarkStart w:id="995" w:name="_Toc144974705"/>
      <w:bookmarkStart w:id="996" w:name="_Toc152042513"/>
      <w:bookmarkStart w:id="997" w:name="_Toc152045734"/>
      <w:bookmarkStart w:id="998" w:name="_Toc179632752"/>
      <w:r>
        <w:rPr>
          <w:rFonts w:hint="eastAsia" w:ascii="宋体" w:hAnsi="宋体" w:cs="宋体"/>
          <w:color w:val="000000"/>
          <w:szCs w:val="21"/>
          <w:highlight w:val="none"/>
        </w:rPr>
        <w:t>承包人按照通用合同条款第</w:t>
      </w:r>
      <w:r>
        <w:rPr>
          <w:rFonts w:ascii="宋体" w:hAnsi="宋体" w:cs="宋体"/>
          <w:color w:val="000000"/>
          <w:szCs w:val="21"/>
          <w:highlight w:val="none"/>
        </w:rPr>
        <w:t>18.8</w:t>
      </w:r>
      <w:r>
        <w:rPr>
          <w:rFonts w:hint="eastAsia" w:ascii="宋体" w:hAnsi="宋体" w:cs="宋体"/>
          <w:color w:val="000000"/>
          <w:szCs w:val="21"/>
          <w:highlight w:val="none"/>
        </w:rPr>
        <w:t>款约定撤离施工场地（现场）时，监理人和承包人应当办理永久工程和施工场地移交手续，移交手续以书面方式出具，并分别经过发包人、监理人和承包人的签认。但是，监理人和发包人未按专用合同条款</w:t>
      </w:r>
      <w:r>
        <w:rPr>
          <w:rFonts w:ascii="宋体" w:hAnsi="宋体" w:cs="宋体"/>
          <w:color w:val="000000"/>
          <w:szCs w:val="21"/>
          <w:highlight w:val="none"/>
        </w:rPr>
        <w:t>17.5.1</w:t>
      </w:r>
      <w:r>
        <w:rPr>
          <w:rFonts w:hint="eastAsia" w:ascii="宋体" w:hAnsi="宋体" w:cs="宋体"/>
          <w:color w:val="000000"/>
          <w:szCs w:val="21"/>
          <w:highlight w:val="none"/>
        </w:rPr>
        <w:t>项约定的期限办清竣工结算和竣工付款的，本工程不得交付使用，发包人和监理人也无权要求承包人按合同约定的期限撤离施工场地（现场）和办理工程移交手续。</w:t>
      </w:r>
    </w:p>
    <w:p>
      <w:pPr>
        <w:spacing w:line="360" w:lineRule="auto"/>
        <w:rPr>
          <w:rFonts w:ascii="宋体" w:hAnsi="宋体" w:cs="宋体"/>
          <w:color w:val="000000"/>
          <w:szCs w:val="21"/>
          <w:highlight w:val="none"/>
        </w:rPr>
      </w:pPr>
      <w:r>
        <w:rPr>
          <w:rFonts w:hint="eastAsia" w:ascii="宋体" w:hAnsi="宋体" w:cs="宋体"/>
          <w:color w:val="000000"/>
          <w:szCs w:val="21"/>
          <w:highlight w:val="none"/>
        </w:rPr>
        <w:t>缺陷责任期满时，承包人可以继续在施工场地保留的人员和施工设备以及最终撤离的期限：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缺陷责任期满后</w:t>
      </w:r>
      <w:r>
        <w:rPr>
          <w:rFonts w:ascii="宋体" w:hAnsi="宋体" w:cs="宋体"/>
          <w:color w:val="000000"/>
          <w:szCs w:val="21"/>
          <w:highlight w:val="none"/>
          <w:u w:val="single"/>
        </w:rPr>
        <w:t>7</w:t>
      </w:r>
      <w:r>
        <w:rPr>
          <w:rFonts w:hint="eastAsia" w:ascii="宋体" w:hAnsi="宋体" w:cs="宋体"/>
          <w:color w:val="000000"/>
          <w:szCs w:val="21"/>
          <w:highlight w:val="none"/>
          <w:u w:val="single"/>
        </w:rPr>
        <w:t>天</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r>
        <w:rPr>
          <w:rFonts w:ascii="宋体" w:hAnsi="宋体" w:cs="宋体"/>
          <w:color w:val="000000"/>
          <w:szCs w:val="21"/>
          <w:highlight w:val="none"/>
        </w:rPr>
        <w:t xml:space="preserve">  </w:t>
      </w:r>
    </w:p>
    <w:p>
      <w:pPr>
        <w:pStyle w:val="126"/>
        <w:spacing w:line="360" w:lineRule="auto"/>
        <w:outlineLvl w:val="9"/>
        <w:rPr>
          <w:rFonts w:ascii="宋体" w:hAnsi="宋体" w:eastAsia="宋体"/>
          <w:color w:val="000000"/>
          <w:sz w:val="21"/>
          <w:szCs w:val="21"/>
          <w:highlight w:val="none"/>
        </w:rPr>
      </w:pPr>
      <w:bookmarkStart w:id="999" w:name="_Toc409517666"/>
      <w:bookmarkStart w:id="1000" w:name="_Toc409517954"/>
      <w:bookmarkStart w:id="1001" w:name="_Toc409518242"/>
      <w:bookmarkStart w:id="1002" w:name="_Toc424289497"/>
      <w:bookmarkStart w:id="1003" w:name="_Toc13359"/>
      <w:bookmarkStart w:id="1004" w:name="_Toc241459736"/>
      <w:bookmarkStart w:id="1005" w:name="_Toc342296495"/>
      <w:bookmarkStart w:id="1006" w:name="_Toc371939257"/>
      <w:bookmarkStart w:id="1007" w:name="_Toc389141136"/>
      <w:r>
        <w:rPr>
          <w:rFonts w:ascii="宋体" w:hAnsi="宋体" w:eastAsia="宋体"/>
          <w:color w:val="000000"/>
          <w:sz w:val="21"/>
          <w:szCs w:val="21"/>
          <w:highlight w:val="none"/>
        </w:rPr>
        <w:t xml:space="preserve">18.9 </w:t>
      </w:r>
      <w:r>
        <w:rPr>
          <w:rFonts w:hint="eastAsia" w:ascii="宋体" w:hAnsi="宋体" w:eastAsia="宋体"/>
          <w:color w:val="000000"/>
          <w:sz w:val="21"/>
          <w:szCs w:val="21"/>
          <w:highlight w:val="none"/>
        </w:rPr>
        <w:t>中间验收</w:t>
      </w:r>
      <w:bookmarkEnd w:id="999"/>
      <w:bookmarkEnd w:id="1000"/>
      <w:bookmarkEnd w:id="1001"/>
      <w:bookmarkEnd w:id="1002"/>
      <w:bookmarkEnd w:id="1003"/>
      <w:bookmarkEnd w:id="1004"/>
      <w:bookmarkEnd w:id="1005"/>
      <w:bookmarkEnd w:id="1006"/>
      <w:bookmarkEnd w:id="1007"/>
    </w:p>
    <w:p>
      <w:pPr>
        <w:spacing w:line="360" w:lineRule="auto"/>
        <w:ind w:firstLine="525" w:firstLineChars="250"/>
        <w:rPr>
          <w:rFonts w:ascii="宋体" w:cs="宋体"/>
          <w:color w:val="000000"/>
          <w:szCs w:val="21"/>
          <w:highlight w:val="none"/>
        </w:rPr>
      </w:pPr>
      <w:r>
        <w:rPr>
          <w:rFonts w:hint="eastAsia" w:ascii="宋体" w:hAnsi="宋体" w:cs="宋体"/>
          <w:color w:val="000000"/>
          <w:szCs w:val="21"/>
          <w:highlight w:val="none"/>
        </w:rPr>
        <w:t>本工程需要进行中间验收的部位如下：</w:t>
      </w:r>
      <w:r>
        <w:rPr>
          <w:rFonts w:ascii="宋体" w:hAnsi="宋体" w:cs="宋体"/>
          <w:color w:val="000000"/>
          <w:szCs w:val="21"/>
          <w:highlight w:val="none"/>
          <w:u w:val="single"/>
        </w:rPr>
        <w:t xml:space="preserve">       /  </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当工程进度达到本款约定的中间验收部位时，承包人应当进行自检，并在中间验收前</w:t>
      </w:r>
      <w:r>
        <w:rPr>
          <w:rFonts w:ascii="宋体" w:hAnsi="宋体" w:cs="宋体"/>
          <w:color w:val="000000"/>
          <w:szCs w:val="21"/>
          <w:highlight w:val="none"/>
        </w:rPr>
        <w:t>48</w:t>
      </w:r>
      <w:r>
        <w:rPr>
          <w:rFonts w:hint="eastAsia" w:ascii="宋体" w:hAnsi="宋体" w:cs="宋体"/>
          <w:color w:val="000000"/>
          <w:szCs w:val="21"/>
          <w:highlight w:val="none"/>
        </w:rPr>
        <w:t>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cs="宋体"/>
          <w:color w:val="000000"/>
          <w:szCs w:val="21"/>
          <w:highlight w:val="none"/>
          <w:u w:val="single"/>
        </w:rPr>
        <w:t>进入下个施工节点</w:t>
      </w:r>
      <w:r>
        <w:rPr>
          <w:rFonts w:hint="eastAsia" w:ascii="宋体" w:hAnsi="宋体" w:cs="宋体"/>
          <w:color w:val="000000"/>
          <w:szCs w:val="21"/>
          <w:highlight w:val="none"/>
        </w:rPr>
        <w:t>期限内进行修改后重新验收。</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监理人不能按时进行验收的，应在验收前</w:t>
      </w:r>
      <w:r>
        <w:rPr>
          <w:rFonts w:ascii="宋体" w:hAnsi="宋体" w:cs="宋体"/>
          <w:color w:val="000000"/>
          <w:szCs w:val="21"/>
          <w:highlight w:val="none"/>
        </w:rPr>
        <w:t>24</w:t>
      </w:r>
      <w:r>
        <w:rPr>
          <w:rFonts w:hint="eastAsia" w:ascii="宋体" w:hAnsi="宋体" w:cs="宋体"/>
          <w:color w:val="000000"/>
          <w:szCs w:val="21"/>
          <w:highlight w:val="none"/>
        </w:rPr>
        <w:t>小时以书面形式向承包人提出延期要求，延期不能超过</w:t>
      </w:r>
      <w:r>
        <w:rPr>
          <w:rFonts w:ascii="宋体" w:hAnsi="宋体" w:cs="宋体"/>
          <w:color w:val="000000"/>
          <w:szCs w:val="21"/>
          <w:highlight w:val="none"/>
        </w:rPr>
        <w:t>48</w:t>
      </w:r>
      <w:r>
        <w:rPr>
          <w:rFonts w:hint="eastAsia" w:ascii="宋体" w:hAnsi="宋体" w:cs="宋体"/>
          <w:color w:val="000000"/>
          <w:szCs w:val="21"/>
          <w:highlight w:val="none"/>
        </w:rPr>
        <w:t>小时。监理人未能按本款约定的时限提出延期要求，又未按期进行验收的，承包人可自行组织验收，监理人必须认同验收记录。</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经监理人验收后工程质量符合约定的验收标准，但验收</w:t>
      </w:r>
      <w:r>
        <w:rPr>
          <w:rFonts w:ascii="宋体" w:hAnsi="宋体" w:cs="宋体"/>
          <w:color w:val="000000"/>
          <w:szCs w:val="21"/>
          <w:highlight w:val="none"/>
        </w:rPr>
        <w:t>24</w:t>
      </w:r>
      <w:r>
        <w:rPr>
          <w:rFonts w:hint="eastAsia" w:ascii="宋体" w:hAnsi="宋体" w:cs="宋体"/>
          <w:color w:val="000000"/>
          <w:szCs w:val="21"/>
          <w:highlight w:val="none"/>
        </w:rPr>
        <w:t>小时后监理人仍不在验收记录上签字的，视为监理人已经认可验收记录，承包人可继续施工。</w:t>
      </w:r>
    </w:p>
    <w:p>
      <w:pPr>
        <w:pStyle w:val="89"/>
        <w:spacing w:before="0" w:line="360" w:lineRule="auto"/>
        <w:outlineLvl w:val="9"/>
        <w:rPr>
          <w:rFonts w:ascii="宋体" w:hAnsi="宋体" w:eastAsia="宋体"/>
          <w:color w:val="000000"/>
          <w:sz w:val="21"/>
          <w:szCs w:val="21"/>
          <w:highlight w:val="none"/>
        </w:rPr>
      </w:pPr>
      <w:bookmarkStart w:id="1008" w:name="_Toc241459737"/>
      <w:bookmarkStart w:id="1009" w:name="_Toc342296496"/>
      <w:bookmarkStart w:id="1010" w:name="_Toc371939258"/>
      <w:bookmarkStart w:id="1011" w:name="_Toc409517667"/>
      <w:bookmarkStart w:id="1012" w:name="_Toc409517955"/>
      <w:bookmarkStart w:id="1013" w:name="_Toc389141137"/>
      <w:bookmarkStart w:id="1014" w:name="_Toc409518243"/>
      <w:bookmarkStart w:id="1015" w:name="_Toc424289498"/>
      <w:bookmarkStart w:id="1016" w:name="_Toc4320"/>
      <w:bookmarkStart w:id="1017" w:name="_Toc7517"/>
      <w:r>
        <w:rPr>
          <w:rFonts w:ascii="宋体" w:hAnsi="宋体" w:eastAsia="宋体"/>
          <w:color w:val="000000"/>
          <w:sz w:val="21"/>
          <w:szCs w:val="21"/>
          <w:highlight w:val="none"/>
        </w:rPr>
        <w:t xml:space="preserve">19. </w:t>
      </w:r>
      <w:r>
        <w:rPr>
          <w:rFonts w:hint="eastAsia" w:ascii="宋体" w:hAnsi="宋体" w:eastAsia="宋体"/>
          <w:color w:val="000000"/>
          <w:sz w:val="21"/>
          <w:szCs w:val="21"/>
          <w:highlight w:val="none"/>
        </w:rPr>
        <w:t>缺陷责任与保修责任</w:t>
      </w:r>
      <w:bookmarkEnd w:id="995"/>
      <w:bookmarkEnd w:id="996"/>
      <w:bookmarkEnd w:id="997"/>
      <w:bookmarkEnd w:id="998"/>
      <w:bookmarkEnd w:id="1008"/>
      <w:bookmarkEnd w:id="1009"/>
      <w:bookmarkEnd w:id="1010"/>
      <w:bookmarkEnd w:id="1011"/>
      <w:bookmarkEnd w:id="1012"/>
      <w:bookmarkEnd w:id="1013"/>
      <w:bookmarkEnd w:id="1014"/>
      <w:bookmarkEnd w:id="1015"/>
      <w:bookmarkEnd w:id="1016"/>
      <w:bookmarkEnd w:id="1017"/>
    </w:p>
    <w:p>
      <w:pPr>
        <w:pStyle w:val="126"/>
        <w:spacing w:line="360" w:lineRule="auto"/>
        <w:outlineLvl w:val="9"/>
        <w:rPr>
          <w:rFonts w:ascii="宋体" w:hAnsi="宋体" w:eastAsia="宋体"/>
          <w:color w:val="000000"/>
          <w:sz w:val="21"/>
          <w:szCs w:val="21"/>
          <w:highlight w:val="none"/>
        </w:rPr>
      </w:pPr>
      <w:bookmarkStart w:id="1018" w:name="_Toc389141138"/>
      <w:bookmarkStart w:id="1019" w:name="_Toc371939259"/>
      <w:bookmarkStart w:id="1020" w:name="_Toc342296497"/>
      <w:bookmarkStart w:id="1021" w:name="_Toc241459738"/>
      <w:bookmarkStart w:id="1022" w:name="_Toc179632759"/>
      <w:bookmarkStart w:id="1023" w:name="_Toc152045741"/>
      <w:bookmarkStart w:id="1024" w:name="_Toc144974712"/>
      <w:bookmarkStart w:id="1025" w:name="_Toc152042520"/>
      <w:bookmarkStart w:id="1026" w:name="_Toc409517668"/>
      <w:bookmarkStart w:id="1027" w:name="_Toc409517956"/>
      <w:bookmarkStart w:id="1028" w:name="_Toc409518244"/>
      <w:bookmarkStart w:id="1029" w:name="_Toc424289499"/>
      <w:bookmarkStart w:id="1030" w:name="_Toc15105"/>
      <w:r>
        <w:rPr>
          <w:rFonts w:ascii="宋体" w:hAnsi="宋体" w:eastAsia="宋体"/>
          <w:color w:val="000000"/>
          <w:sz w:val="21"/>
          <w:szCs w:val="21"/>
          <w:highlight w:val="none"/>
        </w:rPr>
        <w:t xml:space="preserve">19.7 </w:t>
      </w:r>
      <w:r>
        <w:rPr>
          <w:rFonts w:hint="eastAsia" w:ascii="宋体" w:hAnsi="宋体" w:eastAsia="宋体"/>
          <w:color w:val="000000"/>
          <w:sz w:val="21"/>
          <w:szCs w:val="21"/>
          <w:highlight w:val="none"/>
        </w:rPr>
        <w:t>保修责任</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）工程质量保修范围：</w:t>
      </w:r>
      <w:r>
        <w:rPr>
          <w:rFonts w:hint="eastAsia" w:ascii="宋体" w:hAnsi="宋体" w:cs="宋体"/>
          <w:szCs w:val="21"/>
          <w:highlight w:val="none"/>
          <w:u w:val="single"/>
        </w:rPr>
        <w:t>清单范围内的全部内容</w:t>
      </w:r>
      <w:r>
        <w:rPr>
          <w:rFonts w:ascii="宋体" w:hAnsi="宋体" w:cs="宋体"/>
          <w:szCs w:val="21"/>
          <w:highlight w:val="none"/>
          <w:u w:val="single"/>
        </w:rPr>
        <w:t xml:space="preserve"> </w:t>
      </w:r>
      <w:r>
        <w:rPr>
          <w:rFonts w:ascii="宋体" w:hAnsi="宋体" w:cs="宋体"/>
          <w:color w:val="000000"/>
          <w:szCs w:val="21"/>
          <w:highlight w:val="none"/>
          <w:u w:val="single"/>
        </w:rPr>
        <w:t xml:space="preserve">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）工程质量保修期限：</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符合《建设工程质量管理条例》的相关规定</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）工程质量保修责任：</w:t>
      </w:r>
      <w:r>
        <w:rPr>
          <w:rFonts w:ascii="宋体" w:hAnsi="宋体" w:cs="宋体"/>
          <w:color w:val="000000"/>
          <w:szCs w:val="21"/>
          <w:highlight w:val="none"/>
          <w:u w:val="single"/>
        </w:rPr>
        <w:t xml:space="preserve">  1</w:t>
      </w:r>
      <w:r>
        <w:rPr>
          <w:rFonts w:hint="eastAsia" w:ascii="宋体" w:hAnsi="宋体" w:cs="宋体"/>
          <w:color w:val="000000"/>
          <w:szCs w:val="21"/>
          <w:highlight w:val="none"/>
          <w:u w:val="single"/>
        </w:rPr>
        <w:t>）属于保修范围和内容的项目，承包人应在接到修理通知之日后</w:t>
      </w:r>
      <w:r>
        <w:rPr>
          <w:rFonts w:ascii="宋体" w:hAnsi="宋体" w:cs="宋体"/>
          <w:color w:val="000000"/>
          <w:szCs w:val="21"/>
          <w:highlight w:val="none"/>
          <w:u w:val="single"/>
        </w:rPr>
        <w:t>7</w:t>
      </w:r>
      <w:r>
        <w:rPr>
          <w:rFonts w:hint="eastAsia" w:ascii="宋体" w:hAnsi="宋体" w:cs="宋体"/>
          <w:color w:val="000000"/>
          <w:szCs w:val="21"/>
          <w:highlight w:val="none"/>
          <w:u w:val="single"/>
        </w:rPr>
        <w:t>天内派人修理。承包人不在约定期限内派人修理，发包人可委托他人进行修理，修理费用从质量保证金内扣除。</w:t>
      </w:r>
      <w:r>
        <w:rPr>
          <w:rFonts w:ascii="宋体" w:hAnsi="宋体" w:cs="宋体"/>
          <w:color w:val="000000"/>
          <w:szCs w:val="21"/>
          <w:highlight w:val="none"/>
          <w:u w:val="single"/>
        </w:rPr>
        <w:t>2</w:t>
      </w:r>
      <w:r>
        <w:rPr>
          <w:rFonts w:hint="eastAsia" w:ascii="宋体" w:hAnsi="宋体" w:cs="宋体"/>
          <w:color w:val="000000"/>
          <w:szCs w:val="21"/>
          <w:highlight w:val="none"/>
          <w:u w:val="single"/>
        </w:rPr>
        <w:t>）发生需要紧急抢修的事故，承包在接到事故通知后，承包人应立即到达事故现场进行抢修。非承包人施工质量引起的事故，抢修费用由发包人承担。</w:t>
      </w:r>
      <w:r>
        <w:rPr>
          <w:rFonts w:ascii="宋体" w:hAnsi="宋体" w:cs="宋体"/>
          <w:color w:val="000000"/>
          <w:szCs w:val="21"/>
          <w:highlight w:val="none"/>
          <w:u w:val="single"/>
        </w:rPr>
        <w:t>3</w:t>
      </w:r>
      <w:r>
        <w:rPr>
          <w:rFonts w:hint="eastAsia" w:ascii="宋体" w:hAnsi="宋体" w:cs="宋体"/>
          <w:color w:val="000000"/>
          <w:szCs w:val="21"/>
          <w:highlight w:val="none"/>
          <w:u w:val="single"/>
        </w:rPr>
        <w:t>）在国家规定的合理使用期限内，承包人确保地基基础工程和主体结构工程的质量。因承包人原因致使工程在合理使用期限内造成人身和财产损害的，承包人应承担损害赔偿责</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质量保修书是竣工验收申请报告的组成内容。承包人应当按照有关法律法规规定和合同所附的格式出具质量保修书，质量保修书的主要内容应当与本款上述约定内容一致。承包人在递交合同条款第</w:t>
      </w:r>
      <w:r>
        <w:rPr>
          <w:rFonts w:ascii="宋体" w:hAnsi="宋体" w:cs="宋体"/>
          <w:color w:val="000000"/>
          <w:szCs w:val="21"/>
          <w:highlight w:val="none"/>
        </w:rPr>
        <w:t>18.2</w:t>
      </w:r>
      <w:r>
        <w:rPr>
          <w:rFonts w:hint="eastAsia" w:ascii="宋体" w:hAnsi="宋体" w:cs="宋体"/>
          <w:color w:val="000000"/>
          <w:szCs w:val="21"/>
          <w:highlight w:val="none"/>
        </w:rPr>
        <w:t>款约定的竣工验收报告的同时，将质量保修书一并报送监理人。</w:t>
      </w:r>
    </w:p>
    <w:p>
      <w:pPr>
        <w:pStyle w:val="89"/>
        <w:spacing w:before="0" w:line="360" w:lineRule="auto"/>
        <w:outlineLvl w:val="9"/>
        <w:rPr>
          <w:rFonts w:ascii="宋体" w:hAnsi="宋体" w:eastAsia="宋体"/>
          <w:color w:val="000000"/>
          <w:sz w:val="21"/>
          <w:szCs w:val="21"/>
          <w:highlight w:val="none"/>
        </w:rPr>
      </w:pPr>
      <w:bookmarkStart w:id="1031" w:name="_Toc144974713"/>
      <w:bookmarkStart w:id="1032" w:name="_Toc152042521"/>
      <w:bookmarkStart w:id="1033" w:name="_Toc152045742"/>
      <w:bookmarkStart w:id="1034" w:name="_Toc179632760"/>
      <w:bookmarkStart w:id="1035" w:name="_Toc241459739"/>
      <w:bookmarkStart w:id="1036" w:name="_Toc342296498"/>
      <w:bookmarkStart w:id="1037" w:name="_Toc371939260"/>
      <w:bookmarkStart w:id="1038" w:name="_Toc389141139"/>
      <w:bookmarkStart w:id="1039" w:name="_Toc409517669"/>
      <w:bookmarkStart w:id="1040" w:name="_Toc409517957"/>
      <w:bookmarkStart w:id="1041" w:name="_Toc409518245"/>
      <w:bookmarkStart w:id="1042" w:name="_Toc424289500"/>
      <w:bookmarkStart w:id="1043" w:name="_Toc2737"/>
      <w:bookmarkStart w:id="1044" w:name="_Toc23348"/>
      <w:r>
        <w:rPr>
          <w:rFonts w:ascii="宋体" w:hAnsi="宋体" w:eastAsia="宋体"/>
          <w:color w:val="000000"/>
          <w:sz w:val="21"/>
          <w:szCs w:val="21"/>
          <w:highlight w:val="none"/>
        </w:rPr>
        <w:t xml:space="preserve">20. </w:t>
      </w:r>
      <w:r>
        <w:rPr>
          <w:rFonts w:hint="eastAsia" w:ascii="宋体" w:hAnsi="宋体" w:eastAsia="宋体"/>
          <w:color w:val="000000"/>
          <w:sz w:val="21"/>
          <w:szCs w:val="21"/>
          <w:highlight w:val="none"/>
        </w:rPr>
        <w:t>保险</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126"/>
        <w:spacing w:line="360" w:lineRule="auto"/>
        <w:outlineLvl w:val="9"/>
        <w:rPr>
          <w:rFonts w:ascii="宋体" w:hAnsi="宋体" w:eastAsia="宋体"/>
          <w:color w:val="000000"/>
          <w:sz w:val="21"/>
          <w:szCs w:val="21"/>
          <w:highlight w:val="none"/>
        </w:rPr>
      </w:pPr>
      <w:bookmarkStart w:id="1045" w:name="_Toc144974714"/>
      <w:bookmarkStart w:id="1046" w:name="_Toc152042522"/>
      <w:bookmarkStart w:id="1047" w:name="_Toc152045743"/>
      <w:bookmarkStart w:id="1048" w:name="_Toc179632761"/>
      <w:bookmarkStart w:id="1049" w:name="_Toc241459740"/>
      <w:bookmarkStart w:id="1050" w:name="_Toc342296499"/>
      <w:bookmarkStart w:id="1051" w:name="_Toc371939261"/>
      <w:bookmarkStart w:id="1052" w:name="_Toc389141140"/>
      <w:bookmarkStart w:id="1053" w:name="_Toc409517670"/>
      <w:bookmarkStart w:id="1054" w:name="_Toc409517958"/>
      <w:bookmarkStart w:id="1055" w:name="_Toc409518246"/>
      <w:bookmarkStart w:id="1056" w:name="_Toc424289501"/>
      <w:bookmarkStart w:id="1057" w:name="_Toc17750"/>
      <w:r>
        <w:rPr>
          <w:rFonts w:ascii="宋体" w:hAnsi="宋体" w:eastAsia="宋体"/>
          <w:color w:val="000000"/>
          <w:sz w:val="21"/>
          <w:szCs w:val="21"/>
          <w:highlight w:val="none"/>
        </w:rPr>
        <w:t xml:space="preserve">20.1 </w:t>
      </w:r>
      <w:r>
        <w:rPr>
          <w:rFonts w:hint="eastAsia" w:ascii="宋体" w:hAnsi="宋体" w:eastAsia="宋体"/>
          <w:color w:val="000000"/>
          <w:sz w:val="21"/>
          <w:szCs w:val="21"/>
          <w:highlight w:val="none"/>
        </w:rPr>
        <w:t>工程保险</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spacing w:line="360" w:lineRule="auto"/>
        <w:ind w:firstLine="420" w:firstLineChars="200"/>
        <w:rPr>
          <w:rFonts w:ascii="宋体" w:cs="宋体"/>
          <w:color w:val="000000"/>
          <w:szCs w:val="21"/>
          <w:highlight w:val="none"/>
        </w:rPr>
      </w:pPr>
      <w:bookmarkStart w:id="1058" w:name="_Toc144974715"/>
      <w:bookmarkStart w:id="1059" w:name="_Toc152042523"/>
      <w:bookmarkStart w:id="1060" w:name="_Toc152045744"/>
      <w:bookmarkStart w:id="1061" w:name="_Toc179632762"/>
      <w:r>
        <w:rPr>
          <w:rFonts w:hint="eastAsia" w:ascii="宋体" w:hAnsi="宋体" w:cs="宋体"/>
          <w:color w:val="000000"/>
          <w:szCs w:val="21"/>
          <w:highlight w:val="none"/>
        </w:rPr>
        <w:t>本工程</w:t>
      </w:r>
      <w:r>
        <w:rPr>
          <w:rFonts w:hint="eastAsia" w:ascii="宋体" w:hAnsi="宋体" w:cs="宋体"/>
          <w:color w:val="000000"/>
          <w:szCs w:val="21"/>
          <w:highlight w:val="none"/>
          <w:u w:val="single"/>
        </w:rPr>
        <w:t>不投保</w:t>
      </w:r>
      <w:r>
        <w:rPr>
          <w:rFonts w:ascii="宋体" w:hAnsi="宋体" w:cs="宋体"/>
          <w:color w:val="000000"/>
          <w:szCs w:val="21"/>
          <w:highlight w:val="none"/>
        </w:rPr>
        <w:t>(</w:t>
      </w:r>
      <w:r>
        <w:rPr>
          <w:rFonts w:hint="eastAsia" w:ascii="宋体" w:hAnsi="宋体" w:cs="宋体"/>
          <w:color w:val="000000"/>
          <w:szCs w:val="21"/>
          <w:highlight w:val="none"/>
        </w:rPr>
        <w:t>投保</w:t>
      </w:r>
      <w:r>
        <w:rPr>
          <w:rFonts w:ascii="宋体" w:hAnsi="宋体" w:cs="宋体"/>
          <w:color w:val="000000"/>
          <w:szCs w:val="21"/>
          <w:highlight w:val="none"/>
        </w:rPr>
        <w:t>/</w:t>
      </w:r>
      <w:r>
        <w:rPr>
          <w:rFonts w:hint="eastAsia" w:ascii="宋体" w:hAnsi="宋体" w:cs="宋体"/>
          <w:color w:val="000000"/>
          <w:szCs w:val="21"/>
          <w:highlight w:val="none"/>
        </w:rPr>
        <w:t>不投保</w:t>
      </w:r>
      <w:r>
        <w:rPr>
          <w:rFonts w:ascii="宋体" w:hAnsi="宋体" w:cs="宋体"/>
          <w:color w:val="000000"/>
          <w:szCs w:val="21"/>
          <w:highlight w:val="none"/>
        </w:rPr>
        <w:t>)</w:t>
      </w:r>
      <w:r>
        <w:rPr>
          <w:rFonts w:hint="eastAsia" w:ascii="宋体" w:hAnsi="宋体" w:cs="宋体"/>
          <w:color w:val="000000"/>
          <w:szCs w:val="21"/>
          <w:highlight w:val="none"/>
        </w:rPr>
        <w:t>工程保险。投保工程保险时，险种为：</w:t>
      </w:r>
      <w:r>
        <w:rPr>
          <w:rFonts w:ascii="宋体" w:hAnsi="宋体" w:cs="宋体"/>
          <w:color w:val="000000"/>
          <w:szCs w:val="21"/>
          <w:highlight w:val="none"/>
          <w:u w:val="single"/>
        </w:rPr>
        <w:t xml:space="preserve">/        </w:t>
      </w:r>
      <w:r>
        <w:rPr>
          <w:rFonts w:hint="eastAsia" w:ascii="宋体" w:hAnsi="宋体" w:cs="宋体"/>
          <w:color w:val="000000"/>
          <w:szCs w:val="21"/>
          <w:highlight w:val="none"/>
        </w:rPr>
        <w:t>，并符合以下约定。</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1</w:t>
      </w:r>
      <w:r>
        <w:rPr>
          <w:rFonts w:hint="eastAsia" w:ascii="宋体" w:hAnsi="宋体" w:cs="宋体"/>
          <w:color w:val="000000"/>
          <w:szCs w:val="21"/>
          <w:highlight w:val="none"/>
        </w:rPr>
        <w:t>）投保人：</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2</w:t>
      </w:r>
      <w:r>
        <w:rPr>
          <w:rFonts w:hint="eastAsia" w:ascii="宋体" w:hAnsi="宋体" w:cs="宋体"/>
          <w:color w:val="000000"/>
          <w:szCs w:val="21"/>
          <w:highlight w:val="none"/>
        </w:rPr>
        <w:t>）投保内容：</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3</w:t>
      </w:r>
      <w:r>
        <w:rPr>
          <w:rFonts w:hint="eastAsia" w:ascii="宋体" w:hAnsi="宋体" w:cs="宋体"/>
          <w:color w:val="000000"/>
          <w:szCs w:val="21"/>
          <w:highlight w:val="none"/>
        </w:rPr>
        <w:t>）保险费率：由投保人与合同双方同意的保险人商定。</w:t>
      </w:r>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w:t>
      </w:r>
      <w:r>
        <w:rPr>
          <w:rFonts w:ascii="宋体" w:hAnsi="宋体" w:cs="宋体"/>
          <w:color w:val="000000"/>
          <w:szCs w:val="21"/>
          <w:highlight w:val="none"/>
        </w:rPr>
        <w:t>4</w:t>
      </w:r>
      <w:r>
        <w:rPr>
          <w:rFonts w:hint="eastAsia" w:ascii="宋体" w:hAnsi="宋体" w:cs="宋体"/>
          <w:color w:val="000000"/>
          <w:szCs w:val="21"/>
          <w:highlight w:val="none"/>
        </w:rPr>
        <w:t>）保险金额：</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420" w:firstLineChars="200"/>
        <w:rPr>
          <w:rFonts w:ascii="宋体" w:cs="宋体"/>
          <w:color w:val="000000"/>
          <w:szCs w:val="21"/>
          <w:highlight w:val="none"/>
          <w:u w:val="single"/>
        </w:rPr>
      </w:pPr>
      <w:r>
        <w:rPr>
          <w:rFonts w:hint="eastAsia" w:ascii="宋体" w:hAnsi="宋体" w:cs="宋体"/>
          <w:color w:val="000000"/>
          <w:szCs w:val="21"/>
          <w:highlight w:val="none"/>
        </w:rPr>
        <w:t>（</w:t>
      </w:r>
      <w:r>
        <w:rPr>
          <w:rFonts w:ascii="宋体" w:hAnsi="宋体" w:cs="宋体"/>
          <w:color w:val="000000"/>
          <w:szCs w:val="21"/>
          <w:highlight w:val="none"/>
        </w:rPr>
        <w:t>5</w:t>
      </w:r>
      <w:r>
        <w:rPr>
          <w:rFonts w:hint="eastAsia" w:ascii="宋体" w:hAnsi="宋体" w:cs="宋体"/>
          <w:color w:val="000000"/>
          <w:szCs w:val="21"/>
          <w:highlight w:val="none"/>
        </w:rPr>
        <w:t>）保险期限：</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bookmarkEnd w:id="1058"/>
    <w:bookmarkEnd w:id="1059"/>
    <w:bookmarkEnd w:id="1060"/>
    <w:bookmarkEnd w:id="1061"/>
    <w:p>
      <w:pPr>
        <w:pStyle w:val="126"/>
        <w:spacing w:line="360" w:lineRule="auto"/>
        <w:outlineLvl w:val="9"/>
        <w:rPr>
          <w:rFonts w:ascii="宋体" w:hAnsi="宋体" w:eastAsia="宋体"/>
          <w:color w:val="000000"/>
          <w:sz w:val="21"/>
          <w:szCs w:val="21"/>
          <w:highlight w:val="none"/>
        </w:rPr>
      </w:pPr>
      <w:bookmarkStart w:id="1062" w:name="_Toc409517959"/>
      <w:bookmarkStart w:id="1063" w:name="_Toc152045746"/>
      <w:bookmarkStart w:id="1064" w:name="_Toc179632764"/>
      <w:bookmarkStart w:id="1065" w:name="_Toc409517671"/>
      <w:bookmarkStart w:id="1066" w:name="_Toc7292"/>
      <w:bookmarkStart w:id="1067" w:name="_Toc241459741"/>
      <w:bookmarkStart w:id="1068" w:name="_Toc342296500"/>
      <w:bookmarkStart w:id="1069" w:name="_Toc409518247"/>
      <w:bookmarkStart w:id="1070" w:name="_Toc371939262"/>
      <w:bookmarkStart w:id="1071" w:name="_Toc389141141"/>
      <w:bookmarkStart w:id="1072" w:name="_Toc424289502"/>
      <w:bookmarkStart w:id="1073" w:name="_Toc144974717"/>
      <w:bookmarkStart w:id="1074" w:name="_Toc152042525"/>
      <w:r>
        <w:rPr>
          <w:rFonts w:ascii="宋体" w:hAnsi="宋体" w:eastAsia="宋体"/>
          <w:color w:val="000000"/>
          <w:sz w:val="21"/>
          <w:szCs w:val="21"/>
          <w:highlight w:val="none"/>
        </w:rPr>
        <w:t xml:space="preserve">20.4 </w:t>
      </w:r>
      <w:r>
        <w:rPr>
          <w:rFonts w:hint="eastAsia" w:ascii="宋体" w:hAnsi="宋体" w:eastAsia="宋体"/>
          <w:color w:val="000000"/>
          <w:sz w:val="21"/>
          <w:szCs w:val="21"/>
          <w:highlight w:val="none"/>
        </w:rPr>
        <w:t>第三者责任险</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spacing w:line="360" w:lineRule="auto"/>
        <w:ind w:firstLine="420" w:firstLineChars="200"/>
        <w:rPr>
          <w:rFonts w:ascii="宋体" w:hAnsi="宋体" w:cs="宋体"/>
          <w:color w:val="000000"/>
          <w:szCs w:val="21"/>
          <w:highlight w:val="none"/>
        </w:rPr>
      </w:pPr>
      <w:r>
        <w:rPr>
          <w:rFonts w:ascii="宋体" w:hAnsi="宋体" w:cs="宋体"/>
          <w:color w:val="000000"/>
          <w:szCs w:val="21"/>
          <w:highlight w:val="none"/>
        </w:rPr>
        <w:t>20.4.2</w:t>
      </w:r>
      <w:r>
        <w:rPr>
          <w:rFonts w:hint="eastAsia" w:ascii="宋体" w:hAnsi="宋体" w:cs="宋体"/>
          <w:color w:val="000000"/>
          <w:szCs w:val="21"/>
          <w:highlight w:val="none"/>
        </w:rPr>
        <w:t>保险金额：</w:t>
      </w:r>
      <w:r>
        <w:rPr>
          <w:rFonts w:ascii="宋体" w:hAnsi="宋体" w:cs="宋体"/>
          <w:color w:val="000000"/>
          <w:szCs w:val="21"/>
          <w:highlight w:val="none"/>
          <w:u w:val="single"/>
        </w:rPr>
        <w:t xml:space="preserve">              /                   </w:t>
      </w:r>
      <w:r>
        <w:rPr>
          <w:rFonts w:ascii="宋体" w:hAnsi="宋体" w:cs="宋体"/>
          <w:color w:val="000000"/>
          <w:szCs w:val="21"/>
          <w:highlight w:val="none"/>
        </w:rPr>
        <w:t xml:space="preserve"> </w:t>
      </w:r>
      <w:r>
        <w:rPr>
          <w:rFonts w:hint="eastAsia" w:ascii="宋体" w:hAnsi="宋体" w:cs="宋体"/>
          <w:color w:val="000000"/>
          <w:szCs w:val="21"/>
          <w:highlight w:val="none"/>
        </w:rPr>
        <w:t>，保险费率由承包人与发包人同意的保险人商定，相关保险费由</w:t>
      </w:r>
      <w:r>
        <w:rPr>
          <w:rFonts w:ascii="宋体" w:hAnsi="宋体" w:cs="宋体"/>
          <w:color w:val="000000"/>
          <w:szCs w:val="21"/>
          <w:highlight w:val="none"/>
          <w:u w:val="single"/>
        </w:rPr>
        <w:t xml:space="preserve">  /    </w:t>
      </w:r>
      <w:r>
        <w:rPr>
          <w:rFonts w:hint="eastAsia" w:ascii="宋体" w:hAnsi="宋体" w:cs="宋体"/>
          <w:color w:val="000000"/>
          <w:szCs w:val="21"/>
          <w:highlight w:val="none"/>
        </w:rPr>
        <w:t>承担。</w:t>
      </w:r>
      <w:r>
        <w:rPr>
          <w:rFonts w:ascii="宋体" w:hAnsi="宋体" w:cs="宋体"/>
          <w:color w:val="000000"/>
          <w:szCs w:val="21"/>
          <w:highlight w:val="none"/>
        </w:rPr>
        <w:t xml:space="preserve">                               </w:t>
      </w:r>
    </w:p>
    <w:p>
      <w:pPr>
        <w:pStyle w:val="126"/>
        <w:spacing w:line="360" w:lineRule="auto"/>
        <w:outlineLvl w:val="9"/>
        <w:rPr>
          <w:rFonts w:ascii="宋体" w:hAnsi="宋体" w:eastAsia="宋体"/>
          <w:color w:val="000000"/>
          <w:sz w:val="21"/>
          <w:szCs w:val="21"/>
          <w:highlight w:val="none"/>
        </w:rPr>
      </w:pPr>
      <w:bookmarkStart w:id="1075" w:name="_Toc144974718"/>
      <w:bookmarkStart w:id="1076" w:name="_Toc152042526"/>
      <w:bookmarkStart w:id="1077" w:name="_Toc152045747"/>
      <w:bookmarkStart w:id="1078" w:name="_Toc179632765"/>
      <w:bookmarkStart w:id="1079" w:name="_Toc241459742"/>
      <w:bookmarkStart w:id="1080" w:name="_Toc342296501"/>
      <w:bookmarkStart w:id="1081" w:name="_Toc371939263"/>
      <w:bookmarkStart w:id="1082" w:name="_Toc389141142"/>
      <w:bookmarkStart w:id="1083" w:name="_Toc409517672"/>
      <w:bookmarkStart w:id="1084" w:name="_Toc409517960"/>
      <w:bookmarkStart w:id="1085" w:name="_Toc409518248"/>
      <w:bookmarkStart w:id="1086" w:name="_Toc424289503"/>
      <w:bookmarkStart w:id="1087" w:name="_Toc13623"/>
      <w:r>
        <w:rPr>
          <w:rFonts w:ascii="宋体" w:hAnsi="宋体" w:eastAsia="宋体"/>
          <w:color w:val="000000"/>
          <w:sz w:val="21"/>
          <w:szCs w:val="21"/>
          <w:highlight w:val="none"/>
        </w:rPr>
        <w:t xml:space="preserve">20.5 </w:t>
      </w:r>
      <w:r>
        <w:rPr>
          <w:rFonts w:hint="eastAsia" w:ascii="宋体" w:hAnsi="宋体" w:eastAsia="宋体"/>
          <w:color w:val="000000"/>
          <w:sz w:val="21"/>
          <w:szCs w:val="21"/>
          <w:highlight w:val="none"/>
        </w:rPr>
        <w:t>其他保险</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spacing w:line="360" w:lineRule="auto"/>
        <w:ind w:firstLine="420" w:firstLineChars="200"/>
        <w:rPr>
          <w:rFonts w:ascii="宋体" w:cs="宋体"/>
          <w:color w:val="000000"/>
          <w:szCs w:val="21"/>
          <w:highlight w:val="none"/>
        </w:rPr>
      </w:pPr>
      <w:r>
        <w:rPr>
          <w:rFonts w:hint="eastAsia" w:ascii="宋体" w:hAnsi="宋体" w:cs="宋体"/>
          <w:color w:val="000000"/>
          <w:szCs w:val="21"/>
          <w:highlight w:val="none"/>
        </w:rPr>
        <w:t>承包人应为其施工设备、进场材料和工程设备等办理的保险：</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1088" w:name="_Toc144974719"/>
      <w:bookmarkStart w:id="1089" w:name="_Toc152042527"/>
      <w:bookmarkStart w:id="1090" w:name="_Toc152045748"/>
      <w:bookmarkStart w:id="1091" w:name="_Toc179632766"/>
      <w:bookmarkStart w:id="1092" w:name="_Toc241459743"/>
      <w:bookmarkStart w:id="1093" w:name="_Toc342296502"/>
      <w:bookmarkStart w:id="1094" w:name="_Toc371939264"/>
      <w:bookmarkStart w:id="1095" w:name="_Toc389141143"/>
      <w:bookmarkStart w:id="1096" w:name="_Toc409517673"/>
      <w:bookmarkStart w:id="1097" w:name="_Toc409517961"/>
      <w:bookmarkStart w:id="1098" w:name="_Toc409518249"/>
      <w:bookmarkStart w:id="1099" w:name="_Toc424289504"/>
      <w:bookmarkStart w:id="1100" w:name="_Toc13871"/>
      <w:r>
        <w:rPr>
          <w:rFonts w:ascii="宋体" w:hAnsi="宋体" w:eastAsia="宋体"/>
          <w:color w:val="000000"/>
          <w:sz w:val="21"/>
          <w:szCs w:val="21"/>
          <w:highlight w:val="none"/>
        </w:rPr>
        <w:t xml:space="preserve">20.6 </w:t>
      </w:r>
      <w:r>
        <w:rPr>
          <w:rFonts w:hint="eastAsia" w:ascii="宋体" w:hAnsi="宋体" w:eastAsia="宋体"/>
          <w:color w:val="000000"/>
          <w:sz w:val="21"/>
          <w:szCs w:val="21"/>
          <w:highlight w:val="none"/>
        </w:rPr>
        <w:t>对各项保险的一般要求</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spacing w:line="360" w:lineRule="auto"/>
        <w:rPr>
          <w:rFonts w:ascii="宋体" w:cs="宋体"/>
          <w:color w:val="000000"/>
          <w:szCs w:val="21"/>
          <w:highlight w:val="none"/>
        </w:rPr>
      </w:pPr>
      <w:r>
        <w:rPr>
          <w:rFonts w:ascii="宋体" w:hAnsi="宋体" w:cs="宋体"/>
          <w:color w:val="000000"/>
          <w:szCs w:val="21"/>
          <w:highlight w:val="none"/>
        </w:rPr>
        <w:t>20.6.1</w:t>
      </w:r>
      <w:r>
        <w:rPr>
          <w:rFonts w:hint="eastAsia" w:ascii="宋体" w:hAnsi="宋体" w:cs="宋体"/>
          <w:color w:val="000000"/>
          <w:szCs w:val="21"/>
          <w:highlight w:val="none"/>
        </w:rPr>
        <w:t>保险凭证</w:t>
      </w:r>
    </w:p>
    <w:p>
      <w:pPr>
        <w:spacing w:line="360" w:lineRule="auto"/>
        <w:rPr>
          <w:rFonts w:ascii="宋体" w:cs="宋体"/>
          <w:color w:val="000000"/>
          <w:szCs w:val="21"/>
          <w:highlight w:val="none"/>
          <w:u w:val="single"/>
        </w:rPr>
      </w:pPr>
      <w:r>
        <w:rPr>
          <w:rFonts w:hint="eastAsia" w:ascii="宋体" w:hAnsi="宋体" w:cs="宋体"/>
          <w:color w:val="000000"/>
          <w:szCs w:val="21"/>
          <w:highlight w:val="none"/>
        </w:rPr>
        <w:t>承包人向发包人提交各项保险生效的证据和保险单副本的期限：</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rPr>
          <w:rFonts w:ascii="宋体" w:cs="宋体"/>
          <w:color w:val="000000"/>
          <w:szCs w:val="21"/>
          <w:highlight w:val="none"/>
        </w:rPr>
      </w:pPr>
      <w:r>
        <w:rPr>
          <w:rFonts w:ascii="宋体" w:hAnsi="宋体" w:cs="宋体"/>
          <w:color w:val="000000"/>
          <w:szCs w:val="21"/>
          <w:highlight w:val="none"/>
        </w:rPr>
        <w:t>20.6.4</w:t>
      </w:r>
      <w:r>
        <w:rPr>
          <w:rFonts w:hint="eastAsia" w:ascii="宋体" w:hAnsi="宋体" w:cs="宋体"/>
          <w:color w:val="000000"/>
          <w:szCs w:val="21"/>
          <w:highlight w:val="none"/>
        </w:rPr>
        <w:t>保险金不足的补偿</w:t>
      </w:r>
    </w:p>
    <w:p>
      <w:pPr>
        <w:spacing w:line="360" w:lineRule="auto"/>
        <w:rPr>
          <w:rFonts w:ascii="宋体" w:cs="宋体"/>
          <w:color w:val="000000"/>
          <w:szCs w:val="21"/>
          <w:highlight w:val="none"/>
        </w:rPr>
      </w:pPr>
      <w:r>
        <w:rPr>
          <w:rFonts w:hint="eastAsia" w:ascii="宋体" w:hAnsi="宋体" w:cs="宋体"/>
          <w:color w:val="000000"/>
          <w:szCs w:val="21"/>
          <w:highlight w:val="none"/>
        </w:rPr>
        <w:t>保险金不足以补偿损失时，承包人和发包人负责补偿的责任分摊：</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pStyle w:val="89"/>
        <w:spacing w:before="0" w:line="360" w:lineRule="auto"/>
        <w:outlineLvl w:val="9"/>
        <w:rPr>
          <w:rFonts w:ascii="宋体" w:hAnsi="宋体" w:eastAsia="宋体"/>
          <w:color w:val="000000"/>
          <w:sz w:val="21"/>
          <w:szCs w:val="21"/>
          <w:highlight w:val="none"/>
        </w:rPr>
      </w:pPr>
      <w:bookmarkStart w:id="1101" w:name="_Toc144974720"/>
      <w:bookmarkStart w:id="1102" w:name="_Toc152042528"/>
      <w:bookmarkStart w:id="1103" w:name="_Toc152045749"/>
      <w:bookmarkStart w:id="1104" w:name="_Toc179632767"/>
      <w:bookmarkStart w:id="1105" w:name="_Toc241459744"/>
      <w:bookmarkStart w:id="1106" w:name="_Toc342296503"/>
      <w:bookmarkStart w:id="1107" w:name="_Toc371939265"/>
      <w:bookmarkStart w:id="1108" w:name="_Toc389141144"/>
      <w:bookmarkStart w:id="1109" w:name="_Toc409517674"/>
      <w:bookmarkStart w:id="1110" w:name="_Toc409517962"/>
      <w:bookmarkStart w:id="1111" w:name="_Toc409518250"/>
      <w:bookmarkStart w:id="1112" w:name="_Toc424289505"/>
      <w:bookmarkStart w:id="1113" w:name="_Toc8385"/>
      <w:bookmarkStart w:id="1114" w:name="_Toc4298"/>
      <w:r>
        <w:rPr>
          <w:rFonts w:ascii="宋体" w:hAnsi="宋体" w:eastAsia="宋体"/>
          <w:color w:val="000000"/>
          <w:sz w:val="21"/>
          <w:szCs w:val="21"/>
          <w:highlight w:val="none"/>
        </w:rPr>
        <w:t xml:space="preserve">21. </w:t>
      </w:r>
      <w:r>
        <w:rPr>
          <w:rFonts w:hint="eastAsia" w:ascii="宋体" w:hAnsi="宋体" w:eastAsia="宋体"/>
          <w:color w:val="000000"/>
          <w:sz w:val="21"/>
          <w:szCs w:val="21"/>
          <w:highlight w:val="none"/>
        </w:rPr>
        <w:t>不可抗力</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126"/>
        <w:spacing w:line="360" w:lineRule="auto"/>
        <w:outlineLvl w:val="9"/>
        <w:rPr>
          <w:rFonts w:ascii="宋体" w:hAnsi="宋体" w:eastAsia="宋体"/>
          <w:color w:val="000000"/>
          <w:sz w:val="21"/>
          <w:szCs w:val="21"/>
          <w:highlight w:val="none"/>
        </w:rPr>
      </w:pPr>
      <w:bookmarkStart w:id="1115" w:name="_Toc144974721"/>
      <w:bookmarkStart w:id="1116" w:name="_Toc152042529"/>
      <w:bookmarkStart w:id="1117" w:name="_Toc152045750"/>
      <w:bookmarkStart w:id="1118" w:name="_Toc179632768"/>
      <w:bookmarkStart w:id="1119" w:name="_Toc241459745"/>
      <w:bookmarkStart w:id="1120" w:name="_Toc342296504"/>
      <w:bookmarkStart w:id="1121" w:name="_Toc371939266"/>
      <w:bookmarkStart w:id="1122" w:name="_Toc389141145"/>
      <w:bookmarkStart w:id="1123" w:name="_Toc409517675"/>
      <w:bookmarkStart w:id="1124" w:name="_Toc409517963"/>
      <w:bookmarkStart w:id="1125" w:name="_Toc409518251"/>
      <w:bookmarkStart w:id="1126" w:name="_Toc424289506"/>
      <w:bookmarkStart w:id="1127" w:name="_Toc27593"/>
      <w:r>
        <w:rPr>
          <w:rFonts w:ascii="宋体" w:hAnsi="宋体" w:eastAsia="宋体"/>
          <w:color w:val="000000"/>
          <w:sz w:val="21"/>
          <w:szCs w:val="21"/>
          <w:highlight w:val="none"/>
        </w:rPr>
        <w:t xml:space="preserve">21.1 </w:t>
      </w:r>
      <w:r>
        <w:rPr>
          <w:rFonts w:hint="eastAsia" w:ascii="宋体" w:hAnsi="宋体" w:eastAsia="宋体"/>
          <w:color w:val="000000"/>
          <w:sz w:val="21"/>
          <w:szCs w:val="21"/>
          <w:highlight w:val="none"/>
        </w:rPr>
        <w:t>不可抗力的确认</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spacing w:line="360" w:lineRule="auto"/>
        <w:rPr>
          <w:rFonts w:ascii="宋体" w:cs="宋体"/>
          <w:color w:val="000000"/>
          <w:szCs w:val="21"/>
          <w:highlight w:val="none"/>
        </w:rPr>
      </w:pPr>
      <w:r>
        <w:rPr>
          <w:rFonts w:ascii="宋体" w:hAnsi="宋体" w:cs="宋体"/>
          <w:color w:val="000000"/>
          <w:szCs w:val="21"/>
          <w:highlight w:val="none"/>
        </w:rPr>
        <w:t>21.1.1</w:t>
      </w:r>
      <w:r>
        <w:rPr>
          <w:rFonts w:hint="eastAsia" w:ascii="宋体" w:hAnsi="宋体" w:cs="宋体"/>
          <w:color w:val="000000"/>
          <w:szCs w:val="21"/>
          <w:highlight w:val="none"/>
        </w:rPr>
        <w:t>通用合同条款第</w:t>
      </w:r>
      <w:r>
        <w:rPr>
          <w:rFonts w:ascii="宋体" w:hAnsi="宋体" w:cs="宋体"/>
          <w:color w:val="000000"/>
          <w:szCs w:val="21"/>
          <w:highlight w:val="none"/>
        </w:rPr>
        <w:t>21.1.1</w:t>
      </w:r>
      <w:r>
        <w:rPr>
          <w:rFonts w:hint="eastAsia" w:ascii="宋体" w:hAnsi="宋体" w:cs="宋体"/>
          <w:color w:val="000000"/>
          <w:szCs w:val="21"/>
          <w:highlight w:val="none"/>
        </w:rPr>
        <w:t>项约定的不可抗力以外的其他情形：</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七级以上地震、</w:t>
      </w:r>
      <w:r>
        <w:rPr>
          <w:rFonts w:ascii="宋体" w:hAnsi="宋体" w:cs="宋体"/>
          <w:color w:val="000000"/>
          <w:szCs w:val="21"/>
          <w:highlight w:val="none"/>
          <w:u w:val="single"/>
        </w:rPr>
        <w:t>24</w:t>
      </w:r>
      <w:r>
        <w:rPr>
          <w:rFonts w:hint="eastAsia" w:ascii="宋体" w:hAnsi="宋体" w:cs="宋体"/>
          <w:color w:val="000000"/>
          <w:szCs w:val="21"/>
          <w:highlight w:val="none"/>
          <w:u w:val="single"/>
        </w:rPr>
        <w:t>小时连续降雨量超过</w:t>
      </w:r>
      <w:r>
        <w:rPr>
          <w:rFonts w:ascii="宋体" w:hAnsi="宋体" w:cs="宋体"/>
          <w:color w:val="000000"/>
          <w:szCs w:val="21"/>
          <w:highlight w:val="none"/>
          <w:u w:val="single"/>
        </w:rPr>
        <w:t>100mm</w:t>
      </w:r>
      <w:r>
        <w:rPr>
          <w:rFonts w:hint="eastAsia" w:ascii="宋体" w:hAnsi="宋体" w:cs="宋体"/>
          <w:color w:val="000000"/>
          <w:szCs w:val="21"/>
          <w:highlight w:val="none"/>
          <w:u w:val="single"/>
        </w:rPr>
        <w:t>以上、战争、动乱、当地</w:t>
      </w:r>
      <w:r>
        <w:rPr>
          <w:rFonts w:ascii="宋体" w:hAnsi="宋体" w:cs="宋体"/>
          <w:color w:val="000000"/>
          <w:szCs w:val="21"/>
          <w:highlight w:val="none"/>
          <w:u w:val="single"/>
        </w:rPr>
        <w:t>50</w:t>
      </w:r>
      <w:r>
        <w:rPr>
          <w:rFonts w:hint="eastAsia" w:ascii="宋体" w:hAnsi="宋体" w:cs="宋体"/>
          <w:color w:val="000000"/>
          <w:szCs w:val="21"/>
          <w:highlight w:val="none"/>
          <w:u w:val="single"/>
        </w:rPr>
        <w:t>年一遇的洪水或其他非发包人、承包人责任造成的爆炸、水灾等</w:t>
      </w:r>
      <w:r>
        <w:rPr>
          <w:rFonts w:hint="eastAsia" w:ascii="宋体" w:hAnsi="宋体" w:cs="宋体"/>
          <w:color w:val="000000"/>
          <w:szCs w:val="21"/>
          <w:highlight w:val="none"/>
        </w:rPr>
        <w:t>。</w:t>
      </w:r>
    </w:p>
    <w:p>
      <w:pPr>
        <w:spacing w:line="360" w:lineRule="auto"/>
        <w:rPr>
          <w:rFonts w:ascii="宋体" w:cs="宋体"/>
          <w:color w:val="000000"/>
          <w:szCs w:val="21"/>
          <w:highlight w:val="none"/>
        </w:rPr>
      </w:pPr>
      <w:r>
        <w:rPr>
          <w:rFonts w:hint="eastAsia" w:ascii="宋体" w:hAnsi="宋体" w:cs="宋体"/>
          <w:color w:val="000000"/>
          <w:szCs w:val="21"/>
          <w:highlight w:val="none"/>
        </w:rPr>
        <w:t>不可抗力的等级范围约定：</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pStyle w:val="126"/>
        <w:spacing w:line="360" w:lineRule="auto"/>
        <w:outlineLvl w:val="9"/>
        <w:rPr>
          <w:rFonts w:ascii="宋体" w:hAnsi="宋体" w:eastAsia="宋体"/>
          <w:color w:val="000000"/>
          <w:sz w:val="21"/>
          <w:szCs w:val="21"/>
          <w:highlight w:val="none"/>
        </w:rPr>
      </w:pPr>
      <w:bookmarkStart w:id="1128" w:name="_Toc409517964"/>
      <w:bookmarkStart w:id="1129" w:name="_Toc144974723"/>
      <w:bookmarkStart w:id="1130" w:name="_Toc342296505"/>
      <w:bookmarkStart w:id="1131" w:name="_Toc241459746"/>
      <w:bookmarkStart w:id="1132" w:name="_Toc179632770"/>
      <w:bookmarkStart w:id="1133" w:name="_Toc152042531"/>
      <w:bookmarkStart w:id="1134" w:name="_Toc371939267"/>
      <w:bookmarkStart w:id="1135" w:name="_Toc152045752"/>
      <w:bookmarkStart w:id="1136" w:name="_Toc409517676"/>
      <w:bookmarkStart w:id="1137" w:name="_Toc389141146"/>
      <w:bookmarkStart w:id="1138" w:name="_Toc409518252"/>
      <w:bookmarkStart w:id="1139" w:name="_Toc424289507"/>
      <w:bookmarkStart w:id="1140" w:name="_Toc12518"/>
      <w:r>
        <w:rPr>
          <w:rFonts w:ascii="宋体" w:hAnsi="宋体" w:eastAsia="宋体"/>
          <w:color w:val="000000"/>
          <w:sz w:val="21"/>
          <w:szCs w:val="21"/>
          <w:highlight w:val="none"/>
        </w:rPr>
        <w:t xml:space="preserve">21.3 </w:t>
      </w:r>
      <w:r>
        <w:rPr>
          <w:rFonts w:hint="eastAsia" w:ascii="宋体" w:hAnsi="宋体" w:eastAsia="宋体"/>
          <w:color w:val="000000"/>
          <w:sz w:val="21"/>
          <w:szCs w:val="21"/>
          <w:highlight w:val="none"/>
        </w:rPr>
        <w:t>不可抗力后果及其处理</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spacing w:line="360" w:lineRule="auto"/>
        <w:ind w:firstLine="420" w:firstLineChars="200"/>
        <w:rPr>
          <w:rFonts w:ascii="宋体" w:cs="宋体"/>
          <w:color w:val="000000"/>
          <w:szCs w:val="21"/>
          <w:highlight w:val="none"/>
        </w:rPr>
      </w:pPr>
      <w:r>
        <w:rPr>
          <w:rFonts w:ascii="宋体" w:hAnsi="宋体" w:cs="宋体"/>
          <w:color w:val="000000"/>
          <w:szCs w:val="21"/>
          <w:highlight w:val="none"/>
        </w:rPr>
        <w:t>21.3.1</w:t>
      </w:r>
      <w:r>
        <w:rPr>
          <w:rFonts w:hint="eastAsia" w:ascii="宋体" w:hAnsi="宋体" w:cs="宋体"/>
          <w:color w:val="000000"/>
          <w:szCs w:val="21"/>
          <w:highlight w:val="none"/>
        </w:rPr>
        <w:t>不可抗力造成损害的责任</w:t>
      </w:r>
    </w:p>
    <w:p>
      <w:pPr>
        <w:spacing w:line="360" w:lineRule="auto"/>
        <w:ind w:firstLine="420" w:firstLineChars="200"/>
        <w:rPr>
          <w:rFonts w:ascii="宋体" w:hAnsi="宋体" w:cs="宋体"/>
          <w:color w:val="000000"/>
          <w:szCs w:val="21"/>
          <w:highlight w:val="none"/>
        </w:rPr>
      </w:pPr>
      <w:r>
        <w:rPr>
          <w:rFonts w:hint="eastAsia" w:ascii="宋体" w:hAnsi="宋体" w:cs="宋体"/>
          <w:color w:val="000000"/>
          <w:szCs w:val="21"/>
          <w:highlight w:val="none"/>
        </w:rPr>
        <w:t>不可抗力导致的人员伤亡、财产损失、费用增加和（或）工期延误等后果，由合同双方按通用合同条款第</w:t>
      </w:r>
      <w:r>
        <w:rPr>
          <w:rFonts w:ascii="宋体" w:hAnsi="宋体" w:cs="宋体"/>
          <w:color w:val="000000"/>
          <w:szCs w:val="21"/>
          <w:highlight w:val="none"/>
        </w:rPr>
        <w:t>21.3.1</w:t>
      </w:r>
      <w:r>
        <w:rPr>
          <w:rFonts w:hint="eastAsia" w:ascii="宋体" w:hAnsi="宋体" w:cs="宋体"/>
          <w:color w:val="000000"/>
          <w:szCs w:val="21"/>
          <w:highlight w:val="none"/>
        </w:rPr>
        <w:t>项约定的原则承担。</w:t>
      </w:r>
      <w:r>
        <w:rPr>
          <w:rFonts w:ascii="宋体" w:hAnsi="宋体" w:cs="宋体"/>
          <w:color w:val="000000"/>
          <w:szCs w:val="21"/>
          <w:highlight w:val="none"/>
        </w:rPr>
        <w:t xml:space="preserve">                                                                      </w:t>
      </w:r>
    </w:p>
    <w:p>
      <w:pPr>
        <w:pStyle w:val="89"/>
        <w:spacing w:before="0" w:line="360" w:lineRule="auto"/>
        <w:outlineLvl w:val="9"/>
        <w:rPr>
          <w:rFonts w:ascii="宋体" w:hAnsi="宋体" w:eastAsia="宋体"/>
          <w:color w:val="000000"/>
          <w:sz w:val="21"/>
          <w:szCs w:val="21"/>
          <w:highlight w:val="none"/>
        </w:rPr>
      </w:pPr>
      <w:bookmarkStart w:id="1141" w:name="_Toc144974732"/>
      <w:bookmarkStart w:id="1142" w:name="_Toc152042541"/>
      <w:bookmarkStart w:id="1143" w:name="_Toc152045762"/>
      <w:bookmarkStart w:id="1144" w:name="_Toc179632780"/>
      <w:bookmarkStart w:id="1145" w:name="_Toc241459747"/>
      <w:bookmarkStart w:id="1146" w:name="_Toc342296506"/>
      <w:bookmarkStart w:id="1147" w:name="_Toc371939268"/>
      <w:bookmarkStart w:id="1148" w:name="_Toc389141147"/>
      <w:bookmarkStart w:id="1149" w:name="_Toc409517677"/>
      <w:bookmarkStart w:id="1150" w:name="_Toc409517965"/>
      <w:bookmarkStart w:id="1151" w:name="_Toc409518253"/>
      <w:bookmarkStart w:id="1152" w:name="_Toc424289508"/>
      <w:bookmarkStart w:id="1153" w:name="_Toc23459"/>
      <w:bookmarkStart w:id="1154" w:name="_Toc6117"/>
      <w:r>
        <w:rPr>
          <w:rFonts w:ascii="宋体" w:hAnsi="宋体" w:eastAsia="宋体"/>
          <w:color w:val="000000"/>
          <w:sz w:val="21"/>
          <w:szCs w:val="21"/>
          <w:highlight w:val="none"/>
        </w:rPr>
        <w:t xml:space="preserve">24. </w:t>
      </w:r>
      <w:r>
        <w:rPr>
          <w:rFonts w:hint="eastAsia" w:ascii="宋体" w:hAnsi="宋体" w:eastAsia="宋体"/>
          <w:color w:val="000000"/>
          <w:sz w:val="21"/>
          <w:szCs w:val="21"/>
          <w:highlight w:val="none"/>
        </w:rPr>
        <w:t>争议的解决</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126"/>
        <w:spacing w:line="360" w:lineRule="auto"/>
        <w:outlineLvl w:val="9"/>
        <w:rPr>
          <w:rFonts w:ascii="宋体" w:hAnsi="宋体" w:eastAsia="宋体"/>
          <w:color w:val="000000"/>
          <w:sz w:val="21"/>
          <w:szCs w:val="21"/>
          <w:highlight w:val="none"/>
        </w:rPr>
      </w:pPr>
      <w:bookmarkStart w:id="1155" w:name="_Toc144974733"/>
      <w:bookmarkStart w:id="1156" w:name="_Toc152042542"/>
      <w:bookmarkStart w:id="1157" w:name="_Toc152045763"/>
      <w:bookmarkStart w:id="1158" w:name="_Toc179632781"/>
      <w:bookmarkStart w:id="1159" w:name="_Toc241459748"/>
      <w:bookmarkStart w:id="1160" w:name="_Toc342296507"/>
      <w:bookmarkStart w:id="1161" w:name="_Toc371939269"/>
      <w:bookmarkStart w:id="1162" w:name="_Toc389141148"/>
      <w:bookmarkStart w:id="1163" w:name="_Toc409517678"/>
      <w:bookmarkStart w:id="1164" w:name="_Toc409517966"/>
      <w:bookmarkStart w:id="1165" w:name="_Toc409518254"/>
      <w:bookmarkStart w:id="1166" w:name="_Toc424289509"/>
      <w:bookmarkStart w:id="1167" w:name="_Toc26396"/>
      <w:r>
        <w:rPr>
          <w:rFonts w:ascii="宋体" w:hAnsi="宋体" w:eastAsia="宋体"/>
          <w:color w:val="000000"/>
          <w:sz w:val="21"/>
          <w:szCs w:val="21"/>
          <w:highlight w:val="none"/>
        </w:rPr>
        <w:t xml:space="preserve">24.1 </w:t>
      </w:r>
      <w:r>
        <w:rPr>
          <w:rFonts w:hint="eastAsia" w:ascii="宋体" w:hAnsi="宋体" w:eastAsia="宋体"/>
          <w:color w:val="000000"/>
          <w:sz w:val="21"/>
          <w:szCs w:val="21"/>
          <w:highlight w:val="none"/>
        </w:rPr>
        <w:t>争议的解决方式</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spacing w:line="360" w:lineRule="auto"/>
        <w:ind w:firstLine="525"/>
        <w:rPr>
          <w:rFonts w:ascii="宋体" w:cs="宋体"/>
          <w:color w:val="000000"/>
          <w:szCs w:val="21"/>
          <w:highlight w:val="none"/>
        </w:rPr>
      </w:pPr>
      <w:bookmarkStart w:id="1168" w:name="_Toc152045764"/>
      <w:bookmarkStart w:id="1169" w:name="_Toc179632782"/>
      <w:bookmarkStart w:id="1170" w:name="_Toc152042543"/>
      <w:bookmarkStart w:id="1171" w:name="_Toc144974734"/>
      <w:r>
        <w:rPr>
          <w:rFonts w:hint="eastAsia" w:ascii="宋体" w:hAnsi="宋体" w:cs="宋体"/>
          <w:color w:val="000000"/>
          <w:szCs w:val="21"/>
          <w:highlight w:val="none"/>
        </w:rPr>
        <w:t>因本合同引起的或与本合同有关的任何争议，合同双方友好协商不成、不愿提请争议组评审或者不愿接受争议评审组意见的，选择下列第</w:t>
      </w:r>
      <w:r>
        <w:rPr>
          <w:rFonts w:hint="eastAsia" w:ascii="宋体" w:hAnsi="宋体" w:cs="宋体"/>
          <w:color w:val="000000"/>
          <w:szCs w:val="21"/>
          <w:highlight w:val="none"/>
          <w:u w:val="single"/>
        </w:rPr>
        <w:t>壹</w:t>
      </w:r>
      <w:r>
        <w:rPr>
          <w:rFonts w:hint="eastAsia" w:ascii="宋体" w:hAnsi="宋体" w:cs="宋体"/>
          <w:color w:val="000000"/>
          <w:szCs w:val="21"/>
          <w:highlight w:val="none"/>
        </w:rPr>
        <w:t>种方式解决：</w:t>
      </w:r>
    </w:p>
    <w:p>
      <w:pPr>
        <w:spacing w:line="360" w:lineRule="auto"/>
        <w:ind w:firstLine="525"/>
        <w:rPr>
          <w:rFonts w:ascii="宋体" w:cs="宋体"/>
          <w:color w:val="000000"/>
          <w:szCs w:val="21"/>
          <w:highlight w:val="none"/>
        </w:rPr>
      </w:pPr>
      <w:r>
        <w:rPr>
          <w:rFonts w:hint="eastAsia" w:ascii="宋体" w:hAnsi="宋体" w:cs="宋体"/>
          <w:color w:val="000000"/>
          <w:szCs w:val="21"/>
          <w:highlight w:val="none"/>
          <w:u w:val="single"/>
        </w:rPr>
        <w:t>（壹）</w:t>
      </w:r>
      <w:r>
        <w:rPr>
          <w:rFonts w:hint="eastAsia" w:ascii="宋体" w:hAnsi="宋体" w:cs="宋体"/>
          <w:color w:val="000000"/>
          <w:szCs w:val="21"/>
          <w:highlight w:val="none"/>
        </w:rPr>
        <w:t>提请</w:t>
      </w:r>
      <w:r>
        <w:rPr>
          <w:rFonts w:ascii="宋体" w:hAnsi="宋体" w:cs="宋体"/>
          <w:color w:val="000000"/>
          <w:szCs w:val="21"/>
          <w:highlight w:val="none"/>
          <w:u w:val="single"/>
        </w:rPr>
        <w:t xml:space="preserve">  </w:t>
      </w:r>
      <w:r>
        <w:rPr>
          <w:rFonts w:hint="eastAsia" w:ascii="宋体" w:hAnsi="宋体" w:cs="宋体"/>
          <w:color w:val="000000"/>
          <w:szCs w:val="21"/>
          <w:highlight w:val="none"/>
          <w:u w:val="single"/>
        </w:rPr>
        <w:t>北京市</w:t>
      </w:r>
      <w:r>
        <w:rPr>
          <w:rFonts w:ascii="宋体" w:hAnsi="宋体" w:cs="宋体"/>
          <w:color w:val="000000"/>
          <w:szCs w:val="21"/>
          <w:highlight w:val="none"/>
          <w:u w:val="single"/>
        </w:rPr>
        <w:t xml:space="preserve"> </w:t>
      </w:r>
      <w:r>
        <w:rPr>
          <w:rFonts w:hint="eastAsia" w:ascii="宋体" w:hAnsi="宋体" w:cs="宋体"/>
          <w:color w:val="000000"/>
          <w:szCs w:val="21"/>
          <w:highlight w:val="none"/>
        </w:rPr>
        <w:t>仲裁委员会按照该会仲裁规则进行仲裁，仲裁裁决是终局的，对合同双方均有约束力。</w:t>
      </w:r>
    </w:p>
    <w:p>
      <w:pPr>
        <w:spacing w:line="360" w:lineRule="auto"/>
        <w:ind w:firstLine="525"/>
        <w:rPr>
          <w:rFonts w:ascii="宋体" w:cs="宋体"/>
          <w:color w:val="000000"/>
          <w:szCs w:val="21"/>
          <w:highlight w:val="none"/>
        </w:rPr>
      </w:pPr>
      <w:r>
        <w:rPr>
          <w:rFonts w:hint="eastAsia" w:ascii="宋体" w:hAnsi="宋体" w:cs="宋体"/>
          <w:color w:val="000000"/>
          <w:szCs w:val="21"/>
          <w:highlight w:val="none"/>
          <w:u w:val="single"/>
        </w:rPr>
        <w:t>（贰）</w:t>
      </w:r>
      <w:r>
        <w:rPr>
          <w:rFonts w:hint="eastAsia" w:ascii="宋体" w:hAnsi="宋体" w:cs="宋体"/>
          <w:color w:val="000000"/>
          <w:szCs w:val="21"/>
          <w:highlight w:val="none"/>
        </w:rPr>
        <w:t>向有管辖权的人民法院提起诉讼。</w:t>
      </w:r>
    </w:p>
    <w:bookmarkEnd w:id="1168"/>
    <w:bookmarkEnd w:id="1169"/>
    <w:bookmarkEnd w:id="1170"/>
    <w:bookmarkEnd w:id="1171"/>
    <w:p>
      <w:pPr>
        <w:pStyle w:val="126"/>
        <w:spacing w:line="360" w:lineRule="auto"/>
        <w:outlineLvl w:val="9"/>
        <w:rPr>
          <w:rFonts w:ascii="宋体" w:hAnsi="宋体" w:eastAsia="宋体"/>
          <w:color w:val="000000"/>
          <w:sz w:val="21"/>
          <w:szCs w:val="21"/>
          <w:highlight w:val="none"/>
        </w:rPr>
      </w:pPr>
      <w:bookmarkStart w:id="1172" w:name="_Toc144974735"/>
      <w:bookmarkStart w:id="1173" w:name="_Toc152042544"/>
      <w:bookmarkStart w:id="1174" w:name="_Toc152045765"/>
      <w:bookmarkStart w:id="1175" w:name="_Toc179632783"/>
      <w:bookmarkStart w:id="1176" w:name="_Toc241459749"/>
      <w:bookmarkStart w:id="1177" w:name="_Toc342296508"/>
      <w:bookmarkStart w:id="1178" w:name="_Toc371939270"/>
      <w:bookmarkStart w:id="1179" w:name="_Toc389141149"/>
      <w:bookmarkStart w:id="1180" w:name="_Toc409517679"/>
      <w:bookmarkStart w:id="1181" w:name="_Toc409517967"/>
      <w:bookmarkStart w:id="1182" w:name="_Toc409518255"/>
      <w:bookmarkStart w:id="1183" w:name="_Toc424289510"/>
      <w:bookmarkStart w:id="1184" w:name="_Toc29653"/>
      <w:r>
        <w:rPr>
          <w:rFonts w:ascii="宋体" w:hAnsi="宋体" w:eastAsia="宋体"/>
          <w:color w:val="000000"/>
          <w:sz w:val="21"/>
          <w:szCs w:val="21"/>
          <w:highlight w:val="none"/>
        </w:rPr>
        <w:t xml:space="preserve">24.3 </w:t>
      </w:r>
      <w:r>
        <w:rPr>
          <w:rFonts w:hint="eastAsia" w:ascii="宋体" w:hAnsi="宋体" w:eastAsia="宋体"/>
          <w:color w:val="000000"/>
          <w:sz w:val="21"/>
          <w:szCs w:val="21"/>
          <w:highlight w:val="none"/>
        </w:rPr>
        <w:t>争议评审</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spacing w:line="360" w:lineRule="auto"/>
        <w:ind w:firstLine="525"/>
        <w:rPr>
          <w:rFonts w:ascii="宋体" w:cs="宋体"/>
          <w:color w:val="000000"/>
          <w:szCs w:val="21"/>
          <w:highlight w:val="none"/>
        </w:rPr>
      </w:pPr>
      <w:r>
        <w:rPr>
          <w:rFonts w:ascii="宋体" w:hAnsi="宋体" w:cs="宋体"/>
          <w:color w:val="000000"/>
          <w:szCs w:val="21"/>
          <w:highlight w:val="none"/>
        </w:rPr>
        <w:t>24.3.4</w:t>
      </w:r>
      <w:r>
        <w:rPr>
          <w:rFonts w:hint="eastAsia" w:ascii="宋体" w:hAnsi="宋体" w:cs="宋体"/>
          <w:color w:val="000000"/>
          <w:szCs w:val="21"/>
          <w:highlight w:val="none"/>
        </w:rPr>
        <w:t>争议评审组邀请合同双方代表人和有关人员举行调查会的期限：</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spacing w:line="360" w:lineRule="auto"/>
        <w:ind w:firstLine="525"/>
        <w:rPr>
          <w:rFonts w:ascii="宋体" w:cs="宋体"/>
          <w:color w:val="000000"/>
          <w:szCs w:val="21"/>
          <w:highlight w:val="none"/>
        </w:rPr>
      </w:pPr>
      <w:r>
        <w:rPr>
          <w:rFonts w:ascii="宋体" w:hAnsi="宋体" w:cs="宋体"/>
          <w:color w:val="000000"/>
          <w:szCs w:val="21"/>
          <w:highlight w:val="none"/>
        </w:rPr>
        <w:t>24.3.5</w:t>
      </w:r>
      <w:r>
        <w:rPr>
          <w:rFonts w:hint="eastAsia" w:ascii="宋体" w:hAnsi="宋体" w:cs="宋体"/>
          <w:color w:val="000000"/>
          <w:szCs w:val="21"/>
          <w:highlight w:val="none"/>
        </w:rPr>
        <w:t>争议评审组在调查会后作出争议评审意见的期限：</w:t>
      </w:r>
      <w:r>
        <w:rPr>
          <w:rFonts w:ascii="宋体" w:hAnsi="宋体" w:cs="宋体"/>
          <w:color w:val="000000"/>
          <w:szCs w:val="21"/>
          <w:highlight w:val="none"/>
          <w:u w:val="single"/>
        </w:rPr>
        <w:t xml:space="preserve">        /         </w:t>
      </w:r>
      <w:r>
        <w:rPr>
          <w:rFonts w:hint="eastAsia" w:ascii="宋体" w:hAnsi="宋体" w:cs="宋体"/>
          <w:color w:val="000000"/>
          <w:szCs w:val="21"/>
          <w:highlight w:val="none"/>
        </w:rPr>
        <w:t>。</w:t>
      </w:r>
    </w:p>
    <w:p>
      <w:pPr>
        <w:pStyle w:val="89"/>
        <w:spacing w:before="0" w:afterLines="50" w:line="300" w:lineRule="auto"/>
        <w:jc w:val="center"/>
        <w:rPr>
          <w:highlight w:val="none"/>
        </w:rPr>
      </w:pPr>
      <w:r>
        <w:rPr>
          <w:highlight w:val="none"/>
        </w:rPr>
        <w:br w:type="page"/>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jc w:val="center"/>
        <w:rPr>
          <w:highlight w:val="none"/>
        </w:rPr>
      </w:pPr>
      <w:bookmarkStart w:id="1185" w:name="_Toc508871669"/>
      <w:r>
        <w:rPr>
          <w:rFonts w:hint="eastAsia"/>
          <w:highlight w:val="none"/>
        </w:rPr>
        <w:t>第七章响应文件格式</w:t>
      </w:r>
      <w:bookmarkEnd w:id="1185"/>
    </w:p>
    <w:p>
      <w:pPr>
        <w:pStyle w:val="29"/>
        <w:spacing w:beforeLines="100" w:afterLines="100" w:line="264" w:lineRule="auto"/>
        <w:jc w:val="center"/>
        <w:rPr>
          <w:highlight w:val="none"/>
        </w:rPr>
      </w:pPr>
      <w:r>
        <w:rPr>
          <w:highlight w:val="none"/>
        </w:rPr>
        <w:br w:type="page"/>
      </w:r>
    </w:p>
    <w:p>
      <w:pPr>
        <w:pStyle w:val="29"/>
        <w:spacing w:beforeLines="100" w:afterLines="100" w:line="264" w:lineRule="auto"/>
        <w:rPr>
          <w:highlight w:val="none"/>
        </w:rPr>
      </w:pPr>
    </w:p>
    <w:p>
      <w:pPr>
        <w:pStyle w:val="29"/>
        <w:spacing w:beforeLines="100" w:afterLines="100" w:line="264" w:lineRule="auto"/>
        <w:jc w:val="center"/>
        <w:rPr>
          <w:highlight w:val="none"/>
        </w:rPr>
      </w:pPr>
    </w:p>
    <w:p>
      <w:pPr>
        <w:pStyle w:val="29"/>
        <w:spacing w:beforeLines="100" w:afterLines="100" w:line="264" w:lineRule="auto"/>
        <w:jc w:val="center"/>
        <w:rPr>
          <w:rFonts w:hAnsi="宋体"/>
          <w:sz w:val="36"/>
          <w:szCs w:val="36"/>
          <w:highlight w:val="none"/>
          <w:u w:val="single"/>
        </w:rPr>
      </w:pPr>
      <w:r>
        <w:rPr>
          <w:rFonts w:hint="eastAsia" w:hAnsi="宋体"/>
          <w:sz w:val="36"/>
          <w:szCs w:val="36"/>
          <w:highlight w:val="none"/>
          <w:u w:val="single"/>
        </w:rPr>
        <w:t>（项目名称）</w:t>
      </w:r>
    </w:p>
    <w:p>
      <w:pPr>
        <w:pStyle w:val="29"/>
        <w:spacing w:beforeLines="100" w:afterLines="100" w:line="264" w:lineRule="auto"/>
        <w:jc w:val="center"/>
        <w:rPr>
          <w:rFonts w:hAnsi="宋体"/>
          <w:b/>
          <w:sz w:val="32"/>
          <w:highlight w:val="none"/>
        </w:rPr>
      </w:pPr>
      <w:r>
        <w:rPr>
          <w:rFonts w:hint="eastAsia" w:hAnsi="宋体"/>
          <w:sz w:val="32"/>
          <w:highlight w:val="none"/>
        </w:rPr>
        <w:t>项目编号：</w:t>
      </w:r>
      <w:r>
        <w:rPr>
          <w:rFonts w:hAnsi="宋体"/>
          <w:sz w:val="36"/>
          <w:highlight w:val="none"/>
        </w:rPr>
        <w:t>________________</w:t>
      </w:r>
    </w:p>
    <w:p>
      <w:pPr>
        <w:pStyle w:val="29"/>
        <w:spacing w:beforeLines="100" w:afterLines="100" w:line="264" w:lineRule="auto"/>
        <w:jc w:val="center"/>
        <w:rPr>
          <w:rFonts w:hAnsi="宋体"/>
          <w:sz w:val="44"/>
          <w:highlight w:val="none"/>
        </w:rPr>
      </w:pPr>
    </w:p>
    <w:p>
      <w:pPr>
        <w:pStyle w:val="29"/>
        <w:spacing w:beforeLines="100" w:afterLines="100" w:line="264" w:lineRule="auto"/>
        <w:jc w:val="center"/>
        <w:rPr>
          <w:rFonts w:hAnsi="宋体"/>
          <w:sz w:val="44"/>
          <w:highlight w:val="none"/>
        </w:rPr>
      </w:pPr>
    </w:p>
    <w:p>
      <w:pPr>
        <w:pStyle w:val="29"/>
        <w:spacing w:beforeLines="100" w:afterLines="100" w:line="264" w:lineRule="auto"/>
        <w:jc w:val="center"/>
        <w:rPr>
          <w:rFonts w:hAnsi="宋体"/>
          <w:sz w:val="44"/>
          <w:highlight w:val="none"/>
        </w:rPr>
      </w:pPr>
    </w:p>
    <w:p>
      <w:pPr>
        <w:pStyle w:val="29"/>
        <w:spacing w:line="264" w:lineRule="auto"/>
        <w:jc w:val="center"/>
        <w:rPr>
          <w:rFonts w:hAnsi="宋体"/>
          <w:b/>
          <w:sz w:val="84"/>
          <w:highlight w:val="none"/>
        </w:rPr>
      </w:pPr>
      <w:r>
        <w:rPr>
          <w:rFonts w:hint="eastAsia" w:hAnsi="宋体"/>
          <w:b/>
          <w:sz w:val="84"/>
          <w:highlight w:val="none"/>
        </w:rPr>
        <w:t>响</w:t>
      </w:r>
      <w:r>
        <w:rPr>
          <w:rFonts w:hAnsi="宋体"/>
          <w:b/>
          <w:sz w:val="84"/>
          <w:highlight w:val="none"/>
        </w:rPr>
        <w:t xml:space="preserve"> </w:t>
      </w:r>
      <w:r>
        <w:rPr>
          <w:rFonts w:hint="eastAsia" w:hAnsi="宋体"/>
          <w:b/>
          <w:sz w:val="84"/>
          <w:highlight w:val="none"/>
        </w:rPr>
        <w:t>应</w:t>
      </w:r>
      <w:r>
        <w:rPr>
          <w:rFonts w:hAnsi="宋体"/>
          <w:b/>
          <w:sz w:val="84"/>
          <w:highlight w:val="none"/>
        </w:rPr>
        <w:t xml:space="preserve"> </w:t>
      </w:r>
      <w:r>
        <w:rPr>
          <w:rFonts w:hint="eastAsia" w:hAnsi="宋体"/>
          <w:b/>
          <w:sz w:val="84"/>
          <w:highlight w:val="none"/>
        </w:rPr>
        <w:t>文</w:t>
      </w:r>
      <w:r>
        <w:rPr>
          <w:rFonts w:hAnsi="宋体"/>
          <w:b/>
          <w:sz w:val="84"/>
          <w:highlight w:val="none"/>
        </w:rPr>
        <w:t xml:space="preserve"> </w:t>
      </w:r>
      <w:r>
        <w:rPr>
          <w:rFonts w:hint="eastAsia" w:hAnsi="宋体"/>
          <w:b/>
          <w:sz w:val="84"/>
          <w:highlight w:val="none"/>
        </w:rPr>
        <w:t>件</w:t>
      </w:r>
    </w:p>
    <w:p>
      <w:pPr>
        <w:pStyle w:val="29"/>
        <w:spacing w:line="264" w:lineRule="auto"/>
        <w:jc w:val="center"/>
        <w:rPr>
          <w:rFonts w:hAnsi="宋体"/>
          <w:sz w:val="44"/>
          <w:highlight w:val="none"/>
        </w:rPr>
      </w:pPr>
    </w:p>
    <w:p>
      <w:pPr>
        <w:pStyle w:val="29"/>
        <w:spacing w:beforeLines="100" w:line="360" w:lineRule="auto"/>
        <w:jc w:val="center"/>
        <w:rPr>
          <w:rFonts w:hAnsi="宋体"/>
          <w:sz w:val="24"/>
          <w:highlight w:val="none"/>
        </w:rPr>
      </w:pPr>
    </w:p>
    <w:p>
      <w:pPr>
        <w:pStyle w:val="29"/>
        <w:spacing w:beforeLines="100" w:line="360" w:lineRule="auto"/>
        <w:jc w:val="center"/>
        <w:rPr>
          <w:rFonts w:hAnsi="宋体"/>
          <w:sz w:val="24"/>
          <w:highlight w:val="none"/>
        </w:rPr>
      </w:pPr>
    </w:p>
    <w:p>
      <w:pPr>
        <w:pStyle w:val="29"/>
        <w:spacing w:beforeLines="100" w:line="360" w:lineRule="auto"/>
        <w:jc w:val="center"/>
        <w:rPr>
          <w:rFonts w:hAnsi="宋体"/>
          <w:sz w:val="24"/>
          <w:highlight w:val="none"/>
        </w:rPr>
      </w:pPr>
    </w:p>
    <w:p>
      <w:pPr>
        <w:pStyle w:val="29"/>
        <w:spacing w:line="264" w:lineRule="auto"/>
        <w:jc w:val="center"/>
        <w:rPr>
          <w:rFonts w:hAnsi="宋体"/>
          <w:sz w:val="72"/>
          <w:highlight w:val="none"/>
        </w:rPr>
      </w:pPr>
    </w:p>
    <w:p>
      <w:pPr>
        <w:pStyle w:val="29"/>
        <w:spacing w:before="120" w:after="120" w:line="480" w:lineRule="auto"/>
        <w:ind w:firstLine="560" w:firstLineChars="200"/>
        <w:jc w:val="left"/>
        <w:rPr>
          <w:rFonts w:hAnsi="宋体"/>
          <w:sz w:val="28"/>
          <w:highlight w:val="none"/>
        </w:rPr>
      </w:pPr>
      <w:r>
        <w:rPr>
          <w:rFonts w:hint="eastAsia" w:hAnsi="宋体"/>
          <w:sz w:val="28"/>
          <w:highlight w:val="none"/>
        </w:rPr>
        <w:t>报价人：</w:t>
      </w:r>
      <w:r>
        <w:rPr>
          <w:rFonts w:hint="eastAsia" w:hAnsi="宋体"/>
          <w:sz w:val="24"/>
          <w:highlight w:val="none"/>
        </w:rPr>
        <w:t>（盖报价人单位公章）</w:t>
      </w:r>
    </w:p>
    <w:p>
      <w:pPr>
        <w:pStyle w:val="29"/>
        <w:spacing w:before="120" w:after="120" w:line="480" w:lineRule="auto"/>
        <w:ind w:firstLine="560" w:firstLineChars="200"/>
        <w:rPr>
          <w:rFonts w:hAnsi="宋体"/>
          <w:sz w:val="28"/>
          <w:highlight w:val="none"/>
        </w:rPr>
      </w:pPr>
      <w:r>
        <w:rPr>
          <w:rFonts w:hint="eastAsia" w:hAnsi="宋体"/>
          <w:sz w:val="28"/>
          <w:highlight w:val="none"/>
        </w:rPr>
        <w:t>法定代表人或其委托代理人：（签字）</w:t>
      </w:r>
      <w:r>
        <w:rPr>
          <w:rFonts w:hAnsi="宋体"/>
          <w:sz w:val="28"/>
          <w:highlight w:val="none"/>
        </w:rPr>
        <w:t xml:space="preserve">  </w:t>
      </w:r>
    </w:p>
    <w:p>
      <w:pPr>
        <w:spacing w:before="120" w:after="120" w:line="480" w:lineRule="auto"/>
        <w:ind w:left="540"/>
        <w:rPr>
          <w:rFonts w:hAnsi="宋体"/>
          <w:sz w:val="28"/>
          <w:highlight w:val="none"/>
        </w:rPr>
      </w:pPr>
      <w:r>
        <w:rPr>
          <w:rFonts w:hint="eastAsia" w:hAnsi="宋体"/>
          <w:sz w:val="28"/>
          <w:highlight w:val="none"/>
        </w:rPr>
        <w:t>日期：</w:t>
      </w:r>
      <w:r>
        <w:rPr>
          <w:rFonts w:hAnsi="宋体"/>
          <w:sz w:val="28"/>
          <w:highlight w:val="none"/>
        </w:rPr>
        <w:t>_______</w:t>
      </w:r>
      <w:r>
        <w:rPr>
          <w:rFonts w:hint="eastAsia" w:hAnsi="宋体"/>
          <w:sz w:val="28"/>
          <w:highlight w:val="none"/>
        </w:rPr>
        <w:t>年月日</w:t>
      </w:r>
    </w:p>
    <w:p>
      <w:pPr>
        <w:widowControl/>
        <w:jc w:val="center"/>
        <w:rPr>
          <w:rFonts w:ascii="宋体" w:cs="宋体"/>
          <w:b/>
          <w:bCs/>
          <w:sz w:val="28"/>
          <w:szCs w:val="28"/>
          <w:highlight w:val="none"/>
        </w:rPr>
      </w:pPr>
      <w:r>
        <w:rPr>
          <w:rFonts w:hint="eastAsia" w:ascii="宋体" w:hAnsi="宋体" w:cs="宋体"/>
          <w:b/>
          <w:bCs/>
          <w:sz w:val="28"/>
          <w:szCs w:val="28"/>
          <w:highlight w:val="none"/>
        </w:rPr>
        <w:t>附件</w:t>
      </w:r>
      <w:r>
        <w:rPr>
          <w:rFonts w:ascii="宋体" w:cs="宋体"/>
          <w:b/>
          <w:bCs/>
          <w:sz w:val="28"/>
          <w:szCs w:val="28"/>
          <w:highlight w:val="none"/>
        </w:rPr>
        <w:t>-</w:t>
      </w:r>
      <w:r>
        <w:rPr>
          <w:rFonts w:hint="eastAsia" w:ascii="宋体" w:hAnsi="宋体" w:cs="宋体"/>
          <w:b/>
          <w:bCs/>
          <w:sz w:val="28"/>
          <w:szCs w:val="28"/>
          <w:highlight w:val="none"/>
        </w:rPr>
        <w:t>响应文件格式</w:t>
      </w:r>
    </w:p>
    <w:p>
      <w:pPr>
        <w:widowControl/>
        <w:jc w:val="center"/>
        <w:rPr>
          <w:rFonts w:ascii="宋体" w:cs="宋体"/>
          <w:b/>
          <w:bCs/>
          <w:sz w:val="28"/>
          <w:szCs w:val="28"/>
          <w:highlight w:val="none"/>
        </w:rPr>
      </w:pPr>
      <w:bookmarkStart w:id="1186" w:name="_Toc497038551"/>
      <w:r>
        <w:rPr>
          <w:rFonts w:hint="eastAsia" w:ascii="宋体" w:hAnsi="宋体" w:cs="宋体"/>
          <w:b/>
          <w:bCs/>
          <w:sz w:val="28"/>
          <w:szCs w:val="28"/>
          <w:highlight w:val="none"/>
        </w:rPr>
        <w:t>附件</w:t>
      </w:r>
      <w:r>
        <w:rPr>
          <w:rFonts w:ascii="宋体" w:hAnsi="宋体" w:cs="宋体"/>
          <w:b/>
          <w:bCs/>
          <w:sz w:val="28"/>
          <w:szCs w:val="28"/>
          <w:highlight w:val="none"/>
        </w:rPr>
        <w:t>1</w:t>
      </w:r>
      <w:bookmarkStart w:id="1187" w:name="_Hlt520355504"/>
      <w:bookmarkEnd w:id="1187"/>
      <w:r>
        <w:rPr>
          <w:rFonts w:hint="eastAsia" w:ascii="宋体" w:hAnsi="宋体" w:cs="宋体"/>
          <w:b/>
          <w:bCs/>
          <w:sz w:val="28"/>
          <w:szCs w:val="28"/>
          <w:highlight w:val="none"/>
        </w:rPr>
        <w:t>　　　　响应书（格式）</w:t>
      </w:r>
      <w:bookmarkEnd w:id="1186"/>
    </w:p>
    <w:p>
      <w:pPr>
        <w:tabs>
          <w:tab w:val="left" w:pos="5580"/>
        </w:tabs>
        <w:spacing w:before="120" w:line="360" w:lineRule="auto"/>
        <w:rPr>
          <w:rFonts w:ascii="宋体"/>
          <w:sz w:val="24"/>
          <w:highlight w:val="none"/>
        </w:rPr>
      </w:pPr>
      <w:r>
        <w:rPr>
          <w:rFonts w:hint="eastAsia" w:ascii="宋体" w:hAnsi="宋体"/>
          <w:sz w:val="24"/>
          <w:highlight w:val="none"/>
        </w:rPr>
        <w:t>致：</w:t>
      </w:r>
      <w:r>
        <w:rPr>
          <w:rFonts w:hint="eastAsia" w:ascii="宋体" w:hAnsi="宋体"/>
          <w:sz w:val="24"/>
          <w:highlight w:val="none"/>
          <w:u w:val="single"/>
        </w:rPr>
        <w:t>（采购人）</w:t>
      </w:r>
    </w:p>
    <w:p>
      <w:pPr>
        <w:pStyle w:val="29"/>
        <w:tabs>
          <w:tab w:val="left" w:pos="5580"/>
        </w:tabs>
        <w:spacing w:line="360" w:lineRule="auto"/>
        <w:ind w:firstLine="480"/>
        <w:rPr>
          <w:rFonts w:hAnsi="宋体"/>
          <w:sz w:val="24"/>
          <w:highlight w:val="none"/>
        </w:rPr>
      </w:pPr>
      <w:r>
        <w:rPr>
          <w:rFonts w:hint="eastAsia" w:hAnsi="宋体"/>
          <w:sz w:val="24"/>
          <w:highlight w:val="none"/>
        </w:rPr>
        <w:t>我方己仔细研究了</w:t>
      </w:r>
      <w:r>
        <w:rPr>
          <w:rFonts w:hint="eastAsia" w:hAnsi="宋体"/>
          <w:sz w:val="24"/>
          <w:highlight w:val="none"/>
          <w:u w:val="single"/>
        </w:rPr>
        <w:t>（项目名称）</w:t>
      </w:r>
      <w:r>
        <w:rPr>
          <w:rFonts w:hint="eastAsia" w:hAnsi="宋体"/>
          <w:sz w:val="24"/>
          <w:highlight w:val="none"/>
        </w:rPr>
        <w:t>磋商文件的全部内容，愿意以人民币（大写）</w:t>
      </w:r>
      <w:r>
        <w:rPr>
          <w:rFonts w:hAnsi="宋体"/>
          <w:sz w:val="24"/>
          <w:highlight w:val="none"/>
          <w:u w:val="single"/>
        </w:rPr>
        <w:t xml:space="preserve">                 </w:t>
      </w:r>
      <w:r>
        <w:rPr>
          <w:rFonts w:hint="eastAsia" w:hAnsi="宋体"/>
          <w:sz w:val="24"/>
          <w:highlight w:val="none"/>
        </w:rPr>
        <w:t>元（￥</w:t>
      </w:r>
      <w:r>
        <w:rPr>
          <w:rFonts w:hAnsi="宋体"/>
          <w:sz w:val="24"/>
          <w:highlight w:val="none"/>
          <w:u w:val="single"/>
        </w:rPr>
        <w:t xml:space="preserve">       </w:t>
      </w:r>
      <w:r>
        <w:rPr>
          <w:rFonts w:hint="eastAsia" w:hAnsi="宋体"/>
          <w:sz w:val="24"/>
          <w:highlight w:val="none"/>
        </w:rPr>
        <w:t>）的投标总报价</w:t>
      </w:r>
      <w:r>
        <w:rPr>
          <w:rFonts w:hAnsi="宋体"/>
          <w:sz w:val="24"/>
          <w:highlight w:val="none"/>
        </w:rPr>
        <w:t>,</w:t>
      </w:r>
      <w:r>
        <w:rPr>
          <w:rFonts w:ascii="Times New Roman" w:hAnsi="Times New Roman"/>
          <w:color w:val="000000"/>
          <w:highlight w:val="none"/>
        </w:rPr>
        <w:t xml:space="preserve"> </w:t>
      </w:r>
      <w:r>
        <w:rPr>
          <w:rFonts w:hint="eastAsia" w:hAnsi="宋体"/>
          <w:sz w:val="24"/>
          <w:highlight w:val="none"/>
        </w:rPr>
        <w:t>工期</w:t>
      </w:r>
      <w:r>
        <w:rPr>
          <w:rFonts w:hAnsi="宋体"/>
          <w:sz w:val="24"/>
          <w:highlight w:val="none"/>
          <w:u w:val="single"/>
        </w:rPr>
        <w:t xml:space="preserve">        </w:t>
      </w:r>
      <w:r>
        <w:rPr>
          <w:rFonts w:hint="eastAsia" w:hAnsi="宋体"/>
          <w:sz w:val="24"/>
          <w:highlight w:val="none"/>
        </w:rPr>
        <w:t>日历天。签字代表</w:t>
      </w:r>
      <w:r>
        <w:rPr>
          <w:rFonts w:hAnsi="宋体"/>
          <w:sz w:val="24"/>
          <w:highlight w:val="none"/>
        </w:rPr>
        <w:t>(</w:t>
      </w:r>
      <w:r>
        <w:rPr>
          <w:rFonts w:hint="eastAsia" w:hAnsi="宋体"/>
          <w:sz w:val="24"/>
          <w:highlight w:val="none"/>
          <w:u w:val="single"/>
        </w:rPr>
        <w:t>姓名、职务</w:t>
      </w:r>
      <w:r>
        <w:rPr>
          <w:rFonts w:hAnsi="宋体"/>
          <w:sz w:val="24"/>
          <w:highlight w:val="none"/>
        </w:rPr>
        <w:t>)</w:t>
      </w:r>
      <w:r>
        <w:rPr>
          <w:rFonts w:hint="eastAsia" w:hAnsi="宋体"/>
          <w:sz w:val="24"/>
          <w:highlight w:val="none"/>
        </w:rPr>
        <w:t>经正式授权并代表报价人（</w:t>
      </w:r>
      <w:r>
        <w:rPr>
          <w:rFonts w:hint="eastAsia" w:hAnsi="宋体"/>
          <w:sz w:val="24"/>
          <w:highlight w:val="none"/>
          <w:u w:val="single"/>
        </w:rPr>
        <w:t>报价人名称、地址</w:t>
      </w:r>
      <w:r>
        <w:rPr>
          <w:rFonts w:hint="eastAsia" w:hAnsi="宋体"/>
          <w:sz w:val="24"/>
          <w:highlight w:val="none"/>
        </w:rPr>
        <w:t>）提交下述文件正本</w:t>
      </w:r>
      <w:r>
        <w:rPr>
          <w:rFonts w:hAnsi="宋体"/>
          <w:sz w:val="24"/>
          <w:highlight w:val="none"/>
        </w:rPr>
        <w:t>1</w:t>
      </w:r>
      <w:r>
        <w:rPr>
          <w:rFonts w:hint="eastAsia" w:hAnsi="宋体"/>
          <w:sz w:val="24"/>
          <w:highlight w:val="none"/>
        </w:rPr>
        <w:t>份及副本</w:t>
      </w:r>
      <w:r>
        <w:rPr>
          <w:rFonts w:hAnsi="宋体"/>
          <w:sz w:val="24"/>
          <w:highlight w:val="none"/>
        </w:rPr>
        <w:t>___</w:t>
      </w:r>
      <w:r>
        <w:rPr>
          <w:rFonts w:hint="eastAsia" w:hAnsi="宋体"/>
          <w:sz w:val="24"/>
          <w:highlight w:val="none"/>
        </w:rPr>
        <w:t>份：</w:t>
      </w:r>
    </w:p>
    <w:p>
      <w:pPr>
        <w:pStyle w:val="29"/>
        <w:tabs>
          <w:tab w:val="left" w:pos="768"/>
          <w:tab w:val="left" w:pos="5580"/>
        </w:tabs>
        <w:spacing w:line="360" w:lineRule="auto"/>
        <w:ind w:firstLine="600" w:firstLineChars="250"/>
        <w:rPr>
          <w:rFonts w:hAnsi="宋体"/>
          <w:sz w:val="24"/>
          <w:highlight w:val="none"/>
        </w:rPr>
      </w:pPr>
      <w:r>
        <w:rPr>
          <w:rFonts w:hAnsi="宋体"/>
          <w:sz w:val="24"/>
          <w:highlight w:val="none"/>
        </w:rPr>
        <w:t>1</w:t>
      </w:r>
      <w:r>
        <w:rPr>
          <w:rFonts w:hint="eastAsia" w:hAnsi="宋体"/>
          <w:sz w:val="24"/>
          <w:highlight w:val="none"/>
        </w:rPr>
        <w:t>、资格证明文件</w:t>
      </w:r>
    </w:p>
    <w:p>
      <w:pPr>
        <w:pStyle w:val="29"/>
        <w:tabs>
          <w:tab w:val="left" w:pos="768"/>
          <w:tab w:val="left" w:pos="5580"/>
        </w:tabs>
        <w:spacing w:line="360" w:lineRule="auto"/>
        <w:ind w:firstLine="600" w:firstLineChars="250"/>
        <w:rPr>
          <w:rFonts w:hAnsi="宋体"/>
          <w:sz w:val="24"/>
          <w:highlight w:val="none"/>
        </w:rPr>
      </w:pPr>
      <w:r>
        <w:rPr>
          <w:rFonts w:hAnsi="宋体"/>
          <w:sz w:val="24"/>
          <w:highlight w:val="none"/>
        </w:rPr>
        <w:t>2</w:t>
      </w:r>
      <w:r>
        <w:rPr>
          <w:rFonts w:hint="eastAsia" w:hAnsi="宋体"/>
          <w:sz w:val="24"/>
          <w:highlight w:val="none"/>
        </w:rPr>
        <w:t>、遵守国家有关法律、法规和规章，按竞争性磋商文件中报价人须知和相关要求提供的有关文件</w:t>
      </w:r>
    </w:p>
    <w:p>
      <w:pPr>
        <w:pStyle w:val="29"/>
        <w:tabs>
          <w:tab w:val="left" w:pos="5580"/>
        </w:tabs>
        <w:spacing w:line="360" w:lineRule="auto"/>
        <w:ind w:left="407" w:leftChars="194" w:firstLine="240" w:firstLineChars="100"/>
        <w:rPr>
          <w:rFonts w:hAnsi="宋体"/>
          <w:sz w:val="24"/>
          <w:highlight w:val="none"/>
        </w:rPr>
      </w:pPr>
      <w:r>
        <w:rPr>
          <w:rFonts w:hint="eastAsia" w:hAnsi="宋体"/>
          <w:sz w:val="24"/>
          <w:highlight w:val="none"/>
        </w:rPr>
        <w:t>据此，签字代表宣布同意如下：</w:t>
      </w:r>
    </w:p>
    <w:p>
      <w:pPr>
        <w:pStyle w:val="29"/>
        <w:tabs>
          <w:tab w:val="left" w:pos="720"/>
          <w:tab w:val="left" w:pos="900"/>
        </w:tabs>
        <w:spacing w:line="360" w:lineRule="auto"/>
        <w:ind w:left="360"/>
        <w:rPr>
          <w:rFonts w:hAnsi="宋体"/>
          <w:sz w:val="24"/>
          <w:highlight w:val="none"/>
          <w:u w:val="single"/>
        </w:rPr>
      </w:pPr>
      <w:r>
        <w:rPr>
          <w:rFonts w:hint="eastAsia" w:hAnsi="宋体"/>
          <w:sz w:val="24"/>
          <w:highlight w:val="none"/>
        </w:rPr>
        <w:t>（</w:t>
      </w:r>
      <w:r>
        <w:rPr>
          <w:rFonts w:hAnsi="宋体"/>
          <w:sz w:val="24"/>
          <w:highlight w:val="none"/>
        </w:rPr>
        <w:t>1</w:t>
      </w:r>
      <w:r>
        <w:rPr>
          <w:rFonts w:hint="eastAsia" w:hAnsi="宋体"/>
          <w:sz w:val="24"/>
          <w:highlight w:val="none"/>
        </w:rPr>
        <w:t>）报价人将按竞争性磋商文件的规定履行合同责任和义务。</w:t>
      </w:r>
    </w:p>
    <w:p>
      <w:pPr>
        <w:pStyle w:val="29"/>
        <w:tabs>
          <w:tab w:val="left" w:pos="5580"/>
        </w:tabs>
        <w:spacing w:line="360" w:lineRule="auto"/>
        <w:ind w:left="540" w:leftChars="200" w:hanging="120" w:hangingChars="50"/>
        <w:rPr>
          <w:rFonts w:hAnsi="宋体"/>
          <w:sz w:val="24"/>
          <w:highlight w:val="none"/>
        </w:rPr>
      </w:pPr>
      <w:r>
        <w:rPr>
          <w:rFonts w:hint="eastAsia" w:hAnsi="宋体"/>
          <w:sz w:val="24"/>
          <w:highlight w:val="none"/>
        </w:rPr>
        <w:t>（</w:t>
      </w:r>
      <w:r>
        <w:rPr>
          <w:rFonts w:hAnsi="宋体"/>
          <w:sz w:val="24"/>
          <w:highlight w:val="none"/>
        </w:rPr>
        <w:t>2</w:t>
      </w:r>
      <w:r>
        <w:rPr>
          <w:rFonts w:hint="eastAsia" w:hAnsi="宋体"/>
          <w:sz w:val="24"/>
          <w:highlight w:val="none"/>
        </w:rPr>
        <w:t>）报价人已详细审查全部文件，包括第</w:t>
      </w:r>
      <w:r>
        <w:rPr>
          <w:rFonts w:hAnsi="宋体"/>
          <w:sz w:val="24"/>
          <w:highlight w:val="none"/>
          <w:u w:val="single"/>
        </w:rPr>
        <w:t xml:space="preserve">        </w:t>
      </w:r>
      <w:r>
        <w:rPr>
          <w:rFonts w:hint="eastAsia" w:hAnsi="宋体"/>
          <w:sz w:val="24"/>
          <w:highlight w:val="none"/>
          <w:u w:val="single"/>
        </w:rPr>
        <w:t>号（项目编号、补充通知）（如果有的话</w:t>
      </w:r>
      <w:r>
        <w:rPr>
          <w:rFonts w:hint="eastAsia" w:hAnsi="宋体"/>
          <w:sz w:val="24"/>
          <w:highlight w:val="none"/>
        </w:rPr>
        <w:t>）。我们完全理解并同意放弃对这方面有不明及误解的权力。</w:t>
      </w:r>
    </w:p>
    <w:p>
      <w:pPr>
        <w:pStyle w:val="29"/>
        <w:tabs>
          <w:tab w:val="left" w:pos="5580"/>
        </w:tabs>
        <w:spacing w:line="360" w:lineRule="auto"/>
        <w:ind w:left="181" w:leftChars="86" w:firstLine="240" w:firstLineChars="100"/>
        <w:rPr>
          <w:rFonts w:hAnsi="宋体"/>
          <w:sz w:val="24"/>
          <w:highlight w:val="none"/>
        </w:rPr>
      </w:pPr>
      <w:r>
        <w:rPr>
          <w:rFonts w:hint="eastAsia" w:hAnsi="宋体"/>
          <w:sz w:val="24"/>
          <w:highlight w:val="none"/>
        </w:rPr>
        <w:t>（</w:t>
      </w:r>
      <w:r>
        <w:rPr>
          <w:rFonts w:hAnsi="宋体"/>
          <w:sz w:val="24"/>
          <w:highlight w:val="none"/>
        </w:rPr>
        <w:t>3</w:t>
      </w:r>
      <w:r>
        <w:rPr>
          <w:rFonts w:hint="eastAsia" w:hAnsi="宋体"/>
          <w:sz w:val="24"/>
          <w:highlight w:val="none"/>
        </w:rPr>
        <w:t>）本项目有效期为自磋商日起个日历日。</w:t>
      </w:r>
    </w:p>
    <w:p>
      <w:pPr>
        <w:pStyle w:val="29"/>
        <w:tabs>
          <w:tab w:val="left" w:pos="5580"/>
        </w:tabs>
        <w:spacing w:line="360" w:lineRule="auto"/>
        <w:ind w:left="538" w:leftChars="199" w:hanging="120" w:hangingChars="50"/>
        <w:rPr>
          <w:rFonts w:hAnsi="宋体"/>
          <w:sz w:val="24"/>
          <w:highlight w:val="none"/>
        </w:rPr>
      </w:pPr>
      <w:r>
        <w:rPr>
          <w:rFonts w:hint="eastAsia" w:hAnsi="宋体"/>
          <w:sz w:val="24"/>
          <w:highlight w:val="none"/>
        </w:rPr>
        <w:t>（</w:t>
      </w:r>
      <w:r>
        <w:rPr>
          <w:rFonts w:hAnsi="宋体"/>
          <w:sz w:val="24"/>
          <w:highlight w:val="none"/>
        </w:rPr>
        <w:t>4</w:t>
      </w:r>
      <w:r>
        <w:rPr>
          <w:rFonts w:hint="eastAsia" w:hAnsi="宋体"/>
          <w:sz w:val="24"/>
          <w:highlight w:val="none"/>
        </w:rPr>
        <w:t>）根据报价人须知第</w:t>
      </w:r>
      <w:r>
        <w:rPr>
          <w:rFonts w:hAnsi="宋体"/>
          <w:sz w:val="24"/>
          <w:highlight w:val="none"/>
        </w:rPr>
        <w:t>1</w:t>
      </w:r>
      <w:r>
        <w:rPr>
          <w:rFonts w:hint="eastAsia" w:hAnsi="宋体"/>
          <w:sz w:val="24"/>
          <w:highlight w:val="none"/>
        </w:rPr>
        <w:t>条规定，我方承诺，与采购人聘请的为此项目提供咨询服务的公司及任何附属机构均无关联，我方不是采购人的附属机构。</w:t>
      </w:r>
    </w:p>
    <w:p>
      <w:pPr>
        <w:pStyle w:val="29"/>
        <w:tabs>
          <w:tab w:val="left" w:pos="5580"/>
        </w:tabs>
        <w:spacing w:line="360" w:lineRule="auto"/>
        <w:ind w:left="538" w:leftChars="199" w:hanging="120" w:hangingChars="50"/>
        <w:rPr>
          <w:rFonts w:hAnsi="宋体"/>
          <w:sz w:val="24"/>
          <w:highlight w:val="none"/>
        </w:rPr>
      </w:pPr>
      <w:r>
        <w:rPr>
          <w:rFonts w:hint="eastAsia" w:hAnsi="宋体"/>
          <w:sz w:val="24"/>
          <w:highlight w:val="none"/>
        </w:rPr>
        <w:t>（</w:t>
      </w:r>
      <w:r>
        <w:rPr>
          <w:rFonts w:hAnsi="宋体"/>
          <w:sz w:val="24"/>
          <w:highlight w:val="none"/>
        </w:rPr>
        <w:t>5</w:t>
      </w:r>
      <w:r>
        <w:rPr>
          <w:rFonts w:hint="eastAsia" w:hAnsi="宋体"/>
          <w:sz w:val="24"/>
          <w:highlight w:val="none"/>
        </w:rPr>
        <w:t>）我方将派出（项目负责人姓名及其建造师执业证书注册编号）为本项目的项目负责人。</w:t>
      </w:r>
    </w:p>
    <w:p>
      <w:pPr>
        <w:pStyle w:val="29"/>
        <w:tabs>
          <w:tab w:val="left" w:pos="5580"/>
        </w:tabs>
        <w:spacing w:line="360" w:lineRule="auto"/>
        <w:ind w:left="180"/>
        <w:rPr>
          <w:rFonts w:hAnsi="宋体"/>
          <w:sz w:val="24"/>
          <w:highlight w:val="none"/>
        </w:rPr>
      </w:pPr>
      <w:r>
        <w:rPr>
          <w:rFonts w:hAnsi="宋体"/>
          <w:sz w:val="24"/>
          <w:highlight w:val="none"/>
        </w:rPr>
        <w:t>4</w:t>
      </w:r>
      <w:r>
        <w:rPr>
          <w:rFonts w:hint="eastAsia" w:hAnsi="宋体"/>
          <w:sz w:val="24"/>
          <w:highlight w:val="none"/>
        </w:rPr>
        <w:t>．与本响应有关的一切正式往来信函请寄：</w:t>
      </w:r>
    </w:p>
    <w:p>
      <w:pPr>
        <w:pStyle w:val="29"/>
        <w:tabs>
          <w:tab w:val="left" w:pos="5580"/>
        </w:tabs>
        <w:spacing w:line="360" w:lineRule="auto"/>
        <w:ind w:left="420"/>
        <w:rPr>
          <w:rFonts w:hAnsi="宋体"/>
          <w:sz w:val="24"/>
          <w:highlight w:val="none"/>
        </w:rPr>
      </w:pPr>
    </w:p>
    <w:p>
      <w:pPr>
        <w:pStyle w:val="29"/>
        <w:tabs>
          <w:tab w:val="left" w:pos="5580"/>
        </w:tabs>
        <w:spacing w:line="360" w:lineRule="auto"/>
        <w:ind w:left="420"/>
        <w:rPr>
          <w:rFonts w:hAnsi="宋体"/>
          <w:sz w:val="24"/>
          <w:highlight w:val="none"/>
        </w:rPr>
      </w:pPr>
      <w:r>
        <w:rPr>
          <w:rFonts w:hint="eastAsia" w:hAnsi="宋体"/>
          <w:sz w:val="24"/>
          <w:highlight w:val="none"/>
        </w:rPr>
        <w:t>地址</w:t>
      </w:r>
      <w:r>
        <w:rPr>
          <w:rFonts w:hAnsi="宋体"/>
          <w:sz w:val="24"/>
          <w:highlight w:val="none"/>
        </w:rPr>
        <w:t xml:space="preserve">_________________________     </w:t>
      </w:r>
      <w:r>
        <w:rPr>
          <w:rFonts w:hint="eastAsia" w:hAnsi="宋体"/>
          <w:sz w:val="24"/>
          <w:highlight w:val="none"/>
        </w:rPr>
        <w:t>传真</w:t>
      </w:r>
      <w:r>
        <w:rPr>
          <w:rFonts w:hAnsi="宋体"/>
          <w:sz w:val="24"/>
          <w:highlight w:val="none"/>
        </w:rPr>
        <w:t>____________________________</w:t>
      </w:r>
    </w:p>
    <w:p>
      <w:pPr>
        <w:pStyle w:val="29"/>
        <w:tabs>
          <w:tab w:val="left" w:pos="5580"/>
        </w:tabs>
        <w:spacing w:line="360" w:lineRule="auto"/>
        <w:ind w:left="420"/>
        <w:rPr>
          <w:rFonts w:hAnsi="宋体"/>
          <w:sz w:val="24"/>
          <w:highlight w:val="none"/>
        </w:rPr>
      </w:pPr>
      <w:r>
        <w:rPr>
          <w:rFonts w:hint="eastAsia" w:hAnsi="宋体"/>
          <w:sz w:val="24"/>
          <w:highlight w:val="none"/>
        </w:rPr>
        <w:t>电话</w:t>
      </w:r>
      <w:r>
        <w:rPr>
          <w:rFonts w:hAnsi="宋体"/>
          <w:sz w:val="24"/>
          <w:highlight w:val="none"/>
        </w:rPr>
        <w:t xml:space="preserve">_________________________     </w:t>
      </w:r>
      <w:r>
        <w:rPr>
          <w:rFonts w:hint="eastAsia" w:hAnsi="宋体"/>
          <w:sz w:val="24"/>
          <w:highlight w:val="none"/>
        </w:rPr>
        <w:t>电子函件</w:t>
      </w:r>
      <w:r>
        <w:rPr>
          <w:rFonts w:hAnsi="宋体"/>
          <w:sz w:val="24"/>
          <w:highlight w:val="none"/>
        </w:rPr>
        <w:t>________________________</w:t>
      </w:r>
    </w:p>
    <w:p>
      <w:pPr>
        <w:pStyle w:val="29"/>
        <w:tabs>
          <w:tab w:val="left" w:pos="5580"/>
        </w:tabs>
        <w:spacing w:line="360" w:lineRule="auto"/>
        <w:ind w:left="420"/>
        <w:rPr>
          <w:rFonts w:hAnsi="宋体"/>
          <w:sz w:val="24"/>
          <w:highlight w:val="none"/>
        </w:rPr>
      </w:pPr>
    </w:p>
    <w:p>
      <w:pPr>
        <w:pStyle w:val="29"/>
        <w:tabs>
          <w:tab w:val="left" w:pos="5580"/>
        </w:tabs>
        <w:spacing w:line="360" w:lineRule="auto"/>
        <w:ind w:left="420"/>
        <w:rPr>
          <w:rFonts w:hAnsi="宋体"/>
          <w:sz w:val="24"/>
          <w:highlight w:val="none"/>
        </w:rPr>
      </w:pPr>
      <w:r>
        <w:rPr>
          <w:rFonts w:hint="eastAsia" w:hAnsi="宋体"/>
          <w:sz w:val="24"/>
          <w:highlight w:val="none"/>
        </w:rPr>
        <w:t>报价人授权代表签字</w:t>
      </w:r>
      <w:r>
        <w:rPr>
          <w:rFonts w:hint="eastAsia" w:hAnsi="宋体"/>
          <w:sz w:val="24"/>
          <w:highlight w:val="none"/>
          <w:u w:val="single"/>
        </w:rPr>
        <w:t>　　　　　　　　　　</w:t>
      </w:r>
    </w:p>
    <w:p>
      <w:pPr>
        <w:pStyle w:val="29"/>
        <w:tabs>
          <w:tab w:val="left" w:pos="5580"/>
        </w:tabs>
        <w:spacing w:line="360" w:lineRule="auto"/>
        <w:ind w:left="420"/>
        <w:rPr>
          <w:rFonts w:hAnsi="宋体"/>
          <w:sz w:val="24"/>
          <w:highlight w:val="none"/>
        </w:rPr>
      </w:pPr>
      <w:r>
        <w:rPr>
          <w:rFonts w:hint="eastAsia" w:hAnsi="宋体"/>
          <w:sz w:val="24"/>
          <w:highlight w:val="none"/>
        </w:rPr>
        <w:t>报价人名称（全称）</w:t>
      </w:r>
      <w:r>
        <w:rPr>
          <w:rFonts w:hint="eastAsia" w:hAnsi="宋体"/>
          <w:sz w:val="24"/>
          <w:highlight w:val="none"/>
          <w:u w:val="single"/>
        </w:rPr>
        <w:t>　　　　　　　　　　</w:t>
      </w:r>
    </w:p>
    <w:p>
      <w:pPr>
        <w:pStyle w:val="29"/>
        <w:tabs>
          <w:tab w:val="left" w:pos="5580"/>
        </w:tabs>
        <w:spacing w:line="360" w:lineRule="auto"/>
        <w:ind w:left="420"/>
        <w:rPr>
          <w:rFonts w:hAnsi="宋体"/>
          <w:sz w:val="24"/>
          <w:highlight w:val="none"/>
        </w:rPr>
      </w:pPr>
      <w:r>
        <w:rPr>
          <w:rFonts w:hint="eastAsia" w:hAnsi="宋体"/>
          <w:sz w:val="24"/>
          <w:highlight w:val="none"/>
        </w:rPr>
        <w:t>报价人开户银行（全称）</w:t>
      </w:r>
      <w:r>
        <w:rPr>
          <w:rFonts w:hint="eastAsia" w:hAnsi="宋体"/>
          <w:sz w:val="24"/>
          <w:highlight w:val="none"/>
          <w:u w:val="single"/>
        </w:rPr>
        <w:t>　　　　</w:t>
      </w:r>
      <w:r>
        <w:rPr>
          <w:rFonts w:hAnsi="宋体"/>
          <w:sz w:val="24"/>
          <w:highlight w:val="none"/>
          <w:u w:val="single"/>
        </w:rPr>
        <w:t xml:space="preserve">   </w:t>
      </w:r>
      <w:r>
        <w:rPr>
          <w:rFonts w:hint="eastAsia" w:hAnsi="宋体"/>
          <w:sz w:val="24"/>
          <w:highlight w:val="none"/>
          <w:u w:val="single"/>
        </w:rPr>
        <w:t>　　</w:t>
      </w:r>
      <w:r>
        <w:rPr>
          <w:rFonts w:hAnsi="宋体"/>
          <w:sz w:val="24"/>
          <w:highlight w:val="none"/>
          <w:u w:val="single"/>
        </w:rPr>
        <w:t xml:space="preserve"> </w:t>
      </w:r>
    </w:p>
    <w:p>
      <w:pPr>
        <w:pStyle w:val="29"/>
        <w:tabs>
          <w:tab w:val="left" w:pos="5580"/>
        </w:tabs>
        <w:spacing w:line="360" w:lineRule="auto"/>
        <w:ind w:left="420"/>
        <w:rPr>
          <w:rFonts w:hAnsi="宋体"/>
          <w:sz w:val="24"/>
          <w:highlight w:val="none"/>
        </w:rPr>
      </w:pPr>
      <w:r>
        <w:rPr>
          <w:rFonts w:hint="eastAsia" w:hAnsi="宋体"/>
          <w:sz w:val="24"/>
          <w:highlight w:val="none"/>
        </w:rPr>
        <w:t>报价人银行帐号</w:t>
      </w:r>
      <w:r>
        <w:rPr>
          <w:rFonts w:hint="eastAsia" w:hAnsi="宋体"/>
          <w:sz w:val="24"/>
          <w:highlight w:val="none"/>
          <w:u w:val="single"/>
        </w:rPr>
        <w:t>　　　　　　　　</w:t>
      </w:r>
      <w:r>
        <w:rPr>
          <w:rFonts w:hAnsi="宋体"/>
          <w:sz w:val="24"/>
          <w:highlight w:val="none"/>
          <w:u w:val="single"/>
        </w:rPr>
        <w:t xml:space="preserve">   </w:t>
      </w:r>
      <w:r>
        <w:rPr>
          <w:rFonts w:hint="eastAsia" w:hAnsi="宋体"/>
          <w:sz w:val="24"/>
          <w:highlight w:val="none"/>
          <w:u w:val="single"/>
        </w:rPr>
        <w:t>　　</w:t>
      </w:r>
    </w:p>
    <w:p>
      <w:pPr>
        <w:pStyle w:val="29"/>
        <w:tabs>
          <w:tab w:val="left" w:pos="5580"/>
        </w:tabs>
        <w:spacing w:line="360" w:lineRule="auto"/>
        <w:ind w:left="420"/>
        <w:rPr>
          <w:rFonts w:hAnsi="宋体"/>
          <w:sz w:val="24"/>
          <w:highlight w:val="none"/>
        </w:rPr>
      </w:pPr>
      <w:r>
        <w:rPr>
          <w:rFonts w:hint="eastAsia" w:hAnsi="宋体"/>
          <w:sz w:val="24"/>
          <w:highlight w:val="none"/>
        </w:rPr>
        <w:t>报价人公章</w:t>
      </w:r>
      <w:r>
        <w:rPr>
          <w:rFonts w:hint="eastAsia" w:hAnsi="宋体"/>
          <w:sz w:val="24"/>
          <w:highlight w:val="none"/>
          <w:u w:val="single"/>
        </w:rPr>
        <w:t>　　　　　　　　　</w:t>
      </w:r>
      <w:r>
        <w:rPr>
          <w:rFonts w:hAnsi="宋体"/>
          <w:sz w:val="24"/>
          <w:highlight w:val="none"/>
          <w:u w:val="single"/>
        </w:rPr>
        <w:t xml:space="preserve">       </w:t>
      </w:r>
      <w:r>
        <w:rPr>
          <w:rFonts w:hint="eastAsia" w:hAnsi="宋体"/>
          <w:sz w:val="24"/>
          <w:highlight w:val="none"/>
          <w:u w:val="single"/>
        </w:rPr>
        <w:t>　</w:t>
      </w:r>
    </w:p>
    <w:p>
      <w:pPr>
        <w:widowControl/>
        <w:ind w:firstLine="360" w:firstLineChars="150"/>
        <w:jc w:val="left"/>
        <w:rPr>
          <w:rFonts w:hAnsi="宋体"/>
          <w:sz w:val="24"/>
          <w:highlight w:val="none"/>
          <w:u w:val="single"/>
        </w:rPr>
        <w:sectPr>
          <w:footerReference r:id="rId3" w:type="default"/>
          <w:pgSz w:w="11906" w:h="16838"/>
          <w:pgMar w:top="1304" w:right="1304" w:bottom="1304" w:left="1304" w:header="851" w:footer="992" w:gutter="0"/>
          <w:cols w:space="720" w:num="1"/>
          <w:docGrid w:type="lines" w:linePitch="312" w:charSpace="0"/>
        </w:sectPr>
      </w:pPr>
      <w:r>
        <w:rPr>
          <w:rFonts w:hint="eastAsia" w:hAnsi="宋体"/>
          <w:sz w:val="24"/>
          <w:highlight w:val="none"/>
        </w:rPr>
        <w:t>日期</w:t>
      </w:r>
      <w:r>
        <w:rPr>
          <w:rFonts w:hint="eastAsia" w:hAnsi="宋体"/>
          <w:sz w:val="24"/>
          <w:highlight w:val="none"/>
          <w:u w:val="single"/>
        </w:rPr>
        <w:t>　　　　　　　　　</w:t>
      </w:r>
    </w:p>
    <w:p>
      <w:pPr>
        <w:pStyle w:val="4"/>
        <w:spacing w:line="360" w:lineRule="auto"/>
        <w:jc w:val="center"/>
        <w:rPr>
          <w:rFonts w:hAnsi="宋体"/>
          <w:highlight w:val="none"/>
        </w:rPr>
      </w:pPr>
      <w:bookmarkStart w:id="1188" w:name="_Toc296599939"/>
      <w:bookmarkStart w:id="1189" w:name="_Toc497038552"/>
      <w:bookmarkStart w:id="1190" w:name="_Toc485030761"/>
      <w:r>
        <w:rPr>
          <w:rFonts w:hint="eastAsia" w:hAnsi="宋体"/>
          <w:highlight w:val="none"/>
        </w:rPr>
        <w:t>　磋商一览表</w:t>
      </w:r>
      <w:bookmarkEnd w:id="1188"/>
      <w:bookmarkEnd w:id="1189"/>
      <w:bookmarkEnd w:id="1190"/>
      <w:r>
        <w:rPr>
          <w:rFonts w:hint="eastAsia" w:hAnsi="宋体"/>
          <w:highlight w:val="none"/>
        </w:rPr>
        <w:t>（第一次报价）</w:t>
      </w:r>
    </w:p>
    <w:p>
      <w:pPr>
        <w:pStyle w:val="17"/>
        <w:tabs>
          <w:tab w:val="left" w:pos="5580"/>
        </w:tabs>
        <w:ind w:firstLine="0"/>
        <w:rPr>
          <w:rFonts w:hAnsi="宋体"/>
          <w:highlight w:val="none"/>
        </w:rPr>
      </w:pPr>
    </w:p>
    <w:p>
      <w:pPr>
        <w:spacing w:line="360" w:lineRule="auto"/>
        <w:ind w:left="210" w:right="-1375" w:firstLine="690"/>
        <w:jc w:val="left"/>
        <w:rPr>
          <w:rFonts w:ascii="宋体"/>
          <w:sz w:val="24"/>
          <w:highlight w:val="none"/>
        </w:rPr>
      </w:pPr>
      <w:r>
        <w:rPr>
          <w:rFonts w:hint="eastAsia" w:ascii="宋体" w:hAnsi="宋体"/>
          <w:sz w:val="24"/>
          <w:highlight w:val="none"/>
        </w:rPr>
        <w:t>项目编号：</w:t>
      </w:r>
      <w:r>
        <w:rPr>
          <w:rFonts w:ascii="宋体" w:hAnsi="宋体"/>
          <w:sz w:val="24"/>
          <w:highlight w:val="none"/>
        </w:rPr>
        <w:t xml:space="preserve">                              </w:t>
      </w:r>
      <w:r>
        <w:rPr>
          <w:rFonts w:hint="eastAsia" w:ascii="宋体" w:hAnsi="宋体"/>
          <w:sz w:val="24"/>
          <w:highlight w:val="none"/>
        </w:rPr>
        <w:t>项目名称：</w:t>
      </w:r>
    </w:p>
    <w:tbl>
      <w:tblPr>
        <w:tblStyle w:val="60"/>
        <w:tblW w:w="1214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3153"/>
        <w:gridCol w:w="2068"/>
        <w:gridCol w:w="1985"/>
        <w:gridCol w:w="2130"/>
        <w:gridCol w:w="14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365" w:type="dxa"/>
            <w:tcBorders>
              <w:top w:val="double" w:color="auto" w:sz="4" w:space="0"/>
            </w:tcBorders>
            <w:vAlign w:val="bottom"/>
          </w:tcPr>
          <w:p>
            <w:pPr>
              <w:tabs>
                <w:tab w:val="left" w:pos="5580"/>
              </w:tabs>
              <w:spacing w:line="480" w:lineRule="auto"/>
              <w:jc w:val="center"/>
              <w:rPr>
                <w:rFonts w:ascii="宋体"/>
                <w:sz w:val="24"/>
                <w:highlight w:val="none"/>
              </w:rPr>
            </w:pPr>
            <w:r>
              <w:rPr>
                <w:rFonts w:hint="eastAsia" w:ascii="宋体" w:hAnsi="宋体"/>
                <w:sz w:val="24"/>
                <w:highlight w:val="none"/>
              </w:rPr>
              <w:t>序号</w:t>
            </w:r>
          </w:p>
        </w:tc>
        <w:tc>
          <w:tcPr>
            <w:tcW w:w="3153" w:type="dxa"/>
            <w:tcBorders>
              <w:top w:val="double" w:color="auto" w:sz="4" w:space="0"/>
            </w:tcBorders>
            <w:vAlign w:val="bottom"/>
          </w:tcPr>
          <w:p>
            <w:pPr>
              <w:tabs>
                <w:tab w:val="left" w:pos="5580"/>
              </w:tabs>
              <w:spacing w:line="480" w:lineRule="auto"/>
              <w:jc w:val="center"/>
              <w:rPr>
                <w:rFonts w:ascii="宋体"/>
                <w:sz w:val="24"/>
                <w:highlight w:val="none"/>
              </w:rPr>
            </w:pPr>
            <w:r>
              <w:rPr>
                <w:rFonts w:hint="eastAsia" w:ascii="宋体" w:hAnsi="宋体"/>
                <w:sz w:val="24"/>
                <w:highlight w:val="none"/>
              </w:rPr>
              <w:t>投标报价（元）</w:t>
            </w:r>
          </w:p>
        </w:tc>
        <w:tc>
          <w:tcPr>
            <w:tcW w:w="2068" w:type="dxa"/>
            <w:tcBorders>
              <w:top w:val="double" w:color="auto" w:sz="4" w:space="0"/>
            </w:tcBorders>
            <w:vAlign w:val="bottom"/>
          </w:tcPr>
          <w:p>
            <w:pPr>
              <w:tabs>
                <w:tab w:val="left" w:pos="5580"/>
              </w:tabs>
              <w:spacing w:line="480" w:lineRule="auto"/>
              <w:jc w:val="center"/>
              <w:rPr>
                <w:rFonts w:ascii="宋体"/>
                <w:sz w:val="24"/>
                <w:highlight w:val="none"/>
              </w:rPr>
            </w:pPr>
            <w:r>
              <w:rPr>
                <w:rFonts w:hint="eastAsia" w:ascii="宋体" w:hAnsi="宋体"/>
                <w:sz w:val="24"/>
                <w:highlight w:val="none"/>
              </w:rPr>
              <w:t>投标保证金</w:t>
            </w:r>
          </w:p>
        </w:tc>
        <w:tc>
          <w:tcPr>
            <w:tcW w:w="1985" w:type="dxa"/>
            <w:tcBorders>
              <w:top w:val="double" w:color="auto" w:sz="4" w:space="0"/>
            </w:tcBorders>
            <w:vAlign w:val="bottom"/>
          </w:tcPr>
          <w:p>
            <w:pPr>
              <w:tabs>
                <w:tab w:val="left" w:pos="5580"/>
              </w:tabs>
              <w:spacing w:line="480" w:lineRule="auto"/>
              <w:jc w:val="center"/>
              <w:rPr>
                <w:rFonts w:ascii="宋体"/>
                <w:sz w:val="24"/>
                <w:highlight w:val="none"/>
              </w:rPr>
            </w:pPr>
            <w:r>
              <w:rPr>
                <w:rFonts w:hint="eastAsia" w:ascii="宋体" w:hAnsi="宋体"/>
                <w:sz w:val="24"/>
                <w:highlight w:val="none"/>
              </w:rPr>
              <w:t>项目负责人</w:t>
            </w:r>
          </w:p>
        </w:tc>
        <w:tc>
          <w:tcPr>
            <w:tcW w:w="2130" w:type="dxa"/>
            <w:tcBorders>
              <w:top w:val="double" w:color="auto" w:sz="4" w:space="0"/>
            </w:tcBorders>
            <w:vAlign w:val="bottom"/>
          </w:tcPr>
          <w:p>
            <w:pPr>
              <w:tabs>
                <w:tab w:val="left" w:pos="5580"/>
              </w:tabs>
              <w:spacing w:line="480" w:lineRule="auto"/>
              <w:jc w:val="center"/>
              <w:rPr>
                <w:rFonts w:ascii="宋体"/>
                <w:sz w:val="24"/>
                <w:highlight w:val="none"/>
              </w:rPr>
            </w:pPr>
            <w:r>
              <w:rPr>
                <w:rFonts w:hint="eastAsia" w:ascii="宋体" w:hAnsi="宋体"/>
                <w:sz w:val="24"/>
                <w:highlight w:val="none"/>
              </w:rPr>
              <w:t>工期</w:t>
            </w:r>
          </w:p>
        </w:tc>
        <w:tc>
          <w:tcPr>
            <w:tcW w:w="1440" w:type="dxa"/>
            <w:tcBorders>
              <w:top w:val="double" w:color="auto" w:sz="4" w:space="0"/>
            </w:tcBorders>
            <w:vAlign w:val="bottom"/>
          </w:tcPr>
          <w:p>
            <w:pPr>
              <w:tabs>
                <w:tab w:val="left" w:pos="5580"/>
              </w:tabs>
              <w:spacing w:line="480" w:lineRule="auto"/>
              <w:jc w:val="center"/>
              <w:rPr>
                <w:rFonts w:ascii="宋体"/>
                <w:sz w:val="24"/>
                <w:highlight w:val="none"/>
              </w:rPr>
            </w:pPr>
            <w:r>
              <w:rPr>
                <w:rFonts w:hint="eastAsia" w:ascii="宋体" w:hAnsi="宋体"/>
                <w:sz w:val="24"/>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atLeast"/>
          <w:jc w:val="center"/>
        </w:trPr>
        <w:tc>
          <w:tcPr>
            <w:tcW w:w="1365" w:type="dxa"/>
            <w:vAlign w:val="center"/>
          </w:tcPr>
          <w:p>
            <w:pPr>
              <w:spacing w:line="480" w:lineRule="auto"/>
              <w:jc w:val="center"/>
              <w:rPr>
                <w:rFonts w:ascii="宋体"/>
                <w:sz w:val="24"/>
                <w:highlight w:val="none"/>
              </w:rPr>
            </w:pPr>
          </w:p>
        </w:tc>
        <w:tc>
          <w:tcPr>
            <w:tcW w:w="3153" w:type="dxa"/>
            <w:vAlign w:val="center"/>
          </w:tcPr>
          <w:p>
            <w:pPr>
              <w:spacing w:line="480" w:lineRule="auto"/>
              <w:ind w:firstLine="690"/>
              <w:jc w:val="center"/>
              <w:rPr>
                <w:rFonts w:ascii="宋体"/>
                <w:sz w:val="24"/>
                <w:highlight w:val="none"/>
              </w:rPr>
            </w:pPr>
          </w:p>
        </w:tc>
        <w:tc>
          <w:tcPr>
            <w:tcW w:w="2068" w:type="dxa"/>
            <w:vAlign w:val="center"/>
          </w:tcPr>
          <w:p>
            <w:pPr>
              <w:spacing w:line="480" w:lineRule="auto"/>
              <w:ind w:firstLine="480" w:firstLineChars="200"/>
              <w:rPr>
                <w:rFonts w:ascii="宋体"/>
                <w:sz w:val="24"/>
                <w:highlight w:val="none"/>
              </w:rPr>
            </w:pPr>
          </w:p>
        </w:tc>
        <w:tc>
          <w:tcPr>
            <w:tcW w:w="1985" w:type="dxa"/>
            <w:vAlign w:val="center"/>
          </w:tcPr>
          <w:p>
            <w:pPr>
              <w:spacing w:line="480" w:lineRule="auto"/>
              <w:ind w:firstLine="690"/>
              <w:jc w:val="center"/>
              <w:rPr>
                <w:rFonts w:ascii="宋体"/>
                <w:sz w:val="24"/>
                <w:highlight w:val="none"/>
              </w:rPr>
            </w:pPr>
          </w:p>
        </w:tc>
        <w:tc>
          <w:tcPr>
            <w:tcW w:w="2130" w:type="dxa"/>
            <w:vAlign w:val="center"/>
          </w:tcPr>
          <w:p>
            <w:pPr>
              <w:spacing w:line="480" w:lineRule="auto"/>
              <w:ind w:firstLine="690"/>
              <w:jc w:val="center"/>
              <w:rPr>
                <w:rFonts w:ascii="宋体"/>
                <w:sz w:val="24"/>
                <w:highlight w:val="none"/>
              </w:rPr>
            </w:pPr>
          </w:p>
        </w:tc>
        <w:tc>
          <w:tcPr>
            <w:tcW w:w="1440" w:type="dxa"/>
            <w:vAlign w:val="center"/>
          </w:tcPr>
          <w:p>
            <w:pPr>
              <w:spacing w:line="480" w:lineRule="auto"/>
              <w:ind w:firstLine="690"/>
              <w:jc w:val="center"/>
              <w:rPr>
                <w:rFonts w:ascii="宋体"/>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365" w:type="dxa"/>
            <w:vAlign w:val="center"/>
          </w:tcPr>
          <w:p>
            <w:pPr>
              <w:spacing w:line="480" w:lineRule="auto"/>
              <w:jc w:val="center"/>
              <w:rPr>
                <w:rFonts w:ascii="宋体"/>
                <w:sz w:val="24"/>
                <w:highlight w:val="none"/>
              </w:rPr>
            </w:pPr>
          </w:p>
        </w:tc>
        <w:tc>
          <w:tcPr>
            <w:tcW w:w="3153" w:type="dxa"/>
            <w:vAlign w:val="center"/>
          </w:tcPr>
          <w:p>
            <w:pPr>
              <w:spacing w:line="480" w:lineRule="auto"/>
              <w:ind w:firstLine="690"/>
              <w:jc w:val="center"/>
              <w:rPr>
                <w:rFonts w:ascii="宋体"/>
                <w:sz w:val="24"/>
                <w:highlight w:val="none"/>
              </w:rPr>
            </w:pPr>
          </w:p>
        </w:tc>
        <w:tc>
          <w:tcPr>
            <w:tcW w:w="2068" w:type="dxa"/>
            <w:vAlign w:val="center"/>
          </w:tcPr>
          <w:p>
            <w:pPr>
              <w:spacing w:line="480" w:lineRule="auto"/>
              <w:ind w:firstLine="690"/>
              <w:jc w:val="center"/>
              <w:rPr>
                <w:rFonts w:ascii="宋体"/>
                <w:sz w:val="24"/>
                <w:highlight w:val="none"/>
              </w:rPr>
            </w:pPr>
          </w:p>
        </w:tc>
        <w:tc>
          <w:tcPr>
            <w:tcW w:w="1985" w:type="dxa"/>
            <w:vAlign w:val="center"/>
          </w:tcPr>
          <w:p>
            <w:pPr>
              <w:spacing w:line="480" w:lineRule="auto"/>
              <w:ind w:firstLine="690"/>
              <w:jc w:val="center"/>
              <w:rPr>
                <w:rFonts w:ascii="宋体"/>
                <w:sz w:val="24"/>
                <w:highlight w:val="none"/>
              </w:rPr>
            </w:pPr>
          </w:p>
        </w:tc>
        <w:tc>
          <w:tcPr>
            <w:tcW w:w="2130" w:type="dxa"/>
            <w:vAlign w:val="center"/>
          </w:tcPr>
          <w:p>
            <w:pPr>
              <w:spacing w:line="480" w:lineRule="auto"/>
              <w:ind w:firstLine="690"/>
              <w:jc w:val="center"/>
              <w:rPr>
                <w:rFonts w:ascii="宋体"/>
                <w:sz w:val="24"/>
                <w:highlight w:val="none"/>
              </w:rPr>
            </w:pPr>
          </w:p>
        </w:tc>
        <w:tc>
          <w:tcPr>
            <w:tcW w:w="1440" w:type="dxa"/>
            <w:vAlign w:val="center"/>
          </w:tcPr>
          <w:p>
            <w:pPr>
              <w:spacing w:line="480" w:lineRule="auto"/>
              <w:ind w:firstLine="690"/>
              <w:jc w:val="center"/>
              <w:rPr>
                <w:rFonts w:ascii="宋体"/>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365" w:type="dxa"/>
            <w:vAlign w:val="center"/>
          </w:tcPr>
          <w:p>
            <w:pPr>
              <w:spacing w:line="480" w:lineRule="auto"/>
              <w:jc w:val="center"/>
              <w:rPr>
                <w:rFonts w:ascii="宋体"/>
                <w:sz w:val="24"/>
                <w:highlight w:val="none"/>
              </w:rPr>
            </w:pPr>
          </w:p>
        </w:tc>
        <w:tc>
          <w:tcPr>
            <w:tcW w:w="3153" w:type="dxa"/>
            <w:vAlign w:val="center"/>
          </w:tcPr>
          <w:p>
            <w:pPr>
              <w:spacing w:line="480" w:lineRule="auto"/>
              <w:ind w:firstLine="690"/>
              <w:jc w:val="center"/>
              <w:rPr>
                <w:rFonts w:ascii="宋体"/>
                <w:sz w:val="24"/>
                <w:highlight w:val="none"/>
              </w:rPr>
            </w:pPr>
          </w:p>
        </w:tc>
        <w:tc>
          <w:tcPr>
            <w:tcW w:w="2068" w:type="dxa"/>
            <w:vAlign w:val="center"/>
          </w:tcPr>
          <w:p>
            <w:pPr>
              <w:spacing w:line="480" w:lineRule="auto"/>
              <w:ind w:firstLine="690"/>
              <w:jc w:val="center"/>
              <w:rPr>
                <w:rFonts w:ascii="宋体"/>
                <w:sz w:val="24"/>
                <w:highlight w:val="none"/>
              </w:rPr>
            </w:pPr>
          </w:p>
        </w:tc>
        <w:tc>
          <w:tcPr>
            <w:tcW w:w="1985" w:type="dxa"/>
            <w:vAlign w:val="center"/>
          </w:tcPr>
          <w:p>
            <w:pPr>
              <w:spacing w:line="480" w:lineRule="auto"/>
              <w:ind w:firstLine="690"/>
              <w:jc w:val="center"/>
              <w:rPr>
                <w:rFonts w:ascii="宋体"/>
                <w:sz w:val="24"/>
                <w:highlight w:val="none"/>
              </w:rPr>
            </w:pPr>
          </w:p>
        </w:tc>
        <w:tc>
          <w:tcPr>
            <w:tcW w:w="2130" w:type="dxa"/>
            <w:vAlign w:val="center"/>
          </w:tcPr>
          <w:p>
            <w:pPr>
              <w:spacing w:line="480" w:lineRule="auto"/>
              <w:ind w:firstLine="690"/>
              <w:jc w:val="center"/>
              <w:rPr>
                <w:rFonts w:ascii="宋体"/>
                <w:sz w:val="24"/>
                <w:highlight w:val="none"/>
              </w:rPr>
            </w:pPr>
          </w:p>
        </w:tc>
        <w:tc>
          <w:tcPr>
            <w:tcW w:w="1440" w:type="dxa"/>
            <w:vAlign w:val="center"/>
          </w:tcPr>
          <w:p>
            <w:pPr>
              <w:spacing w:line="480" w:lineRule="auto"/>
              <w:ind w:firstLine="690"/>
              <w:jc w:val="center"/>
              <w:rPr>
                <w:rFonts w:ascii="宋体"/>
                <w:sz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1365" w:type="dxa"/>
            <w:tcBorders>
              <w:bottom w:val="double" w:color="auto" w:sz="4" w:space="0"/>
            </w:tcBorders>
            <w:vAlign w:val="center"/>
          </w:tcPr>
          <w:p>
            <w:pPr>
              <w:spacing w:line="480" w:lineRule="auto"/>
              <w:jc w:val="center"/>
              <w:rPr>
                <w:rFonts w:ascii="宋体"/>
                <w:sz w:val="24"/>
                <w:highlight w:val="none"/>
              </w:rPr>
            </w:pPr>
          </w:p>
        </w:tc>
        <w:tc>
          <w:tcPr>
            <w:tcW w:w="3153" w:type="dxa"/>
            <w:tcBorders>
              <w:bottom w:val="double" w:color="auto" w:sz="4" w:space="0"/>
            </w:tcBorders>
            <w:vAlign w:val="center"/>
          </w:tcPr>
          <w:p>
            <w:pPr>
              <w:spacing w:line="480" w:lineRule="auto"/>
              <w:ind w:firstLine="690"/>
              <w:jc w:val="center"/>
              <w:rPr>
                <w:rFonts w:ascii="宋体"/>
                <w:sz w:val="24"/>
                <w:highlight w:val="none"/>
              </w:rPr>
            </w:pPr>
          </w:p>
        </w:tc>
        <w:tc>
          <w:tcPr>
            <w:tcW w:w="2068" w:type="dxa"/>
            <w:tcBorders>
              <w:bottom w:val="double" w:color="auto" w:sz="4" w:space="0"/>
            </w:tcBorders>
            <w:vAlign w:val="center"/>
          </w:tcPr>
          <w:p>
            <w:pPr>
              <w:spacing w:line="480" w:lineRule="auto"/>
              <w:ind w:firstLine="690"/>
              <w:jc w:val="center"/>
              <w:rPr>
                <w:rFonts w:ascii="宋体"/>
                <w:sz w:val="24"/>
                <w:highlight w:val="none"/>
              </w:rPr>
            </w:pPr>
          </w:p>
        </w:tc>
        <w:tc>
          <w:tcPr>
            <w:tcW w:w="1985" w:type="dxa"/>
            <w:tcBorders>
              <w:bottom w:val="double" w:color="auto" w:sz="4" w:space="0"/>
            </w:tcBorders>
            <w:vAlign w:val="center"/>
          </w:tcPr>
          <w:p>
            <w:pPr>
              <w:spacing w:line="480" w:lineRule="auto"/>
              <w:ind w:firstLine="690"/>
              <w:jc w:val="center"/>
              <w:rPr>
                <w:rFonts w:ascii="宋体"/>
                <w:sz w:val="24"/>
                <w:highlight w:val="none"/>
              </w:rPr>
            </w:pPr>
          </w:p>
        </w:tc>
        <w:tc>
          <w:tcPr>
            <w:tcW w:w="2130" w:type="dxa"/>
            <w:tcBorders>
              <w:bottom w:val="double" w:color="auto" w:sz="4" w:space="0"/>
            </w:tcBorders>
            <w:vAlign w:val="center"/>
          </w:tcPr>
          <w:p>
            <w:pPr>
              <w:spacing w:line="480" w:lineRule="auto"/>
              <w:ind w:firstLine="690"/>
              <w:jc w:val="center"/>
              <w:rPr>
                <w:rFonts w:ascii="宋体"/>
                <w:sz w:val="24"/>
                <w:highlight w:val="none"/>
              </w:rPr>
            </w:pPr>
          </w:p>
        </w:tc>
        <w:tc>
          <w:tcPr>
            <w:tcW w:w="1440" w:type="dxa"/>
            <w:tcBorders>
              <w:bottom w:val="double" w:color="auto" w:sz="4" w:space="0"/>
            </w:tcBorders>
            <w:vAlign w:val="center"/>
          </w:tcPr>
          <w:p>
            <w:pPr>
              <w:spacing w:line="480" w:lineRule="auto"/>
              <w:ind w:firstLine="690"/>
              <w:jc w:val="center"/>
              <w:rPr>
                <w:rFonts w:ascii="宋体"/>
                <w:sz w:val="24"/>
                <w:highlight w:val="none"/>
              </w:rPr>
            </w:pPr>
          </w:p>
        </w:tc>
      </w:tr>
    </w:tbl>
    <w:p>
      <w:pPr>
        <w:spacing w:line="360" w:lineRule="auto"/>
        <w:ind w:left="210" w:right="-1375" w:firstLine="690"/>
        <w:jc w:val="left"/>
        <w:rPr>
          <w:rFonts w:ascii="宋体"/>
          <w:sz w:val="24"/>
          <w:highlight w:val="none"/>
        </w:rPr>
      </w:pPr>
    </w:p>
    <w:p>
      <w:pPr>
        <w:pStyle w:val="29"/>
        <w:tabs>
          <w:tab w:val="left" w:pos="5580"/>
        </w:tabs>
        <w:spacing w:before="120" w:line="22" w:lineRule="atLeast"/>
        <w:ind w:firstLine="690"/>
        <w:rPr>
          <w:rFonts w:hAnsi="宋体"/>
          <w:sz w:val="24"/>
          <w:highlight w:val="none"/>
        </w:rPr>
      </w:pPr>
      <w:r>
        <w:rPr>
          <w:rFonts w:hint="eastAsia" w:hAnsi="宋体"/>
          <w:sz w:val="24"/>
          <w:highlight w:val="none"/>
        </w:rPr>
        <w:t>供应商名称（盖章）：</w:t>
      </w:r>
    </w:p>
    <w:p>
      <w:pPr>
        <w:pStyle w:val="29"/>
        <w:tabs>
          <w:tab w:val="left" w:pos="5580"/>
        </w:tabs>
        <w:spacing w:before="120" w:line="22" w:lineRule="atLeast"/>
        <w:ind w:firstLine="690"/>
        <w:rPr>
          <w:rFonts w:hAnsi="宋体"/>
          <w:sz w:val="24"/>
          <w:highlight w:val="none"/>
          <w:u w:val="single"/>
        </w:rPr>
      </w:pPr>
      <w:r>
        <w:rPr>
          <w:rFonts w:hint="eastAsia" w:hAnsi="宋体"/>
          <w:sz w:val="24"/>
          <w:highlight w:val="none"/>
        </w:rPr>
        <w:t>供应商授权代表</w:t>
      </w:r>
      <w:r>
        <w:rPr>
          <w:rFonts w:hAnsi="宋体"/>
          <w:sz w:val="24"/>
          <w:highlight w:val="none"/>
        </w:rPr>
        <w:t>(</w:t>
      </w:r>
      <w:r>
        <w:rPr>
          <w:rFonts w:hint="eastAsia" w:hAnsi="宋体"/>
          <w:sz w:val="24"/>
          <w:highlight w:val="none"/>
        </w:rPr>
        <w:t>签字</w:t>
      </w:r>
      <w:r>
        <w:rPr>
          <w:rFonts w:hAnsi="宋体"/>
          <w:sz w:val="24"/>
          <w:highlight w:val="none"/>
        </w:rPr>
        <w:t>):</w:t>
      </w:r>
      <w:r>
        <w:rPr>
          <w:rFonts w:hAnsi="宋体"/>
          <w:sz w:val="24"/>
          <w:highlight w:val="none"/>
          <w:u w:val="single"/>
        </w:rPr>
        <w:tab/>
      </w:r>
    </w:p>
    <w:p>
      <w:pPr>
        <w:pStyle w:val="29"/>
        <w:tabs>
          <w:tab w:val="left" w:pos="5580"/>
        </w:tabs>
        <w:spacing w:before="120" w:line="360" w:lineRule="auto"/>
        <w:ind w:firstLine="690"/>
        <w:rPr>
          <w:rFonts w:hAnsi="宋体"/>
          <w:sz w:val="24"/>
          <w:highlight w:val="none"/>
        </w:rPr>
      </w:pPr>
      <w:r>
        <w:rPr>
          <w:rFonts w:hint="eastAsia" w:hAnsi="宋体"/>
          <w:sz w:val="24"/>
          <w:highlight w:val="none"/>
        </w:rPr>
        <w:t>注</w:t>
      </w:r>
      <w:r>
        <w:rPr>
          <w:rFonts w:hAnsi="宋体"/>
          <w:sz w:val="24"/>
          <w:highlight w:val="none"/>
        </w:rPr>
        <w:t>:1</w:t>
      </w:r>
      <w:r>
        <w:rPr>
          <w:rFonts w:hint="eastAsia" w:hAnsi="宋体"/>
          <w:sz w:val="24"/>
          <w:highlight w:val="none"/>
        </w:rPr>
        <w:t>、</w:t>
      </w:r>
      <w:r>
        <w:rPr>
          <w:rFonts w:hint="eastAsia" w:hAnsi="宋体"/>
          <w:b/>
          <w:color w:val="000000"/>
          <w:sz w:val="24"/>
          <w:highlight w:val="none"/>
          <w:shd w:val="pct10" w:color="auto" w:fill="FFFFFF"/>
        </w:rPr>
        <w:t>此表应按供应商须知的规定密封标记并单独递交。“磋商一览表（第一次报价）”单独封装在一个信封内，并标明“磋商一览表（第一次报价）”字样。除单独密封外，响应文件须保函此部分。</w:t>
      </w:r>
    </w:p>
    <w:p>
      <w:pPr>
        <w:pStyle w:val="29"/>
        <w:tabs>
          <w:tab w:val="left" w:pos="5580"/>
        </w:tabs>
        <w:spacing w:before="120" w:line="360" w:lineRule="auto"/>
        <w:ind w:firstLine="690"/>
        <w:rPr>
          <w:rFonts w:hAnsi="宋体"/>
          <w:sz w:val="24"/>
          <w:highlight w:val="none"/>
        </w:rPr>
      </w:pPr>
      <w:r>
        <w:rPr>
          <w:rFonts w:hAnsi="宋体"/>
          <w:sz w:val="24"/>
          <w:highlight w:val="none"/>
        </w:rPr>
        <w:t xml:space="preserve">   2</w:t>
      </w:r>
      <w:r>
        <w:rPr>
          <w:rFonts w:hint="eastAsia" w:hAnsi="宋体"/>
          <w:sz w:val="24"/>
          <w:highlight w:val="none"/>
        </w:rPr>
        <w:t>、</w:t>
      </w:r>
      <w:r>
        <w:rPr>
          <w:rFonts w:hint="eastAsia" w:hAnsi="Cambria" w:cs="宋体"/>
          <w:sz w:val="23"/>
          <w:szCs w:val="23"/>
          <w:highlight w:val="none"/>
        </w:rPr>
        <w:t>供应商的报价是供应商响应采购项目要求的全部工作内容的价格体现，包括人工费、材料费、机械费、管理费、利润、检验检测费等费用并考虑一定风险</w:t>
      </w:r>
    </w:p>
    <w:p>
      <w:pPr>
        <w:widowControl/>
        <w:jc w:val="left"/>
        <w:rPr>
          <w:rFonts w:ascii="宋体" w:cs="宋体"/>
          <w:b/>
          <w:bCs/>
          <w:sz w:val="28"/>
          <w:szCs w:val="28"/>
          <w:highlight w:val="none"/>
        </w:rPr>
        <w:sectPr>
          <w:pgSz w:w="16838" w:h="11906" w:orient="landscape"/>
          <w:pgMar w:top="1418" w:right="1304" w:bottom="1418" w:left="1304" w:header="851" w:footer="992" w:gutter="0"/>
          <w:cols w:space="720" w:num="1"/>
          <w:docGrid w:type="lines" w:linePitch="312" w:charSpace="0"/>
        </w:sectPr>
      </w:pPr>
    </w:p>
    <w:p>
      <w:pPr>
        <w:tabs>
          <w:tab w:val="left" w:pos="840"/>
          <w:tab w:val="left" w:pos="1600"/>
        </w:tabs>
        <w:snapToGrid w:val="0"/>
        <w:spacing w:line="560" w:lineRule="exact"/>
        <w:jc w:val="center"/>
        <w:rPr>
          <w:rFonts w:ascii="宋体"/>
          <w:b/>
          <w:sz w:val="28"/>
          <w:szCs w:val="28"/>
          <w:highlight w:val="none"/>
        </w:rPr>
      </w:pPr>
      <w:r>
        <w:rPr>
          <w:rFonts w:hint="eastAsia" w:ascii="宋体" w:hAnsi="宋体"/>
          <w:b/>
          <w:sz w:val="28"/>
          <w:szCs w:val="28"/>
          <w:highlight w:val="none"/>
        </w:rPr>
        <w:t>附表</w:t>
      </w:r>
      <w:r>
        <w:rPr>
          <w:rFonts w:ascii="宋体" w:hAnsi="宋体"/>
          <w:b/>
          <w:sz w:val="28"/>
          <w:szCs w:val="28"/>
          <w:highlight w:val="none"/>
        </w:rPr>
        <w:t xml:space="preserve">2     </w:t>
      </w:r>
      <w:r>
        <w:rPr>
          <w:rFonts w:hint="eastAsia" w:ascii="宋体" w:hAnsi="宋体"/>
          <w:b/>
          <w:sz w:val="28"/>
          <w:szCs w:val="28"/>
          <w:highlight w:val="none"/>
        </w:rPr>
        <w:t>法定代表人资格证明书</w:t>
      </w:r>
    </w:p>
    <w:p>
      <w:pPr>
        <w:spacing w:line="480" w:lineRule="auto"/>
        <w:ind w:left="546" w:leftChars="260"/>
        <w:rPr>
          <w:rFonts w:ascii="宋体"/>
          <w:sz w:val="26"/>
          <w:highlight w:val="none"/>
        </w:rPr>
      </w:pPr>
    </w:p>
    <w:p>
      <w:pPr>
        <w:spacing w:line="480" w:lineRule="auto"/>
        <w:ind w:left="546" w:leftChars="260"/>
        <w:rPr>
          <w:rFonts w:ascii="宋体"/>
          <w:sz w:val="26"/>
          <w:highlight w:val="none"/>
        </w:rPr>
      </w:pPr>
      <w:r>
        <w:rPr>
          <w:rFonts w:hint="eastAsia" w:ascii="宋体" w:hAnsi="宋体"/>
          <w:sz w:val="26"/>
          <w:highlight w:val="none"/>
        </w:rPr>
        <w:t>单位名称：</w:t>
      </w:r>
    </w:p>
    <w:p>
      <w:pPr>
        <w:spacing w:line="480" w:lineRule="auto"/>
        <w:ind w:left="546" w:leftChars="260"/>
        <w:rPr>
          <w:rFonts w:ascii="宋体"/>
          <w:sz w:val="26"/>
          <w:highlight w:val="none"/>
        </w:rPr>
      </w:pPr>
      <w:r>
        <w:rPr>
          <w:rFonts w:hint="eastAsia" w:ascii="宋体" w:hAnsi="宋体"/>
          <w:sz w:val="26"/>
          <w:highlight w:val="none"/>
        </w:rPr>
        <w:t>地址：</w:t>
      </w:r>
    </w:p>
    <w:p>
      <w:pPr>
        <w:spacing w:line="480" w:lineRule="auto"/>
        <w:ind w:left="546" w:leftChars="260"/>
        <w:rPr>
          <w:rFonts w:ascii="宋体"/>
          <w:sz w:val="24"/>
          <w:szCs w:val="24"/>
          <w:highlight w:val="none"/>
        </w:rPr>
      </w:pPr>
      <w:r>
        <w:rPr>
          <w:rFonts w:hint="eastAsia" w:ascii="宋体" w:hAnsi="宋体"/>
          <w:sz w:val="24"/>
          <w:szCs w:val="24"/>
          <w:highlight w:val="none"/>
        </w:rPr>
        <w:t>姓名：性别：年龄：职务：。</w:t>
      </w:r>
    </w:p>
    <w:p>
      <w:pPr>
        <w:spacing w:line="480" w:lineRule="auto"/>
        <w:ind w:firstLine="480" w:firstLineChars="200"/>
        <w:rPr>
          <w:rFonts w:ascii="宋体"/>
          <w:sz w:val="24"/>
          <w:szCs w:val="24"/>
          <w:highlight w:val="none"/>
        </w:rPr>
      </w:pPr>
      <w:r>
        <w:rPr>
          <w:rFonts w:hint="eastAsia" w:ascii="宋体" w:hAnsi="宋体"/>
          <w:sz w:val="24"/>
          <w:szCs w:val="24"/>
          <w:highlight w:val="none"/>
        </w:rPr>
        <w:t>系（报价人名称）的法定代表人。</w:t>
      </w:r>
    </w:p>
    <w:p>
      <w:pPr>
        <w:spacing w:line="480" w:lineRule="auto"/>
        <w:ind w:firstLine="480" w:firstLineChars="200"/>
        <w:rPr>
          <w:rFonts w:ascii="宋体"/>
          <w:sz w:val="24"/>
          <w:szCs w:val="24"/>
          <w:highlight w:val="none"/>
        </w:rPr>
      </w:pPr>
    </w:p>
    <w:p>
      <w:pPr>
        <w:spacing w:line="480" w:lineRule="auto"/>
        <w:ind w:firstLine="960" w:firstLineChars="400"/>
        <w:rPr>
          <w:rFonts w:ascii="宋体"/>
          <w:sz w:val="24"/>
          <w:szCs w:val="24"/>
          <w:highlight w:val="none"/>
        </w:rPr>
      </w:pPr>
      <w:r>
        <w:rPr>
          <w:rFonts w:hint="eastAsia" w:ascii="宋体" w:hAnsi="宋体"/>
          <w:sz w:val="24"/>
          <w:szCs w:val="24"/>
          <w:highlight w:val="none"/>
        </w:rPr>
        <w:t>特此证明。</w:t>
      </w:r>
    </w:p>
    <w:p>
      <w:pPr>
        <w:pStyle w:val="17"/>
        <w:spacing w:line="480" w:lineRule="auto"/>
        <w:ind w:firstLine="480"/>
        <w:rPr>
          <w:rFonts w:ascii="宋体"/>
          <w:szCs w:val="24"/>
          <w:highlight w:val="none"/>
        </w:rPr>
      </w:pPr>
      <w:r>
        <w:rPr>
          <w:rFonts w:ascii="宋体" w:hAnsi="宋体"/>
          <w:szCs w:val="24"/>
          <w:highlight w:val="none"/>
        </w:rPr>
        <w:t xml:space="preserve">                          </w:t>
      </w:r>
      <w:r>
        <w:rPr>
          <w:rFonts w:hint="eastAsia" w:ascii="宋体" w:hAnsi="宋体"/>
          <w:szCs w:val="24"/>
          <w:highlight w:val="none"/>
        </w:rPr>
        <w:t>报价人：</w:t>
      </w:r>
      <w:r>
        <w:rPr>
          <w:rFonts w:ascii="宋体" w:hAnsi="宋体"/>
          <w:szCs w:val="24"/>
          <w:highlight w:val="none"/>
          <w:u w:val="single"/>
        </w:rPr>
        <w:t xml:space="preserve">               (</w:t>
      </w:r>
      <w:r>
        <w:rPr>
          <w:rFonts w:hint="eastAsia" w:ascii="宋体" w:hAnsi="宋体"/>
          <w:szCs w:val="24"/>
          <w:highlight w:val="none"/>
          <w:u w:val="single"/>
        </w:rPr>
        <w:t>盖报价人公章</w:t>
      </w:r>
      <w:r>
        <w:rPr>
          <w:rFonts w:ascii="宋体" w:hAnsi="宋体"/>
          <w:szCs w:val="24"/>
          <w:highlight w:val="none"/>
          <w:u w:val="single"/>
        </w:rPr>
        <w:t>)</w:t>
      </w:r>
    </w:p>
    <w:p>
      <w:pPr>
        <w:pStyle w:val="17"/>
        <w:spacing w:line="480" w:lineRule="auto"/>
        <w:ind w:firstLine="480"/>
        <w:rPr>
          <w:rFonts w:ascii="宋体"/>
          <w:szCs w:val="24"/>
          <w:highlight w:val="none"/>
        </w:rPr>
      </w:pPr>
      <w:r>
        <w:rPr>
          <w:rFonts w:ascii="宋体" w:hAnsi="宋体"/>
          <w:szCs w:val="24"/>
          <w:highlight w:val="none"/>
        </w:rPr>
        <w:t xml:space="preserve">                           </w:t>
      </w:r>
      <w:r>
        <w:rPr>
          <w:rFonts w:hint="eastAsia" w:ascii="宋体" w:hAnsi="宋体"/>
          <w:szCs w:val="24"/>
          <w:highlight w:val="none"/>
        </w:rPr>
        <w:t>日</w:t>
      </w:r>
      <w:r>
        <w:rPr>
          <w:rFonts w:ascii="宋体" w:hAnsi="宋体"/>
          <w:szCs w:val="24"/>
          <w:highlight w:val="none"/>
        </w:rPr>
        <w:t xml:space="preserve">  </w:t>
      </w:r>
      <w:r>
        <w:rPr>
          <w:rFonts w:hint="eastAsia" w:ascii="宋体" w:hAnsi="宋体"/>
          <w:szCs w:val="24"/>
          <w:highlight w:val="none"/>
        </w:rPr>
        <w:t>期：年月日</w:t>
      </w:r>
    </w:p>
    <w:p>
      <w:pPr>
        <w:widowControl/>
        <w:jc w:val="left"/>
        <w:rPr>
          <w:rFonts w:ascii="宋体" w:cs="宋体"/>
          <w:b/>
          <w:kern w:val="0"/>
          <w:szCs w:val="21"/>
          <w:highlight w:val="none"/>
        </w:rPr>
      </w:pPr>
      <w:r>
        <w:rPr>
          <w:rFonts w:ascii="宋体" w:cs="宋体"/>
          <w:b/>
          <w:kern w:val="0"/>
          <w:szCs w:val="21"/>
          <w:highlight w:val="none"/>
        </w:rPr>
        <w:br w:type="page"/>
      </w:r>
    </w:p>
    <w:p>
      <w:pPr>
        <w:pStyle w:val="4"/>
        <w:tabs>
          <w:tab w:val="left" w:pos="720"/>
        </w:tabs>
        <w:spacing w:before="0" w:after="0"/>
        <w:jc w:val="center"/>
        <w:rPr>
          <w:highlight w:val="none"/>
        </w:rPr>
      </w:pPr>
      <w:r>
        <w:rPr>
          <w:rFonts w:hint="eastAsia"/>
          <w:sz w:val="30"/>
          <w:szCs w:val="30"/>
          <w:highlight w:val="none"/>
        </w:rPr>
        <w:t>授权委托书</w:t>
      </w:r>
    </w:p>
    <w:p>
      <w:pPr>
        <w:pStyle w:val="17"/>
        <w:spacing w:line="440" w:lineRule="exact"/>
        <w:ind w:firstLine="520"/>
        <w:jc w:val="center"/>
        <w:rPr>
          <w:rFonts w:ascii="宋体"/>
          <w:sz w:val="26"/>
          <w:highlight w:val="none"/>
        </w:rPr>
      </w:pPr>
    </w:p>
    <w:p>
      <w:pPr>
        <w:pStyle w:val="17"/>
        <w:spacing w:line="480" w:lineRule="auto"/>
        <w:ind w:firstLine="480"/>
        <w:jc w:val="left"/>
        <w:rPr>
          <w:rFonts w:ascii="宋体"/>
          <w:highlight w:val="none"/>
        </w:rPr>
      </w:pPr>
      <w:r>
        <w:rPr>
          <w:rFonts w:hint="eastAsia" w:ascii="宋体" w:hAnsi="宋体"/>
          <w:highlight w:val="none"/>
        </w:rPr>
        <w:t>本人（姓名）系（报价人名称）的法定代表人，现委托（姓名）为我方代理人，以我方名义签署、澄清、说明、补正、递交、撤回、修改</w:t>
      </w:r>
      <w:r>
        <w:rPr>
          <w:rFonts w:hint="eastAsia" w:ascii="宋体" w:hAnsi="宋体"/>
          <w:highlight w:val="none"/>
          <w:u w:val="single"/>
        </w:rPr>
        <w:t>　</w:t>
      </w:r>
      <w:r>
        <w:rPr>
          <w:rFonts w:ascii="宋体" w:hAnsi="宋体"/>
          <w:highlight w:val="none"/>
          <w:u w:val="single"/>
        </w:rPr>
        <w:t xml:space="preserve">       </w:t>
      </w:r>
      <w:r>
        <w:rPr>
          <w:rFonts w:hint="eastAsia" w:ascii="宋体" w:hAnsi="宋体"/>
          <w:highlight w:val="none"/>
        </w:rPr>
        <w:t>（采购人名</w:t>
      </w:r>
      <w:r>
        <w:rPr>
          <w:rFonts w:hint="eastAsia" w:ascii="宋体" w:hAnsi="宋体"/>
          <w:szCs w:val="24"/>
          <w:highlight w:val="none"/>
        </w:rPr>
        <w:t>称）的（项目名称）响应文件、签订合同和处理有关事宜，其法律后果由我方承担</w:t>
      </w:r>
      <w:r>
        <w:rPr>
          <w:rFonts w:hint="eastAsia" w:ascii="宋体" w:hAnsi="宋体"/>
          <w:highlight w:val="none"/>
        </w:rPr>
        <w:t>。</w:t>
      </w:r>
    </w:p>
    <w:p>
      <w:pPr>
        <w:pStyle w:val="17"/>
        <w:spacing w:line="480" w:lineRule="auto"/>
        <w:ind w:firstLine="480"/>
        <w:jc w:val="left"/>
        <w:rPr>
          <w:rFonts w:ascii="宋体"/>
          <w:highlight w:val="none"/>
        </w:rPr>
      </w:pPr>
      <w:r>
        <w:rPr>
          <w:rFonts w:hint="eastAsia" w:ascii="宋体" w:hAnsi="宋体"/>
          <w:highlight w:val="none"/>
        </w:rPr>
        <w:t>代理人无转委托权。</w:t>
      </w:r>
    </w:p>
    <w:p>
      <w:pPr>
        <w:pStyle w:val="17"/>
        <w:spacing w:line="440" w:lineRule="exact"/>
        <w:ind w:firstLine="480"/>
        <w:jc w:val="left"/>
        <w:rPr>
          <w:rFonts w:ascii="宋体"/>
          <w:highlight w:val="none"/>
        </w:rPr>
      </w:pPr>
    </w:p>
    <w:p>
      <w:pPr>
        <w:pStyle w:val="17"/>
        <w:spacing w:line="480" w:lineRule="auto"/>
        <w:ind w:firstLine="480"/>
        <w:rPr>
          <w:rFonts w:ascii="宋体"/>
          <w:highlight w:val="none"/>
        </w:rPr>
      </w:pPr>
      <w:r>
        <w:rPr>
          <w:rFonts w:hint="eastAsia" w:ascii="宋体" w:hAnsi="宋体"/>
          <w:highlight w:val="none"/>
        </w:rPr>
        <w:t>代理人姓名：性别：年龄：。</w:t>
      </w:r>
    </w:p>
    <w:p>
      <w:pPr>
        <w:pStyle w:val="17"/>
        <w:spacing w:line="480" w:lineRule="auto"/>
        <w:ind w:firstLine="480"/>
        <w:rPr>
          <w:rFonts w:ascii="宋体"/>
          <w:highlight w:val="none"/>
        </w:rPr>
      </w:pPr>
      <w:r>
        <w:rPr>
          <w:rFonts w:hint="eastAsia" w:ascii="宋体" w:hAnsi="宋体"/>
          <w:highlight w:val="none"/>
        </w:rPr>
        <w:t>单</w:t>
      </w:r>
      <w:r>
        <w:rPr>
          <w:rFonts w:ascii="宋体" w:hAnsi="宋体"/>
          <w:highlight w:val="none"/>
        </w:rPr>
        <w:t xml:space="preserve">      </w:t>
      </w:r>
      <w:r>
        <w:rPr>
          <w:rFonts w:hint="eastAsia" w:ascii="宋体" w:hAnsi="宋体"/>
          <w:highlight w:val="none"/>
        </w:rPr>
        <w:t>位：部门：职务：。</w:t>
      </w:r>
    </w:p>
    <w:p>
      <w:pPr>
        <w:pStyle w:val="17"/>
        <w:spacing w:line="480" w:lineRule="auto"/>
        <w:ind w:firstLine="480"/>
        <w:rPr>
          <w:rFonts w:ascii="宋体"/>
          <w:highlight w:val="none"/>
        </w:rPr>
      </w:pPr>
      <w:r>
        <w:rPr>
          <w:rFonts w:hint="eastAsia" w:ascii="宋体" w:hAnsi="宋体"/>
          <w:highlight w:val="none"/>
        </w:rPr>
        <w:t>身份证号码：。</w:t>
      </w:r>
    </w:p>
    <w:p>
      <w:pPr>
        <w:pStyle w:val="17"/>
        <w:spacing w:line="440" w:lineRule="exact"/>
        <w:ind w:firstLine="480"/>
        <w:rPr>
          <w:rFonts w:ascii="宋体"/>
          <w:highlight w:val="none"/>
        </w:rPr>
      </w:pPr>
    </w:p>
    <w:p>
      <w:pPr>
        <w:pStyle w:val="17"/>
        <w:spacing w:line="440" w:lineRule="exact"/>
        <w:ind w:firstLine="480"/>
        <w:rPr>
          <w:rFonts w:ascii="宋体"/>
          <w:highlight w:val="none"/>
        </w:rPr>
      </w:pPr>
    </w:p>
    <w:p>
      <w:pPr>
        <w:pStyle w:val="17"/>
        <w:spacing w:line="440" w:lineRule="exact"/>
        <w:ind w:firstLine="480"/>
        <w:outlineLvl w:val="0"/>
        <w:rPr>
          <w:rFonts w:ascii="宋体"/>
          <w:highlight w:val="none"/>
        </w:rPr>
      </w:pPr>
    </w:p>
    <w:p>
      <w:pPr>
        <w:pStyle w:val="17"/>
        <w:spacing w:line="480" w:lineRule="auto"/>
        <w:ind w:firstLine="520"/>
        <w:rPr>
          <w:rFonts w:ascii="宋体"/>
          <w:highlight w:val="none"/>
        </w:rPr>
      </w:pPr>
      <w:r>
        <w:rPr>
          <w:rFonts w:hint="eastAsia" w:ascii="宋体" w:hAnsi="宋体"/>
          <w:highlight w:val="none"/>
        </w:rPr>
        <w:t>报价人：</w:t>
      </w:r>
      <w:r>
        <w:rPr>
          <w:rFonts w:ascii="宋体" w:hAnsi="宋体"/>
          <w:szCs w:val="24"/>
          <w:highlight w:val="none"/>
          <w:u w:val="single"/>
        </w:rPr>
        <w:t xml:space="preserve">                  (</w:t>
      </w:r>
      <w:r>
        <w:rPr>
          <w:rFonts w:hint="eastAsia" w:ascii="宋体" w:hAnsi="宋体"/>
          <w:szCs w:val="24"/>
          <w:highlight w:val="none"/>
          <w:u w:val="single"/>
        </w:rPr>
        <w:t>盖报价人公章</w:t>
      </w:r>
      <w:r>
        <w:rPr>
          <w:rFonts w:ascii="宋体" w:hAnsi="宋体"/>
          <w:szCs w:val="24"/>
          <w:highlight w:val="none"/>
          <w:u w:val="single"/>
        </w:rPr>
        <w:t>)</w:t>
      </w:r>
    </w:p>
    <w:p>
      <w:pPr>
        <w:pStyle w:val="17"/>
        <w:spacing w:line="480" w:lineRule="auto"/>
        <w:ind w:firstLine="480"/>
        <w:rPr>
          <w:rFonts w:ascii="宋体"/>
          <w:highlight w:val="none"/>
        </w:rPr>
      </w:pPr>
      <w:r>
        <w:rPr>
          <w:rFonts w:ascii="宋体" w:hAnsi="宋体"/>
          <w:highlight w:val="none"/>
        </w:rPr>
        <w:t xml:space="preserve">                       </w:t>
      </w:r>
      <w:r>
        <w:rPr>
          <w:rFonts w:hint="eastAsia" w:ascii="宋体" w:hAnsi="宋体"/>
          <w:highlight w:val="none"/>
        </w:rPr>
        <w:t>法定代表人：</w:t>
      </w:r>
      <w:r>
        <w:rPr>
          <w:rFonts w:ascii="宋体" w:hAnsi="宋体"/>
          <w:highlight w:val="none"/>
          <w:u w:val="single"/>
        </w:rPr>
        <w:t xml:space="preserve">                  </w:t>
      </w:r>
      <w:r>
        <w:rPr>
          <w:rFonts w:hint="eastAsia" w:ascii="宋体" w:hAnsi="宋体"/>
          <w:highlight w:val="none"/>
          <w:u w:val="single"/>
        </w:rPr>
        <w:t>（签字或签章）</w:t>
      </w:r>
    </w:p>
    <w:p>
      <w:pPr>
        <w:pStyle w:val="17"/>
        <w:spacing w:line="480" w:lineRule="auto"/>
        <w:ind w:firstLine="480"/>
        <w:rPr>
          <w:rFonts w:ascii="宋体"/>
          <w:highlight w:val="none"/>
        </w:rPr>
      </w:pPr>
      <w:r>
        <w:rPr>
          <w:rFonts w:ascii="宋体" w:hAnsi="宋体"/>
          <w:highlight w:val="none"/>
        </w:rPr>
        <w:t xml:space="preserve">                       </w:t>
      </w:r>
      <w:r>
        <w:rPr>
          <w:rFonts w:hint="eastAsia" w:ascii="宋体" w:hAnsi="宋体"/>
          <w:highlight w:val="none"/>
        </w:rPr>
        <w:t>委托代理人：</w:t>
      </w:r>
      <w:r>
        <w:rPr>
          <w:rFonts w:ascii="宋体" w:hAnsi="宋体"/>
          <w:highlight w:val="none"/>
          <w:u w:val="single"/>
        </w:rPr>
        <w:t xml:space="preserve">                        </w:t>
      </w:r>
      <w:r>
        <w:rPr>
          <w:rFonts w:hint="eastAsia" w:ascii="宋体" w:hAnsi="宋体"/>
          <w:highlight w:val="none"/>
          <w:u w:val="single"/>
        </w:rPr>
        <w:t>（签字）</w:t>
      </w:r>
    </w:p>
    <w:p>
      <w:pPr>
        <w:pStyle w:val="17"/>
        <w:spacing w:line="480" w:lineRule="auto"/>
        <w:ind w:firstLine="480"/>
        <w:rPr>
          <w:rFonts w:ascii="宋体"/>
          <w:highlight w:val="none"/>
        </w:rPr>
      </w:pPr>
      <w:r>
        <w:rPr>
          <w:rFonts w:ascii="宋体" w:hAnsi="宋体"/>
          <w:highlight w:val="none"/>
        </w:rPr>
        <w:t xml:space="preserve">                       </w:t>
      </w:r>
      <w:r>
        <w:rPr>
          <w:rFonts w:hint="eastAsia" w:ascii="宋体" w:hAnsi="宋体"/>
          <w:highlight w:val="none"/>
        </w:rPr>
        <w:t>日期：</w:t>
      </w:r>
      <w:r>
        <w:rPr>
          <w:rFonts w:ascii="宋体" w:hAnsi="宋体"/>
          <w:highlight w:val="none"/>
        </w:rPr>
        <w:t xml:space="preserve">  </w:t>
      </w:r>
      <w:r>
        <w:rPr>
          <w:rFonts w:hint="eastAsia" w:ascii="宋体" w:hAnsi="宋体"/>
          <w:highlight w:val="none"/>
        </w:rPr>
        <w:t>年月日</w:t>
      </w:r>
    </w:p>
    <w:p>
      <w:pPr>
        <w:pStyle w:val="17"/>
        <w:spacing w:line="440" w:lineRule="exact"/>
        <w:ind w:firstLine="480"/>
        <w:rPr>
          <w:rFonts w:ascii="宋体"/>
          <w:highlight w:val="none"/>
        </w:rPr>
      </w:pPr>
    </w:p>
    <w:p>
      <w:pPr>
        <w:pStyle w:val="17"/>
        <w:spacing w:line="440" w:lineRule="exact"/>
        <w:ind w:firstLine="480"/>
        <w:rPr>
          <w:rFonts w:ascii="宋体"/>
          <w:highlight w:val="none"/>
        </w:rPr>
      </w:pPr>
    </w:p>
    <w:p>
      <w:pPr>
        <w:pStyle w:val="17"/>
        <w:spacing w:line="440" w:lineRule="exact"/>
        <w:ind w:firstLine="522"/>
        <w:rPr>
          <w:rFonts w:ascii="宋体"/>
          <w:highlight w:val="none"/>
          <w:u w:val="single"/>
        </w:rPr>
      </w:pPr>
      <w:r>
        <w:rPr>
          <w:rFonts w:hint="eastAsia" w:ascii="宋体" w:hAnsi="宋体"/>
          <w:highlight w:val="none"/>
        </w:rPr>
        <w:t>附：法定代表人和委托代理人身份证复印件</w:t>
      </w:r>
    </w:p>
    <w:p>
      <w:pPr>
        <w:widowControl/>
        <w:jc w:val="left"/>
        <w:rPr>
          <w:rFonts w:ascii="宋体" w:cs="宋体"/>
          <w:b/>
          <w:kern w:val="0"/>
          <w:szCs w:val="21"/>
          <w:highlight w:val="none"/>
        </w:rPr>
      </w:pPr>
      <w:r>
        <w:rPr>
          <w:rFonts w:ascii="宋体" w:cs="宋体"/>
          <w:b/>
          <w:kern w:val="0"/>
          <w:szCs w:val="21"/>
          <w:highlight w:val="none"/>
        </w:rPr>
        <w:br w:type="page"/>
      </w:r>
    </w:p>
    <w:tbl>
      <w:tblPr>
        <w:tblStyle w:val="60"/>
        <w:tblW w:w="9640" w:type="dxa"/>
        <w:jc w:val="center"/>
        <w:tblInd w:w="0" w:type="dxa"/>
        <w:tblLayout w:type="fixed"/>
        <w:tblCellMar>
          <w:top w:w="0" w:type="dxa"/>
          <w:left w:w="108" w:type="dxa"/>
          <w:bottom w:w="0" w:type="dxa"/>
          <w:right w:w="108" w:type="dxa"/>
        </w:tblCellMar>
      </w:tblPr>
      <w:tblGrid>
        <w:gridCol w:w="1844"/>
        <w:gridCol w:w="1784"/>
        <w:gridCol w:w="1257"/>
        <w:gridCol w:w="1358"/>
        <w:gridCol w:w="1158"/>
        <w:gridCol w:w="395"/>
        <w:gridCol w:w="284"/>
        <w:gridCol w:w="1560"/>
      </w:tblGrid>
      <w:tr>
        <w:tblPrEx>
          <w:tblLayout w:type="fixed"/>
          <w:tblCellMar>
            <w:top w:w="0" w:type="dxa"/>
            <w:left w:w="108" w:type="dxa"/>
            <w:bottom w:w="0" w:type="dxa"/>
            <w:right w:w="108" w:type="dxa"/>
          </w:tblCellMar>
        </w:tblPrEx>
        <w:trPr>
          <w:trHeight w:val="270" w:hRule="atLeast"/>
          <w:jc w:val="center"/>
        </w:trPr>
        <w:tc>
          <w:tcPr>
            <w:tcW w:w="9640" w:type="dxa"/>
            <w:gridSpan w:val="8"/>
            <w:tcBorders>
              <w:top w:val="nil"/>
              <w:left w:val="nil"/>
              <w:bottom w:val="nil"/>
              <w:right w:val="nil"/>
            </w:tcBorders>
            <w:vAlign w:val="center"/>
          </w:tcPr>
          <w:p>
            <w:pPr>
              <w:widowControl/>
              <w:ind w:left="720"/>
              <w:jc w:val="center"/>
              <w:rPr>
                <w:rFonts w:ascii="宋体" w:cs="宋体"/>
                <w:b/>
                <w:kern w:val="0"/>
                <w:sz w:val="28"/>
                <w:szCs w:val="28"/>
                <w:highlight w:val="none"/>
              </w:rPr>
            </w:pPr>
            <w:r>
              <w:rPr>
                <w:rFonts w:hint="eastAsia" w:ascii="宋体" w:hAnsi="宋体" w:cs="宋体"/>
                <w:b/>
                <w:kern w:val="0"/>
                <w:sz w:val="28"/>
                <w:szCs w:val="28"/>
                <w:highlight w:val="none"/>
              </w:rPr>
              <w:t>附件</w:t>
            </w:r>
            <w:r>
              <w:rPr>
                <w:rFonts w:ascii="宋体" w:hAnsi="宋体" w:cs="宋体"/>
                <w:b/>
                <w:kern w:val="0"/>
                <w:sz w:val="28"/>
                <w:szCs w:val="28"/>
                <w:highlight w:val="none"/>
              </w:rPr>
              <w:t xml:space="preserve">3  </w:t>
            </w:r>
            <w:r>
              <w:rPr>
                <w:rFonts w:hint="eastAsia" w:ascii="宋体" w:hAnsi="宋体" w:cs="宋体"/>
                <w:b/>
                <w:kern w:val="0"/>
                <w:sz w:val="28"/>
                <w:szCs w:val="28"/>
                <w:highlight w:val="none"/>
              </w:rPr>
              <w:t>报</w:t>
            </w:r>
            <w:r>
              <w:rPr>
                <w:rFonts w:ascii="宋体" w:hAnsi="宋体" w:cs="宋体"/>
                <w:b/>
                <w:kern w:val="0"/>
                <w:sz w:val="28"/>
                <w:szCs w:val="28"/>
                <w:highlight w:val="none"/>
              </w:rPr>
              <w:t xml:space="preserve"> </w:t>
            </w:r>
            <w:r>
              <w:rPr>
                <w:rFonts w:hint="eastAsia" w:ascii="宋体" w:hAnsi="宋体" w:cs="宋体"/>
                <w:b/>
                <w:kern w:val="0"/>
                <w:sz w:val="28"/>
                <w:szCs w:val="28"/>
                <w:highlight w:val="none"/>
              </w:rPr>
              <w:t>价</w:t>
            </w:r>
            <w:r>
              <w:rPr>
                <w:rFonts w:ascii="宋体" w:hAnsi="宋体" w:cs="宋体"/>
                <w:b/>
                <w:kern w:val="0"/>
                <w:sz w:val="28"/>
                <w:szCs w:val="28"/>
                <w:highlight w:val="none"/>
              </w:rPr>
              <w:t xml:space="preserve"> </w:t>
            </w:r>
            <w:r>
              <w:rPr>
                <w:rFonts w:hint="eastAsia" w:ascii="宋体" w:hAnsi="宋体" w:cs="宋体"/>
                <w:b/>
                <w:kern w:val="0"/>
                <w:sz w:val="28"/>
                <w:szCs w:val="28"/>
                <w:highlight w:val="none"/>
              </w:rPr>
              <w:t>人</w:t>
            </w:r>
            <w:r>
              <w:rPr>
                <w:rFonts w:ascii="宋体" w:hAnsi="宋体" w:cs="宋体"/>
                <w:b/>
                <w:kern w:val="0"/>
                <w:sz w:val="28"/>
                <w:szCs w:val="28"/>
                <w:highlight w:val="none"/>
              </w:rPr>
              <w:t xml:space="preserve"> </w:t>
            </w:r>
            <w:r>
              <w:rPr>
                <w:rFonts w:hint="eastAsia" w:ascii="宋体" w:hAnsi="宋体" w:cs="宋体"/>
                <w:b/>
                <w:kern w:val="0"/>
                <w:sz w:val="28"/>
                <w:szCs w:val="28"/>
                <w:highlight w:val="none"/>
              </w:rPr>
              <w:t>概</w:t>
            </w:r>
            <w:r>
              <w:rPr>
                <w:rFonts w:ascii="宋体" w:hAnsi="宋体" w:cs="宋体"/>
                <w:b/>
                <w:kern w:val="0"/>
                <w:sz w:val="28"/>
                <w:szCs w:val="28"/>
                <w:highlight w:val="none"/>
              </w:rPr>
              <w:t xml:space="preserve"> </w:t>
            </w:r>
            <w:r>
              <w:rPr>
                <w:rFonts w:hint="eastAsia" w:ascii="宋体" w:hAnsi="宋体" w:cs="宋体"/>
                <w:b/>
                <w:kern w:val="0"/>
                <w:sz w:val="28"/>
                <w:szCs w:val="28"/>
                <w:highlight w:val="none"/>
              </w:rPr>
              <w:t>况</w:t>
            </w:r>
            <w:r>
              <w:rPr>
                <w:rFonts w:ascii="宋体" w:hAnsi="宋体" w:cs="宋体"/>
                <w:b/>
                <w:kern w:val="0"/>
                <w:sz w:val="28"/>
                <w:szCs w:val="28"/>
                <w:highlight w:val="none"/>
              </w:rPr>
              <w:t xml:space="preserve"> </w:t>
            </w:r>
            <w:r>
              <w:rPr>
                <w:rFonts w:hint="eastAsia" w:ascii="宋体" w:hAnsi="宋体" w:cs="宋体"/>
                <w:b/>
                <w:kern w:val="0"/>
                <w:sz w:val="28"/>
                <w:szCs w:val="28"/>
                <w:highlight w:val="none"/>
              </w:rPr>
              <w:t>表</w:t>
            </w:r>
          </w:p>
          <w:p>
            <w:pPr>
              <w:widowControl/>
              <w:ind w:left="720"/>
              <w:rPr>
                <w:rFonts w:ascii="宋体" w:cs="宋体"/>
                <w:b/>
                <w:kern w:val="0"/>
                <w:sz w:val="28"/>
                <w:szCs w:val="28"/>
                <w:highlight w:val="none"/>
              </w:rPr>
            </w:pPr>
          </w:p>
        </w:tc>
      </w:tr>
      <w:tr>
        <w:tblPrEx>
          <w:tblLayout w:type="fixed"/>
          <w:tblCellMar>
            <w:top w:w="0" w:type="dxa"/>
            <w:left w:w="108" w:type="dxa"/>
            <w:bottom w:w="0" w:type="dxa"/>
            <w:right w:w="108" w:type="dxa"/>
          </w:tblCellMar>
        </w:tblPrEx>
        <w:trPr>
          <w:trHeight w:val="540" w:hRule="atLeast"/>
          <w:jc w:val="center"/>
        </w:trPr>
        <w:tc>
          <w:tcPr>
            <w:tcW w:w="18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报价人名称</w:t>
            </w:r>
          </w:p>
        </w:tc>
        <w:tc>
          <w:tcPr>
            <w:tcW w:w="7796" w:type="dxa"/>
            <w:gridSpan w:val="7"/>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注册地址</w:t>
            </w:r>
          </w:p>
        </w:tc>
        <w:tc>
          <w:tcPr>
            <w:tcW w:w="4399"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1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邮政编码</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联系方式</w:t>
            </w:r>
          </w:p>
        </w:tc>
        <w:tc>
          <w:tcPr>
            <w:tcW w:w="1784"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联系人</w:t>
            </w:r>
          </w:p>
        </w:tc>
        <w:tc>
          <w:tcPr>
            <w:tcW w:w="2615"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1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电话</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p>
        </w:tc>
        <w:tc>
          <w:tcPr>
            <w:tcW w:w="1784"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传真</w:t>
            </w:r>
          </w:p>
        </w:tc>
        <w:tc>
          <w:tcPr>
            <w:tcW w:w="2615"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1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网址</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组织机构</w:t>
            </w:r>
          </w:p>
        </w:tc>
        <w:tc>
          <w:tcPr>
            <w:tcW w:w="7796" w:type="dxa"/>
            <w:gridSpan w:val="7"/>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p>
        </w:tc>
        <w:tc>
          <w:tcPr>
            <w:tcW w:w="7796" w:type="dxa"/>
            <w:gridSpan w:val="7"/>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 w:val="22"/>
                <w:highlight w:val="none"/>
              </w:rPr>
            </w:pP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法定代表人</w:t>
            </w:r>
          </w:p>
        </w:tc>
        <w:tc>
          <w:tcPr>
            <w:tcW w:w="1784"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姓名</w:t>
            </w:r>
          </w:p>
        </w:tc>
        <w:tc>
          <w:tcPr>
            <w:tcW w:w="1257"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　</w:t>
            </w:r>
          </w:p>
        </w:tc>
        <w:tc>
          <w:tcPr>
            <w:tcW w:w="13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技术职称</w:t>
            </w:r>
          </w:p>
        </w:tc>
        <w:tc>
          <w:tcPr>
            <w:tcW w:w="11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　</w:t>
            </w:r>
          </w:p>
        </w:tc>
        <w:tc>
          <w:tcPr>
            <w:tcW w:w="679"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电话</w:t>
            </w:r>
          </w:p>
        </w:tc>
        <w:tc>
          <w:tcPr>
            <w:tcW w:w="1560"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技术负责人</w:t>
            </w:r>
          </w:p>
        </w:tc>
        <w:tc>
          <w:tcPr>
            <w:tcW w:w="1784"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姓名</w:t>
            </w:r>
          </w:p>
        </w:tc>
        <w:tc>
          <w:tcPr>
            <w:tcW w:w="1257"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　</w:t>
            </w:r>
          </w:p>
        </w:tc>
        <w:tc>
          <w:tcPr>
            <w:tcW w:w="13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技术职称</w:t>
            </w:r>
          </w:p>
        </w:tc>
        <w:tc>
          <w:tcPr>
            <w:tcW w:w="1158"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　</w:t>
            </w:r>
          </w:p>
        </w:tc>
        <w:tc>
          <w:tcPr>
            <w:tcW w:w="679"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电话</w:t>
            </w:r>
          </w:p>
        </w:tc>
        <w:tc>
          <w:tcPr>
            <w:tcW w:w="1560" w:type="dxa"/>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成立时间</w:t>
            </w:r>
          </w:p>
        </w:tc>
        <w:tc>
          <w:tcPr>
            <w:tcW w:w="304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4755"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员工总人数：</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企业资质等级</w:t>
            </w:r>
          </w:p>
        </w:tc>
        <w:tc>
          <w:tcPr>
            <w:tcW w:w="304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35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其中</w:t>
            </w:r>
          </w:p>
        </w:tc>
        <w:tc>
          <w:tcPr>
            <w:tcW w:w="1553"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项目经理</w:t>
            </w:r>
          </w:p>
        </w:tc>
        <w:tc>
          <w:tcPr>
            <w:tcW w:w="184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营业执照号</w:t>
            </w:r>
          </w:p>
        </w:tc>
        <w:tc>
          <w:tcPr>
            <w:tcW w:w="304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p>
        </w:tc>
        <w:tc>
          <w:tcPr>
            <w:tcW w:w="1553"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高级职称人员</w:t>
            </w:r>
          </w:p>
        </w:tc>
        <w:tc>
          <w:tcPr>
            <w:tcW w:w="184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注册资金</w:t>
            </w:r>
          </w:p>
        </w:tc>
        <w:tc>
          <w:tcPr>
            <w:tcW w:w="304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p>
        </w:tc>
        <w:tc>
          <w:tcPr>
            <w:tcW w:w="1553"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中级职称人员</w:t>
            </w:r>
          </w:p>
        </w:tc>
        <w:tc>
          <w:tcPr>
            <w:tcW w:w="184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开户银行</w:t>
            </w:r>
          </w:p>
        </w:tc>
        <w:tc>
          <w:tcPr>
            <w:tcW w:w="304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p>
        </w:tc>
        <w:tc>
          <w:tcPr>
            <w:tcW w:w="1553"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初级职称人员</w:t>
            </w:r>
          </w:p>
        </w:tc>
        <w:tc>
          <w:tcPr>
            <w:tcW w:w="184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账号</w:t>
            </w:r>
          </w:p>
        </w:tc>
        <w:tc>
          <w:tcPr>
            <w:tcW w:w="3041"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c>
          <w:tcPr>
            <w:tcW w:w="13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2"/>
                <w:highlight w:val="none"/>
              </w:rPr>
            </w:pPr>
          </w:p>
        </w:tc>
        <w:tc>
          <w:tcPr>
            <w:tcW w:w="1553" w:type="dxa"/>
            <w:gridSpan w:val="2"/>
            <w:tcBorders>
              <w:top w:val="nil"/>
              <w:left w:val="nil"/>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技工</w:t>
            </w:r>
          </w:p>
        </w:tc>
        <w:tc>
          <w:tcPr>
            <w:tcW w:w="1844"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经营范围</w:t>
            </w:r>
          </w:p>
        </w:tc>
        <w:tc>
          <w:tcPr>
            <w:tcW w:w="7796" w:type="dxa"/>
            <w:gridSpan w:val="7"/>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r>
        <w:tblPrEx>
          <w:tblLayout w:type="fixed"/>
          <w:tblCellMar>
            <w:top w:w="0" w:type="dxa"/>
            <w:left w:w="108" w:type="dxa"/>
            <w:bottom w:w="0" w:type="dxa"/>
            <w:right w:w="108" w:type="dxa"/>
          </w:tblCellMar>
        </w:tblPrEx>
        <w:trPr>
          <w:trHeight w:val="540" w:hRule="atLeast"/>
          <w:jc w:val="center"/>
        </w:trPr>
        <w:tc>
          <w:tcPr>
            <w:tcW w:w="184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highlight w:val="none"/>
              </w:rPr>
            </w:pPr>
            <w:r>
              <w:rPr>
                <w:rFonts w:hint="eastAsia" w:ascii="宋体" w:hAnsi="宋体" w:cs="宋体"/>
                <w:kern w:val="0"/>
                <w:sz w:val="22"/>
                <w:highlight w:val="none"/>
              </w:rPr>
              <w:t>备注</w:t>
            </w:r>
          </w:p>
        </w:tc>
        <w:tc>
          <w:tcPr>
            <w:tcW w:w="7796" w:type="dxa"/>
            <w:gridSpan w:val="7"/>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2"/>
                <w:highlight w:val="none"/>
              </w:rPr>
            </w:pPr>
            <w:r>
              <w:rPr>
                <w:rFonts w:hint="eastAsia" w:ascii="宋体" w:hAnsi="宋体" w:cs="宋体"/>
                <w:kern w:val="0"/>
                <w:sz w:val="22"/>
                <w:highlight w:val="none"/>
              </w:rPr>
              <w:t>　</w:t>
            </w:r>
          </w:p>
        </w:tc>
      </w:tr>
    </w:tbl>
    <w:p>
      <w:pPr>
        <w:pStyle w:val="17"/>
        <w:ind w:firstLine="0"/>
        <w:jc w:val="left"/>
        <w:rPr>
          <w:highlight w:val="none"/>
        </w:rPr>
      </w:pPr>
      <w:r>
        <w:rPr>
          <w:rFonts w:hint="eastAsia"/>
          <w:highlight w:val="none"/>
        </w:rPr>
        <w:t>注：后附资格证明文件</w:t>
      </w:r>
    </w:p>
    <w:p>
      <w:pPr>
        <w:pStyle w:val="17"/>
        <w:spacing w:line="480" w:lineRule="auto"/>
        <w:ind w:firstLine="480"/>
        <w:jc w:val="left"/>
        <w:rPr>
          <w:highlight w:val="none"/>
        </w:rPr>
      </w:pPr>
    </w:p>
    <w:p>
      <w:pPr>
        <w:pStyle w:val="17"/>
        <w:spacing w:line="480" w:lineRule="auto"/>
        <w:ind w:firstLine="0"/>
        <w:rPr>
          <w:rFonts w:ascii="宋体" w:cs="宋体"/>
          <w:highlight w:val="none"/>
          <w:u w:val="single"/>
        </w:rPr>
      </w:pPr>
      <w:r>
        <w:rPr>
          <w:rFonts w:hint="eastAsia" w:ascii="宋体" w:hAnsi="宋体" w:cs="宋体"/>
          <w:highlight w:val="none"/>
        </w:rPr>
        <w:t>报价人（盖章）：</w:t>
      </w:r>
    </w:p>
    <w:p>
      <w:pPr>
        <w:pStyle w:val="17"/>
        <w:spacing w:line="480" w:lineRule="auto"/>
        <w:ind w:firstLine="0"/>
        <w:rPr>
          <w:rFonts w:ascii="宋体" w:cs="宋体"/>
          <w:highlight w:val="none"/>
        </w:rPr>
      </w:pPr>
      <w:r>
        <w:rPr>
          <w:rFonts w:hint="eastAsia" w:ascii="宋体" w:hAnsi="宋体" w:cs="宋体"/>
          <w:highlight w:val="none"/>
        </w:rPr>
        <w:t>报价人授权代表签字或盖章：</w:t>
      </w:r>
    </w:p>
    <w:p>
      <w:pPr>
        <w:pStyle w:val="17"/>
        <w:spacing w:line="480" w:lineRule="auto"/>
        <w:ind w:firstLine="0"/>
        <w:rPr>
          <w:rFonts w:ascii="宋体" w:cs="宋体"/>
          <w:highlight w:val="none"/>
        </w:rPr>
      </w:pPr>
      <w:r>
        <w:rPr>
          <w:rFonts w:hint="eastAsia" w:ascii="宋体" w:hAnsi="宋体" w:cs="宋体"/>
          <w:highlight w:val="none"/>
        </w:rPr>
        <w:t>日期：</w:t>
      </w:r>
    </w:p>
    <w:p>
      <w:pPr>
        <w:widowControl/>
        <w:spacing w:line="360" w:lineRule="auto"/>
        <w:jc w:val="left"/>
        <w:rPr>
          <w:rFonts w:ascii="宋体" w:cs="宋体"/>
          <w:b/>
          <w:kern w:val="0"/>
          <w:szCs w:val="21"/>
          <w:highlight w:val="none"/>
        </w:rPr>
      </w:pPr>
    </w:p>
    <w:p>
      <w:pPr>
        <w:widowControl/>
        <w:jc w:val="left"/>
        <w:rPr>
          <w:rFonts w:ascii="宋体" w:cs="宋体"/>
          <w:b/>
          <w:kern w:val="0"/>
          <w:szCs w:val="21"/>
          <w:highlight w:val="none"/>
        </w:rPr>
        <w:sectPr>
          <w:footerReference r:id="rId6" w:type="first"/>
          <w:footerReference r:id="rId4" w:type="default"/>
          <w:footerReference r:id="rId5" w:type="even"/>
          <w:pgSz w:w="11906" w:h="16838"/>
          <w:pgMar w:top="1440" w:right="1701" w:bottom="1440" w:left="1701" w:header="851" w:footer="992" w:gutter="0"/>
          <w:cols w:space="720" w:num="1"/>
          <w:docGrid w:linePitch="326" w:charSpace="0"/>
        </w:sectPr>
      </w:pPr>
    </w:p>
    <w:p>
      <w:pPr>
        <w:spacing w:line="360" w:lineRule="auto"/>
        <w:rPr>
          <w:rFonts w:ascii="宋体" w:cs="宋体"/>
          <w:b/>
          <w:kern w:val="0"/>
          <w:sz w:val="28"/>
          <w:szCs w:val="28"/>
          <w:highlight w:val="none"/>
        </w:rPr>
      </w:pPr>
      <w:bookmarkStart w:id="1191" w:name="_Toc73427850"/>
      <w:bookmarkStart w:id="1192" w:name="_Toc87063340"/>
      <w:r>
        <w:rPr>
          <w:rFonts w:hint="eastAsia" w:ascii="宋体" w:hAnsi="宋体" w:cs="宋体"/>
          <w:b/>
          <w:kern w:val="0"/>
          <w:sz w:val="28"/>
          <w:szCs w:val="28"/>
          <w:highlight w:val="none"/>
        </w:rPr>
        <w:t>一、营业执照、企业组织机构代码证、税务登记证书</w:t>
      </w:r>
    </w:p>
    <w:p>
      <w:pPr>
        <w:spacing w:line="360" w:lineRule="auto"/>
        <w:rPr>
          <w:rFonts w:ascii="宋体" w:cs="宋体"/>
          <w:kern w:val="0"/>
          <w:szCs w:val="21"/>
          <w:highlight w:val="none"/>
        </w:rPr>
      </w:pPr>
      <w:r>
        <w:rPr>
          <w:rFonts w:hint="eastAsia" w:ascii="宋体" w:hAnsi="宋体" w:cs="宋体"/>
          <w:kern w:val="0"/>
          <w:szCs w:val="21"/>
          <w:highlight w:val="none"/>
        </w:rPr>
        <w:t>（有效的营业执照、有效期内的企业组织机构代码证、税务登记证书（三证合一或五证合一则提供营业执照即可））</w:t>
      </w: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p>
    <w:p>
      <w:pPr>
        <w:spacing w:line="360" w:lineRule="auto"/>
        <w:rPr>
          <w:rFonts w:ascii="宋体" w:cs="宋体"/>
          <w:b/>
          <w:kern w:val="0"/>
          <w:sz w:val="28"/>
          <w:szCs w:val="28"/>
          <w:highlight w:val="none"/>
        </w:rPr>
      </w:pPr>
      <w:r>
        <w:rPr>
          <w:rFonts w:hint="eastAsia" w:ascii="宋体" w:hAnsi="宋体" w:cs="宋体"/>
          <w:b/>
          <w:kern w:val="0"/>
          <w:sz w:val="28"/>
          <w:szCs w:val="28"/>
          <w:highlight w:val="none"/>
        </w:rPr>
        <w:t>二、资质及相关证书</w:t>
      </w:r>
    </w:p>
    <w:p>
      <w:pPr>
        <w:spacing w:line="360" w:lineRule="auto"/>
        <w:rPr>
          <w:rFonts w:ascii="宋体" w:cs="宋体"/>
          <w:kern w:val="0"/>
          <w:szCs w:val="21"/>
          <w:highlight w:val="none"/>
        </w:rPr>
      </w:pPr>
      <w:r>
        <w:rPr>
          <w:rFonts w:hint="eastAsia" w:ascii="宋体" w:hAnsi="宋体" w:cs="宋体"/>
          <w:kern w:val="0"/>
          <w:szCs w:val="21"/>
          <w:highlight w:val="none"/>
        </w:rPr>
        <w:t>（“报价人资格要求”中要求的资质及相关证书复印件）</w:t>
      </w:r>
    </w:p>
    <w:bookmarkEnd w:id="1191"/>
    <w:bookmarkEnd w:id="1192"/>
    <w:p>
      <w:pPr>
        <w:pStyle w:val="29"/>
        <w:spacing w:line="360" w:lineRule="auto"/>
        <w:rPr>
          <w:rFonts w:hAnsi="宋体" w:cs="宋体"/>
          <w:highlight w:val="none"/>
        </w:rPr>
        <w:sectPr>
          <w:pgSz w:w="11906" w:h="16838"/>
          <w:pgMar w:top="1440" w:right="1701" w:bottom="1440" w:left="1701" w:header="851" w:footer="992" w:gutter="0"/>
          <w:cols w:space="720" w:num="1"/>
          <w:docGrid w:linePitch="326" w:charSpace="0"/>
        </w:sectPr>
      </w:pPr>
    </w:p>
    <w:p>
      <w:pPr>
        <w:spacing w:line="360" w:lineRule="auto"/>
        <w:rPr>
          <w:rFonts w:ascii="宋体" w:cs="宋体"/>
          <w:b/>
          <w:kern w:val="0"/>
          <w:sz w:val="28"/>
          <w:szCs w:val="28"/>
          <w:highlight w:val="none"/>
        </w:rPr>
      </w:pPr>
      <w:r>
        <w:rPr>
          <w:rFonts w:hint="eastAsia" w:ascii="宋体" w:hAnsi="宋体" w:cs="宋体"/>
          <w:b/>
          <w:kern w:val="0"/>
          <w:sz w:val="28"/>
          <w:szCs w:val="28"/>
          <w:highlight w:val="none"/>
        </w:rPr>
        <w:t>三、纳税证明</w:t>
      </w:r>
    </w:p>
    <w:p>
      <w:pPr>
        <w:pStyle w:val="17"/>
        <w:ind w:firstLine="0"/>
        <w:rPr>
          <w:sz w:val="18"/>
          <w:szCs w:val="18"/>
          <w:highlight w:val="none"/>
        </w:rPr>
      </w:pPr>
      <w:r>
        <w:rPr>
          <w:rFonts w:hint="eastAsia" w:ascii="宋体" w:hAnsi="宋体" w:cs="宋体"/>
          <w:sz w:val="18"/>
          <w:szCs w:val="18"/>
          <w:highlight w:val="none"/>
        </w:rPr>
        <w:t>提供磋商日前近三个月连续缴纳税收证明（法人单位必须为增值税或营业税或企业所得税）证明（银行缴费凭证或税务机关开具的证明）复印件。依法免税的报价人，应提供相应文件（复印件）证明其依法免税。</w:t>
      </w: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0"/>
        <w:rPr>
          <w:rFonts w:ascii="宋体" w:cs="宋体"/>
          <w:b/>
          <w:szCs w:val="28"/>
          <w:highlight w:val="none"/>
        </w:rPr>
      </w:pPr>
    </w:p>
    <w:p>
      <w:pPr>
        <w:pStyle w:val="17"/>
        <w:ind w:firstLine="562"/>
        <w:jc w:val="center"/>
        <w:rPr>
          <w:rFonts w:ascii="宋体" w:cs="宋体"/>
          <w:b/>
          <w:szCs w:val="28"/>
          <w:highlight w:val="none"/>
        </w:rPr>
      </w:pPr>
    </w:p>
    <w:p>
      <w:pPr>
        <w:pStyle w:val="17"/>
        <w:ind w:firstLine="0"/>
        <w:jc w:val="left"/>
        <w:rPr>
          <w:rFonts w:ascii="宋体" w:cs="宋体"/>
          <w:b/>
          <w:szCs w:val="28"/>
          <w:highlight w:val="none"/>
        </w:rPr>
      </w:pPr>
      <w:r>
        <w:rPr>
          <w:rFonts w:hint="eastAsia" w:ascii="宋体" w:hAnsi="宋体" w:cs="宋体"/>
          <w:b/>
          <w:szCs w:val="28"/>
          <w:highlight w:val="none"/>
        </w:rPr>
        <w:t>四、社会保障资金缴纳记录</w:t>
      </w:r>
    </w:p>
    <w:p>
      <w:pPr>
        <w:pStyle w:val="17"/>
        <w:ind w:firstLine="0"/>
        <w:rPr>
          <w:rFonts w:ascii="宋体" w:cs="宋体"/>
          <w:sz w:val="18"/>
          <w:szCs w:val="18"/>
          <w:highlight w:val="none"/>
        </w:rPr>
      </w:pPr>
      <w:r>
        <w:rPr>
          <w:rFonts w:hint="eastAsia" w:ascii="宋体" w:hAnsi="宋体" w:cs="宋体"/>
          <w:sz w:val="18"/>
          <w:szCs w:val="18"/>
          <w:highlight w:val="none"/>
        </w:rPr>
        <w:t>提供磋商日前近三个月连续缴纳社会保障资金缴纳记录（证明材料可以是报价人缴纳社会保障资金的入账票据凭证、缴费的银行单据、公司所在社保机构开具的证明等）复印件。不需要缴纳社会保障资金的报价人，应提供相应文件（复印件）证明其不需要缴纳社会保障资金。</w:t>
      </w: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0"/>
        <w:rPr>
          <w:rFonts w:ascii="宋体" w:cs="宋体"/>
          <w:b/>
          <w:szCs w:val="28"/>
          <w:highlight w:val="none"/>
        </w:rPr>
      </w:pPr>
      <w:r>
        <w:rPr>
          <w:rFonts w:hint="eastAsia" w:ascii="宋体" w:hAnsi="宋体" w:cs="宋体"/>
          <w:b/>
          <w:szCs w:val="28"/>
          <w:highlight w:val="none"/>
        </w:rPr>
        <w:t>五、报价人信用记录</w:t>
      </w:r>
    </w:p>
    <w:p>
      <w:pPr>
        <w:pStyle w:val="17"/>
        <w:ind w:firstLine="0"/>
        <w:rPr>
          <w:rFonts w:ascii="宋体" w:cs="宋体"/>
          <w:b/>
          <w:sz w:val="18"/>
          <w:szCs w:val="18"/>
          <w:highlight w:val="none"/>
        </w:rPr>
      </w:pPr>
      <w:r>
        <w:rPr>
          <w:rFonts w:hint="eastAsia" w:ascii="宋体" w:hAnsi="宋体" w:cs="宋体"/>
          <w:sz w:val="18"/>
          <w:szCs w:val="18"/>
          <w:highlight w:val="none"/>
        </w:rPr>
        <w:t>根据财政部财库（</w:t>
      </w:r>
      <w:r>
        <w:rPr>
          <w:rFonts w:ascii="宋体" w:hAnsi="宋体" w:cs="宋体"/>
          <w:sz w:val="18"/>
          <w:szCs w:val="18"/>
          <w:highlight w:val="none"/>
        </w:rPr>
        <w:t>2016</w:t>
      </w:r>
      <w:r>
        <w:rPr>
          <w:rFonts w:hint="eastAsia" w:ascii="宋体" w:hAnsi="宋体" w:cs="宋体"/>
          <w:sz w:val="18"/>
          <w:szCs w:val="18"/>
          <w:highlight w:val="none"/>
        </w:rPr>
        <w:t>）</w:t>
      </w:r>
      <w:r>
        <w:rPr>
          <w:rFonts w:ascii="宋体" w:hAnsi="宋体" w:cs="宋体"/>
          <w:sz w:val="18"/>
          <w:szCs w:val="18"/>
          <w:highlight w:val="none"/>
        </w:rPr>
        <w:t>125</w:t>
      </w:r>
      <w:r>
        <w:rPr>
          <w:rFonts w:hint="eastAsia" w:ascii="宋体" w:hAnsi="宋体" w:cs="宋体"/>
          <w:sz w:val="18"/>
          <w:szCs w:val="18"/>
          <w:highlight w:val="none"/>
        </w:rPr>
        <w:t>号的规定，报价人应通过“信用中国”网站（</w:t>
      </w:r>
      <w:r>
        <w:rPr>
          <w:rFonts w:ascii="宋体" w:hAnsi="宋体" w:cs="宋体"/>
          <w:sz w:val="18"/>
          <w:szCs w:val="18"/>
          <w:highlight w:val="none"/>
        </w:rPr>
        <w:t>www.creditchina.gov.cn</w:t>
      </w:r>
      <w:r>
        <w:rPr>
          <w:rFonts w:hint="eastAsia" w:ascii="宋体" w:hAnsi="宋体" w:cs="宋体"/>
          <w:sz w:val="18"/>
          <w:szCs w:val="18"/>
          <w:highlight w:val="none"/>
        </w:rPr>
        <w:t>）、中国政府采购网（</w:t>
      </w:r>
      <w:r>
        <w:rPr>
          <w:rFonts w:ascii="宋体" w:hAnsi="宋体" w:cs="宋体"/>
          <w:sz w:val="18"/>
          <w:szCs w:val="18"/>
          <w:highlight w:val="none"/>
        </w:rPr>
        <w:t>www.ccgp.gov.cn</w:t>
      </w:r>
      <w:r>
        <w:rPr>
          <w:rFonts w:hint="eastAsia" w:ascii="宋体" w:hAnsi="宋体" w:cs="宋体"/>
          <w:sz w:val="18"/>
          <w:szCs w:val="18"/>
          <w:highlight w:val="none"/>
        </w:rPr>
        <w:t>）等渠道查询信用记录，有严重违法失信行为或负面记录或在受惩黑名单内的，无响应资格。</w:t>
      </w:r>
      <w:r>
        <w:rPr>
          <w:rFonts w:hint="eastAsia" w:ascii="宋体" w:hAnsi="宋体" w:cs="宋体"/>
          <w:b/>
          <w:sz w:val="18"/>
          <w:szCs w:val="18"/>
          <w:highlight w:val="none"/>
        </w:rPr>
        <w:t>（查询时间为本项目竞争性磋商公告发布之日起</w:t>
      </w:r>
      <w:r>
        <w:rPr>
          <w:rFonts w:ascii="宋体" w:hAnsi="宋体" w:cs="宋体"/>
          <w:b/>
          <w:sz w:val="18"/>
          <w:szCs w:val="18"/>
          <w:highlight w:val="none"/>
        </w:rPr>
        <w:t>—</w:t>
      </w:r>
      <w:r>
        <w:rPr>
          <w:rFonts w:hint="eastAsia" w:ascii="宋体" w:hAnsi="宋体" w:cs="宋体"/>
          <w:b/>
          <w:sz w:val="18"/>
          <w:szCs w:val="18"/>
          <w:highlight w:val="none"/>
        </w:rPr>
        <w:t>响应文件递交截止之日止）。</w:t>
      </w:r>
    </w:p>
    <w:p>
      <w:pPr>
        <w:pStyle w:val="17"/>
        <w:ind w:firstLine="0"/>
        <w:rPr>
          <w:rFonts w:ascii="宋体" w:cs="宋体"/>
          <w:sz w:val="18"/>
          <w:szCs w:val="18"/>
          <w:highlight w:val="none"/>
        </w:rPr>
      </w:pPr>
    </w:p>
    <w:p>
      <w:pPr>
        <w:pStyle w:val="17"/>
        <w:ind w:firstLine="480"/>
        <w:jc w:val="center"/>
        <w:rPr>
          <w:rFonts w:ascii="宋体" w:cs="宋体"/>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562"/>
        <w:jc w:val="center"/>
        <w:rPr>
          <w:rFonts w:ascii="宋体" w:cs="宋体"/>
          <w:b/>
          <w:szCs w:val="28"/>
          <w:highlight w:val="none"/>
        </w:rPr>
      </w:pPr>
    </w:p>
    <w:p>
      <w:pPr>
        <w:pStyle w:val="17"/>
        <w:spacing w:line="480" w:lineRule="auto"/>
        <w:ind w:firstLine="562"/>
        <w:jc w:val="left"/>
        <w:rPr>
          <w:rFonts w:ascii="宋体" w:cs="宋体"/>
          <w:b/>
          <w:szCs w:val="28"/>
          <w:highlight w:val="none"/>
        </w:rPr>
      </w:pPr>
      <w:r>
        <w:rPr>
          <w:rFonts w:hint="eastAsia" w:ascii="宋体" w:hAnsi="宋体" w:cs="宋体"/>
          <w:b/>
          <w:szCs w:val="28"/>
          <w:highlight w:val="none"/>
        </w:rPr>
        <w:t>六、近三年无重大违法记录声明</w:t>
      </w:r>
    </w:p>
    <w:p>
      <w:pPr>
        <w:pStyle w:val="17"/>
        <w:spacing w:line="480" w:lineRule="auto"/>
        <w:ind w:firstLine="720" w:firstLineChars="300"/>
        <w:jc w:val="left"/>
        <w:rPr>
          <w:rFonts w:ascii="宋体" w:cs="宋体"/>
          <w:highlight w:val="none"/>
        </w:rPr>
      </w:pPr>
    </w:p>
    <w:p>
      <w:pPr>
        <w:pStyle w:val="17"/>
        <w:spacing w:line="480" w:lineRule="auto"/>
        <w:ind w:firstLine="720" w:firstLineChars="300"/>
        <w:jc w:val="left"/>
        <w:rPr>
          <w:rFonts w:ascii="宋体" w:cs="宋体"/>
          <w:highlight w:val="none"/>
        </w:rPr>
      </w:pPr>
      <w:r>
        <w:rPr>
          <w:rFonts w:hint="eastAsia" w:ascii="宋体" w:hAnsi="宋体" w:cs="宋体"/>
          <w:highlight w:val="none"/>
        </w:rPr>
        <w:t>我公司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pPr>
        <w:pStyle w:val="17"/>
        <w:ind w:firstLine="480"/>
        <w:jc w:val="center"/>
        <w:rPr>
          <w:rFonts w:ascii="宋体" w:cs="宋体"/>
          <w:highlight w:val="none"/>
        </w:rPr>
      </w:pPr>
    </w:p>
    <w:p>
      <w:pPr>
        <w:pStyle w:val="17"/>
        <w:ind w:firstLine="480"/>
        <w:jc w:val="center"/>
        <w:rPr>
          <w:rFonts w:ascii="宋体" w:cs="宋体"/>
          <w:highlight w:val="none"/>
        </w:rPr>
      </w:pPr>
    </w:p>
    <w:p>
      <w:pPr>
        <w:pStyle w:val="17"/>
        <w:ind w:firstLine="480"/>
        <w:rPr>
          <w:rFonts w:ascii="宋体" w:cs="宋体"/>
          <w:highlight w:val="none"/>
        </w:rPr>
      </w:pPr>
      <w:r>
        <w:rPr>
          <w:rFonts w:hint="eastAsia" w:ascii="宋体" w:hAnsi="宋体" w:cs="宋体"/>
          <w:highlight w:val="none"/>
        </w:rPr>
        <w:t>特此声明。</w:t>
      </w: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spacing w:line="480" w:lineRule="auto"/>
        <w:ind w:firstLine="0"/>
        <w:rPr>
          <w:rFonts w:ascii="宋体" w:cs="宋体"/>
          <w:highlight w:val="none"/>
          <w:u w:val="single"/>
        </w:rPr>
      </w:pPr>
      <w:r>
        <w:rPr>
          <w:rFonts w:hint="eastAsia" w:ascii="宋体" w:hAnsi="宋体" w:cs="宋体"/>
          <w:highlight w:val="none"/>
        </w:rPr>
        <w:t>报价人（盖章）：</w:t>
      </w:r>
    </w:p>
    <w:p>
      <w:pPr>
        <w:pStyle w:val="17"/>
        <w:spacing w:line="480" w:lineRule="auto"/>
        <w:ind w:firstLine="0"/>
        <w:rPr>
          <w:rFonts w:ascii="宋体" w:cs="宋体"/>
          <w:highlight w:val="none"/>
        </w:rPr>
      </w:pPr>
      <w:r>
        <w:rPr>
          <w:rFonts w:hint="eastAsia" w:ascii="宋体" w:hAnsi="宋体" w:cs="宋体"/>
          <w:highlight w:val="none"/>
        </w:rPr>
        <w:t>报价人授权代表签字：</w:t>
      </w:r>
    </w:p>
    <w:p>
      <w:pPr>
        <w:pStyle w:val="17"/>
        <w:spacing w:line="480" w:lineRule="auto"/>
        <w:ind w:firstLine="0"/>
        <w:rPr>
          <w:rFonts w:ascii="宋体" w:cs="宋体"/>
          <w:highlight w:val="none"/>
        </w:rPr>
      </w:pPr>
      <w:r>
        <w:rPr>
          <w:rFonts w:hint="eastAsia" w:ascii="宋体" w:hAnsi="宋体" w:cs="宋体"/>
          <w:highlight w:val="none"/>
        </w:rPr>
        <w:t>日期：</w:t>
      </w: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480"/>
        <w:jc w:val="center"/>
        <w:rPr>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rPr>
          <w:rFonts w:ascii="宋体" w:cs="宋体"/>
          <w:b/>
          <w:szCs w:val="28"/>
          <w:highlight w:val="none"/>
        </w:rPr>
      </w:pPr>
    </w:p>
    <w:p>
      <w:pPr>
        <w:pStyle w:val="17"/>
        <w:ind w:firstLine="562"/>
        <w:jc w:val="left"/>
        <w:rPr>
          <w:rFonts w:ascii="宋体" w:cs="宋体"/>
          <w:b/>
          <w:szCs w:val="28"/>
          <w:highlight w:val="none"/>
        </w:rPr>
      </w:pPr>
      <w:r>
        <w:rPr>
          <w:rFonts w:hint="eastAsia" w:ascii="宋体" w:hAnsi="宋体" w:cs="宋体"/>
          <w:b/>
          <w:szCs w:val="28"/>
          <w:highlight w:val="none"/>
        </w:rPr>
        <w:t>七、报价人的资信证明</w:t>
      </w:r>
    </w:p>
    <w:p>
      <w:pPr>
        <w:pStyle w:val="17"/>
        <w:ind w:firstLine="0"/>
        <w:rPr>
          <w:rFonts w:ascii="宋体" w:cs="宋体"/>
          <w:b/>
          <w:szCs w:val="28"/>
          <w:highlight w:val="none"/>
        </w:rPr>
      </w:pPr>
    </w:p>
    <w:p>
      <w:pPr>
        <w:pStyle w:val="17"/>
        <w:ind w:firstLine="480"/>
        <w:rPr>
          <w:rFonts w:ascii="宋体" w:cs="宋体"/>
          <w:highlight w:val="none"/>
        </w:rPr>
      </w:pPr>
      <w:r>
        <w:rPr>
          <w:rFonts w:hint="eastAsia" w:ascii="宋体" w:hAnsi="宋体" w:cs="宋体"/>
          <w:highlight w:val="none"/>
        </w:rPr>
        <w:t>会计事务所出具的</w:t>
      </w:r>
      <w:r>
        <w:rPr>
          <w:rFonts w:ascii="宋体" w:hAnsi="宋体" w:cs="宋体"/>
          <w:highlight w:val="none"/>
        </w:rPr>
        <w:t>2016</w:t>
      </w:r>
      <w:r>
        <w:rPr>
          <w:rFonts w:hint="eastAsia" w:ascii="宋体" w:hAnsi="宋体" w:cs="宋体"/>
          <w:highlight w:val="none"/>
        </w:rPr>
        <w:t>或</w:t>
      </w:r>
      <w:r>
        <w:rPr>
          <w:rFonts w:ascii="宋体" w:hAnsi="宋体" w:cs="宋体"/>
          <w:highlight w:val="none"/>
        </w:rPr>
        <w:t>2017</w:t>
      </w:r>
      <w:r>
        <w:rPr>
          <w:rFonts w:hint="eastAsia" w:ascii="宋体" w:hAnsi="宋体" w:cs="宋体"/>
          <w:highlight w:val="none"/>
        </w:rPr>
        <w:t>年度财务审计报告或银行出具的资信证明。</w:t>
      </w:r>
    </w:p>
    <w:p>
      <w:pPr>
        <w:pStyle w:val="17"/>
        <w:ind w:firstLine="480"/>
        <w:jc w:val="center"/>
        <w:rPr>
          <w:rFonts w:ascii="宋体" w:cs="宋体"/>
          <w:highlight w:val="none"/>
        </w:rPr>
      </w:pPr>
    </w:p>
    <w:p>
      <w:pPr>
        <w:pStyle w:val="17"/>
        <w:ind w:firstLine="480"/>
        <w:jc w:val="center"/>
        <w:rPr>
          <w:rFonts w:ascii="宋体" w:cs="宋体"/>
          <w:highlight w:val="none"/>
        </w:rPr>
      </w:pPr>
    </w:p>
    <w:p>
      <w:pPr>
        <w:pStyle w:val="17"/>
        <w:ind w:firstLine="480"/>
        <w:rPr>
          <w:rFonts w:ascii="宋体" w:cs="宋体"/>
          <w:highlight w:val="none"/>
        </w:rPr>
      </w:pPr>
      <w:r>
        <w:rPr>
          <w:rFonts w:hint="eastAsia" w:ascii="宋体" w:hAnsi="宋体" w:cs="宋体"/>
          <w:highlight w:val="none"/>
        </w:rPr>
        <w:t>说明：</w:t>
      </w:r>
    </w:p>
    <w:p>
      <w:pPr>
        <w:pStyle w:val="17"/>
        <w:numPr>
          <w:ilvl w:val="0"/>
          <w:numId w:val="15"/>
        </w:numPr>
        <w:adjustRightInd/>
        <w:spacing w:line="360" w:lineRule="auto"/>
        <w:jc w:val="left"/>
        <w:textAlignment w:val="auto"/>
        <w:rPr>
          <w:rFonts w:ascii="宋体" w:cs="宋体"/>
          <w:sz w:val="21"/>
          <w:szCs w:val="21"/>
          <w:highlight w:val="none"/>
        </w:rPr>
      </w:pPr>
      <w:r>
        <w:rPr>
          <w:rFonts w:hint="eastAsia" w:ascii="宋体" w:hAnsi="宋体" w:cs="宋体"/>
          <w:sz w:val="21"/>
          <w:szCs w:val="21"/>
          <w:highlight w:val="none"/>
        </w:rPr>
        <w:t>报价人在响应文件中，应提供本单位</w:t>
      </w:r>
      <w:r>
        <w:rPr>
          <w:rFonts w:ascii="宋体" w:hAnsi="宋体" w:cs="宋体"/>
          <w:sz w:val="21"/>
          <w:szCs w:val="21"/>
          <w:highlight w:val="none"/>
        </w:rPr>
        <w:t>2016</w:t>
      </w:r>
      <w:r>
        <w:rPr>
          <w:rFonts w:hint="eastAsia" w:ascii="宋体" w:hAnsi="宋体" w:cs="宋体"/>
          <w:sz w:val="21"/>
          <w:szCs w:val="21"/>
          <w:highlight w:val="none"/>
        </w:rPr>
        <w:t>或</w:t>
      </w:r>
      <w:r>
        <w:rPr>
          <w:rFonts w:ascii="宋体" w:hAnsi="宋体" w:cs="宋体"/>
          <w:sz w:val="21"/>
          <w:szCs w:val="21"/>
          <w:highlight w:val="none"/>
        </w:rPr>
        <w:t>2017</w:t>
      </w:r>
      <w:r>
        <w:rPr>
          <w:rFonts w:hint="eastAsia" w:ascii="宋体" w:hAnsi="宋体" w:cs="宋体"/>
          <w:sz w:val="21"/>
          <w:szCs w:val="21"/>
          <w:highlight w:val="none"/>
        </w:rPr>
        <w:t>年度经会计师事务所出具的审计报告复印件（提供审计报告、资产负债表、损益表、现金流量等）。</w:t>
      </w:r>
    </w:p>
    <w:p>
      <w:pPr>
        <w:pStyle w:val="17"/>
        <w:numPr>
          <w:ilvl w:val="0"/>
          <w:numId w:val="15"/>
        </w:numPr>
        <w:adjustRightInd/>
        <w:spacing w:line="360" w:lineRule="auto"/>
        <w:jc w:val="left"/>
        <w:textAlignment w:val="auto"/>
        <w:rPr>
          <w:rFonts w:ascii="宋体" w:cs="宋体"/>
          <w:sz w:val="21"/>
          <w:szCs w:val="21"/>
          <w:highlight w:val="none"/>
        </w:rPr>
      </w:pPr>
      <w:r>
        <w:rPr>
          <w:rFonts w:hint="eastAsia" w:ascii="宋体" w:hAnsi="宋体" w:cs="宋体"/>
          <w:sz w:val="21"/>
          <w:szCs w:val="21"/>
          <w:highlight w:val="none"/>
        </w:rPr>
        <w:t>如报价人无法提供上述年度审计报告，则需提供银行出具的资信证明。银行资信证明可提供原件，也可提供银行在磋商日前三个月内开具资信证明的复印件（银行资信证明可不受收受人和项目的限制）。若提供的是复印件，采购人保留审核原件的权力。</w:t>
      </w:r>
    </w:p>
    <w:p>
      <w:pPr>
        <w:pStyle w:val="17"/>
        <w:numPr>
          <w:ilvl w:val="0"/>
          <w:numId w:val="15"/>
        </w:numPr>
        <w:adjustRightInd/>
        <w:spacing w:line="360" w:lineRule="auto"/>
        <w:jc w:val="left"/>
        <w:textAlignment w:val="auto"/>
        <w:rPr>
          <w:rFonts w:ascii="宋体" w:cs="宋体"/>
          <w:sz w:val="21"/>
          <w:szCs w:val="21"/>
          <w:highlight w:val="none"/>
        </w:rPr>
      </w:pPr>
      <w:r>
        <w:rPr>
          <w:rFonts w:hint="eastAsia" w:ascii="宋体" w:hAnsi="宋体" w:cs="宋体"/>
          <w:sz w:val="21"/>
          <w:szCs w:val="21"/>
          <w:highlight w:val="none"/>
        </w:rPr>
        <w:t>成立一年内的公司可提交验资证明复印件。</w:t>
      </w:r>
    </w:p>
    <w:p>
      <w:pPr>
        <w:pStyle w:val="17"/>
        <w:numPr>
          <w:ilvl w:val="0"/>
          <w:numId w:val="15"/>
        </w:numPr>
        <w:adjustRightInd/>
        <w:spacing w:line="360" w:lineRule="auto"/>
        <w:jc w:val="left"/>
        <w:textAlignment w:val="auto"/>
        <w:rPr>
          <w:rFonts w:ascii="宋体" w:cs="宋体"/>
          <w:sz w:val="21"/>
          <w:szCs w:val="21"/>
          <w:highlight w:val="none"/>
        </w:rPr>
      </w:pPr>
      <w:r>
        <w:rPr>
          <w:rFonts w:hint="eastAsia" w:ascii="宋体" w:hAnsi="宋体" w:cs="宋体"/>
          <w:sz w:val="21"/>
          <w:szCs w:val="21"/>
          <w:highlight w:val="none"/>
        </w:rPr>
        <w:t>银行资信证明应能说明该报价人与银行之间业务往来正常，企业信誉良好等。银行出具的存款证明不能替代银行资信证明。</w:t>
      </w:r>
    </w:p>
    <w:p>
      <w:pPr>
        <w:pStyle w:val="17"/>
        <w:ind w:firstLine="480"/>
        <w:jc w:val="center"/>
        <w:rPr>
          <w:highlight w:val="none"/>
        </w:rPr>
      </w:pPr>
    </w:p>
    <w:p>
      <w:pPr>
        <w:pStyle w:val="17"/>
        <w:ind w:firstLine="480"/>
        <w:jc w:val="center"/>
        <w:rPr>
          <w:highlight w:val="none"/>
        </w:rPr>
      </w:pPr>
    </w:p>
    <w:p>
      <w:pPr>
        <w:pStyle w:val="17"/>
        <w:ind w:firstLine="562"/>
        <w:jc w:val="center"/>
        <w:rPr>
          <w:rFonts w:ascii="宋体" w:cs="宋体"/>
          <w:b/>
          <w:szCs w:val="28"/>
          <w:highlight w:val="none"/>
        </w:rPr>
      </w:pPr>
    </w:p>
    <w:p>
      <w:pPr>
        <w:pStyle w:val="17"/>
        <w:ind w:firstLine="0"/>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spacing w:line="480" w:lineRule="auto"/>
        <w:ind w:firstLine="562"/>
        <w:jc w:val="left"/>
        <w:rPr>
          <w:rFonts w:ascii="宋体" w:cs="宋体"/>
          <w:b/>
          <w:szCs w:val="28"/>
          <w:highlight w:val="none"/>
        </w:rPr>
      </w:pPr>
      <w:r>
        <w:rPr>
          <w:rFonts w:hint="eastAsia" w:ascii="宋体" w:hAnsi="宋体" w:cs="宋体"/>
          <w:b/>
          <w:szCs w:val="28"/>
          <w:highlight w:val="none"/>
        </w:rPr>
        <w:t>八、近年发生的诉讼及仲裁情况</w:t>
      </w:r>
    </w:p>
    <w:p>
      <w:pPr>
        <w:pStyle w:val="17"/>
        <w:spacing w:line="480" w:lineRule="auto"/>
        <w:ind w:firstLine="562"/>
        <w:jc w:val="left"/>
        <w:rPr>
          <w:rFonts w:ascii="宋体" w:cs="宋体"/>
          <w:sz w:val="21"/>
          <w:szCs w:val="21"/>
          <w:highlight w:val="none"/>
        </w:rPr>
      </w:pPr>
      <w:r>
        <w:rPr>
          <w:rFonts w:hint="eastAsia" w:ascii="宋体" w:hAnsi="宋体" w:cs="宋体"/>
          <w:sz w:val="21"/>
          <w:szCs w:val="21"/>
          <w:highlight w:val="none"/>
        </w:rPr>
        <w:t>（格式自拟）</w:t>
      </w:r>
    </w:p>
    <w:p>
      <w:pPr>
        <w:pStyle w:val="17"/>
        <w:ind w:firstLine="562"/>
        <w:jc w:val="left"/>
        <w:rPr>
          <w:rFonts w:ascii="宋体" w:cs="宋体"/>
          <w:b/>
          <w:szCs w:val="28"/>
          <w:highlight w:val="none"/>
        </w:rPr>
      </w:pPr>
    </w:p>
    <w:p>
      <w:pPr>
        <w:pStyle w:val="17"/>
        <w:ind w:firstLine="562"/>
        <w:jc w:val="left"/>
        <w:rPr>
          <w:rFonts w:ascii="宋体" w:cs="宋体"/>
          <w:b/>
          <w:szCs w:val="28"/>
          <w:highlight w:val="none"/>
        </w:rPr>
      </w:pPr>
    </w:p>
    <w:p>
      <w:pPr>
        <w:pStyle w:val="17"/>
        <w:ind w:firstLine="562"/>
        <w:jc w:val="left"/>
        <w:rPr>
          <w:rFonts w:ascii="宋体" w:cs="宋体"/>
          <w:b/>
          <w:szCs w:val="28"/>
          <w:highlight w:val="none"/>
        </w:rPr>
      </w:pPr>
    </w:p>
    <w:p>
      <w:pPr>
        <w:pStyle w:val="17"/>
        <w:spacing w:line="480" w:lineRule="auto"/>
        <w:ind w:firstLine="562"/>
        <w:jc w:val="left"/>
        <w:rPr>
          <w:rFonts w:ascii="宋体" w:cs="宋体"/>
          <w:b/>
          <w:szCs w:val="28"/>
          <w:highlight w:val="none"/>
        </w:rPr>
      </w:pPr>
      <w:r>
        <w:rPr>
          <w:rFonts w:hint="eastAsia" w:ascii="宋体" w:hAnsi="宋体" w:cs="宋体"/>
          <w:b/>
          <w:szCs w:val="28"/>
          <w:highlight w:val="none"/>
        </w:rPr>
        <w:t>九、企业经营状况</w:t>
      </w:r>
    </w:p>
    <w:p>
      <w:pPr>
        <w:pStyle w:val="17"/>
        <w:spacing w:line="480" w:lineRule="auto"/>
        <w:ind w:firstLine="562"/>
        <w:jc w:val="left"/>
        <w:rPr>
          <w:rFonts w:ascii="宋体" w:cs="宋体"/>
          <w:sz w:val="21"/>
          <w:szCs w:val="21"/>
          <w:highlight w:val="none"/>
        </w:rPr>
      </w:pPr>
      <w:r>
        <w:rPr>
          <w:rFonts w:hint="eastAsia" w:ascii="宋体" w:hAnsi="宋体" w:cs="宋体"/>
          <w:sz w:val="21"/>
          <w:szCs w:val="21"/>
          <w:highlight w:val="none"/>
        </w:rPr>
        <w:t>（格式自拟）</w:t>
      </w:r>
    </w:p>
    <w:p>
      <w:pPr>
        <w:pStyle w:val="17"/>
        <w:ind w:firstLine="562"/>
        <w:jc w:val="left"/>
        <w:rPr>
          <w:rFonts w:ascii="宋体" w:cs="宋体"/>
          <w:b/>
          <w:szCs w:val="28"/>
          <w:highlight w:val="none"/>
        </w:rPr>
      </w:pPr>
    </w:p>
    <w:p>
      <w:pPr>
        <w:pStyle w:val="17"/>
        <w:ind w:firstLine="562"/>
        <w:jc w:val="left"/>
        <w:rPr>
          <w:rFonts w:ascii="宋体" w:cs="宋体"/>
          <w:b/>
          <w:szCs w:val="28"/>
          <w:highlight w:val="none"/>
        </w:rPr>
      </w:pPr>
    </w:p>
    <w:p>
      <w:pPr>
        <w:pStyle w:val="17"/>
        <w:ind w:firstLine="562"/>
        <w:jc w:val="left"/>
        <w:rPr>
          <w:rFonts w:ascii="宋体" w:cs="宋体"/>
          <w:b/>
          <w:szCs w:val="28"/>
          <w:highlight w:val="none"/>
        </w:rPr>
      </w:pPr>
    </w:p>
    <w:p>
      <w:pPr>
        <w:pStyle w:val="17"/>
        <w:ind w:firstLine="562"/>
        <w:jc w:val="left"/>
        <w:rPr>
          <w:rFonts w:ascii="宋体" w:cs="宋体"/>
          <w:b/>
          <w:szCs w:val="28"/>
          <w:highlight w:val="none"/>
        </w:rPr>
      </w:pPr>
    </w:p>
    <w:p>
      <w:pPr>
        <w:pStyle w:val="17"/>
        <w:ind w:firstLine="562"/>
        <w:jc w:val="left"/>
        <w:rPr>
          <w:rFonts w:ascii="宋体" w:cs="宋体"/>
          <w:b/>
          <w:szCs w:val="28"/>
          <w:highlight w:val="none"/>
        </w:rPr>
      </w:pPr>
    </w:p>
    <w:p>
      <w:pPr>
        <w:pStyle w:val="17"/>
        <w:spacing w:line="480" w:lineRule="auto"/>
        <w:ind w:firstLine="562"/>
        <w:jc w:val="left"/>
        <w:rPr>
          <w:rFonts w:ascii="宋体" w:cs="宋体"/>
          <w:b/>
          <w:szCs w:val="28"/>
          <w:highlight w:val="none"/>
        </w:rPr>
      </w:pPr>
      <w:r>
        <w:rPr>
          <w:rFonts w:hint="eastAsia" w:ascii="宋体" w:hAnsi="宋体" w:cs="宋体"/>
          <w:b/>
          <w:szCs w:val="28"/>
          <w:highlight w:val="none"/>
        </w:rPr>
        <w:t>十一、履约情况</w:t>
      </w:r>
    </w:p>
    <w:p>
      <w:pPr>
        <w:pStyle w:val="17"/>
        <w:spacing w:line="480" w:lineRule="auto"/>
        <w:ind w:firstLine="562"/>
        <w:jc w:val="left"/>
        <w:rPr>
          <w:rFonts w:ascii="宋体" w:cs="宋体"/>
          <w:sz w:val="21"/>
          <w:szCs w:val="21"/>
          <w:highlight w:val="none"/>
        </w:rPr>
      </w:pPr>
      <w:r>
        <w:rPr>
          <w:rFonts w:hint="eastAsia" w:ascii="宋体" w:hAnsi="宋体" w:cs="宋体"/>
          <w:sz w:val="21"/>
          <w:szCs w:val="21"/>
          <w:highlight w:val="none"/>
        </w:rPr>
        <w:t>（格式自拟）</w:t>
      </w:r>
    </w:p>
    <w:p>
      <w:pPr>
        <w:pStyle w:val="17"/>
        <w:ind w:firstLine="0"/>
        <w:rPr>
          <w:rFonts w:ascii="宋体" w:cs="宋体"/>
          <w:b/>
          <w:szCs w:val="28"/>
          <w:highlight w:val="none"/>
        </w:rPr>
      </w:pPr>
    </w:p>
    <w:p>
      <w:pPr>
        <w:pStyle w:val="89"/>
        <w:spacing w:before="0"/>
        <w:jc w:val="center"/>
        <w:outlineLvl w:val="0"/>
        <w:rPr>
          <w:b/>
          <w:szCs w:val="28"/>
          <w:highlight w:val="none"/>
        </w:rPr>
      </w:pPr>
      <w:bookmarkStart w:id="1193" w:name="_Toc508871670"/>
      <w:bookmarkStart w:id="1194" w:name="_Toc508461863"/>
      <w:r>
        <w:rPr>
          <w:rFonts w:hint="eastAsia"/>
          <w:b/>
          <w:szCs w:val="28"/>
          <w:highlight w:val="none"/>
        </w:rPr>
        <w:t>十二、项目管理机构</w:t>
      </w:r>
      <w:bookmarkEnd w:id="1193"/>
      <w:bookmarkEnd w:id="1194"/>
    </w:p>
    <w:p>
      <w:pPr>
        <w:pStyle w:val="4"/>
        <w:rPr>
          <w:rFonts w:ascii="黑体" w:eastAsia="黑体"/>
          <w:sz w:val="24"/>
          <w:highlight w:val="none"/>
        </w:rPr>
      </w:pPr>
      <w:bookmarkStart w:id="1195" w:name="_Toc152045804"/>
      <w:bookmarkStart w:id="1196" w:name="_Toc144974872"/>
      <w:bookmarkStart w:id="1197" w:name="_Toc179632824"/>
      <w:bookmarkStart w:id="1198" w:name="_Toc241459832"/>
      <w:bookmarkStart w:id="1199" w:name="_Toc342296589"/>
      <w:bookmarkStart w:id="1200" w:name="_Toc477964719"/>
      <w:bookmarkStart w:id="1201" w:name="_Toc152042593"/>
      <w:r>
        <w:rPr>
          <w:rFonts w:hint="eastAsia" w:ascii="黑体" w:eastAsia="黑体"/>
          <w:sz w:val="24"/>
          <w:highlight w:val="none"/>
        </w:rPr>
        <w:t>（一）项目管理机构组成表</w:t>
      </w:r>
      <w:bookmarkEnd w:id="1195"/>
      <w:bookmarkEnd w:id="1196"/>
      <w:bookmarkEnd w:id="1197"/>
      <w:bookmarkEnd w:id="1198"/>
      <w:bookmarkEnd w:id="1199"/>
      <w:bookmarkEnd w:id="1200"/>
      <w:bookmarkEnd w:id="1201"/>
    </w:p>
    <w:tbl>
      <w:tblPr>
        <w:tblStyle w:val="6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738"/>
        <w:gridCol w:w="736"/>
        <w:gridCol w:w="1106"/>
        <w:gridCol w:w="736"/>
        <w:gridCol w:w="738"/>
        <w:gridCol w:w="736"/>
        <w:gridCol w:w="2581"/>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5" w:type="dxa"/>
            <w:vMerge w:val="restart"/>
            <w:vAlign w:val="center"/>
          </w:tcPr>
          <w:p>
            <w:pPr>
              <w:spacing w:line="440" w:lineRule="exact"/>
              <w:jc w:val="center"/>
              <w:rPr>
                <w:szCs w:val="21"/>
                <w:highlight w:val="none"/>
              </w:rPr>
            </w:pPr>
            <w:r>
              <w:rPr>
                <w:rFonts w:hint="eastAsia"/>
                <w:szCs w:val="21"/>
                <w:highlight w:val="none"/>
              </w:rPr>
              <w:t>职务</w:t>
            </w:r>
          </w:p>
        </w:tc>
        <w:tc>
          <w:tcPr>
            <w:tcW w:w="738" w:type="dxa"/>
            <w:vMerge w:val="restart"/>
            <w:vAlign w:val="center"/>
          </w:tcPr>
          <w:p>
            <w:pPr>
              <w:spacing w:line="440" w:lineRule="exact"/>
              <w:jc w:val="center"/>
              <w:rPr>
                <w:szCs w:val="21"/>
                <w:highlight w:val="none"/>
              </w:rPr>
            </w:pPr>
            <w:r>
              <w:rPr>
                <w:rFonts w:hint="eastAsia"/>
                <w:szCs w:val="21"/>
                <w:highlight w:val="none"/>
              </w:rPr>
              <w:t>姓名</w:t>
            </w:r>
          </w:p>
        </w:tc>
        <w:tc>
          <w:tcPr>
            <w:tcW w:w="736" w:type="dxa"/>
            <w:vMerge w:val="restart"/>
            <w:vAlign w:val="center"/>
          </w:tcPr>
          <w:p>
            <w:pPr>
              <w:spacing w:line="440" w:lineRule="exact"/>
              <w:jc w:val="center"/>
              <w:rPr>
                <w:szCs w:val="21"/>
                <w:highlight w:val="none"/>
              </w:rPr>
            </w:pPr>
            <w:r>
              <w:rPr>
                <w:rFonts w:hint="eastAsia"/>
                <w:szCs w:val="21"/>
                <w:highlight w:val="none"/>
              </w:rPr>
              <w:t>职称</w:t>
            </w:r>
          </w:p>
        </w:tc>
        <w:tc>
          <w:tcPr>
            <w:tcW w:w="5897" w:type="dxa"/>
            <w:gridSpan w:val="5"/>
            <w:vAlign w:val="center"/>
          </w:tcPr>
          <w:p>
            <w:pPr>
              <w:spacing w:line="440" w:lineRule="exact"/>
              <w:jc w:val="center"/>
              <w:rPr>
                <w:szCs w:val="21"/>
                <w:highlight w:val="none"/>
              </w:rPr>
            </w:pPr>
            <w:r>
              <w:rPr>
                <w:rFonts w:hint="eastAsia"/>
                <w:szCs w:val="21"/>
                <w:highlight w:val="none"/>
              </w:rPr>
              <w:t>执业或职业资格证明</w:t>
            </w:r>
          </w:p>
        </w:tc>
        <w:tc>
          <w:tcPr>
            <w:tcW w:w="684" w:type="dxa"/>
            <w:vAlign w:val="center"/>
          </w:tcPr>
          <w:p>
            <w:pPr>
              <w:spacing w:line="440" w:lineRule="exact"/>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65" w:type="dxa"/>
            <w:vMerge w:val="continue"/>
            <w:vAlign w:val="center"/>
          </w:tcPr>
          <w:p>
            <w:pPr>
              <w:spacing w:line="440" w:lineRule="exact"/>
              <w:jc w:val="center"/>
              <w:rPr>
                <w:szCs w:val="21"/>
                <w:highlight w:val="none"/>
              </w:rPr>
            </w:pPr>
          </w:p>
        </w:tc>
        <w:tc>
          <w:tcPr>
            <w:tcW w:w="738" w:type="dxa"/>
            <w:vMerge w:val="continue"/>
            <w:vAlign w:val="center"/>
          </w:tcPr>
          <w:p>
            <w:pPr>
              <w:spacing w:line="440" w:lineRule="exact"/>
              <w:jc w:val="center"/>
              <w:rPr>
                <w:szCs w:val="21"/>
                <w:highlight w:val="none"/>
              </w:rPr>
            </w:pPr>
          </w:p>
        </w:tc>
        <w:tc>
          <w:tcPr>
            <w:tcW w:w="736" w:type="dxa"/>
            <w:vMerge w:val="continue"/>
            <w:vAlign w:val="center"/>
          </w:tcPr>
          <w:p>
            <w:pPr>
              <w:spacing w:line="440" w:lineRule="exact"/>
              <w:jc w:val="center"/>
              <w:rPr>
                <w:szCs w:val="21"/>
                <w:highlight w:val="none"/>
              </w:rPr>
            </w:pPr>
          </w:p>
        </w:tc>
        <w:tc>
          <w:tcPr>
            <w:tcW w:w="1106" w:type="dxa"/>
            <w:vAlign w:val="center"/>
          </w:tcPr>
          <w:p>
            <w:pPr>
              <w:spacing w:line="440" w:lineRule="exact"/>
              <w:jc w:val="center"/>
              <w:rPr>
                <w:szCs w:val="21"/>
                <w:highlight w:val="none"/>
              </w:rPr>
            </w:pPr>
            <w:r>
              <w:rPr>
                <w:rFonts w:hint="eastAsia"/>
                <w:szCs w:val="21"/>
                <w:highlight w:val="none"/>
              </w:rPr>
              <w:t>证书名称</w:t>
            </w:r>
          </w:p>
        </w:tc>
        <w:tc>
          <w:tcPr>
            <w:tcW w:w="736" w:type="dxa"/>
            <w:vAlign w:val="center"/>
          </w:tcPr>
          <w:p>
            <w:pPr>
              <w:spacing w:line="440" w:lineRule="exact"/>
              <w:jc w:val="center"/>
              <w:rPr>
                <w:szCs w:val="21"/>
                <w:highlight w:val="none"/>
              </w:rPr>
            </w:pPr>
            <w:r>
              <w:rPr>
                <w:rFonts w:hint="eastAsia"/>
                <w:szCs w:val="21"/>
                <w:highlight w:val="none"/>
              </w:rPr>
              <w:t>级别</w:t>
            </w:r>
          </w:p>
        </w:tc>
        <w:tc>
          <w:tcPr>
            <w:tcW w:w="738" w:type="dxa"/>
            <w:vAlign w:val="center"/>
          </w:tcPr>
          <w:p>
            <w:pPr>
              <w:spacing w:line="440" w:lineRule="exact"/>
              <w:jc w:val="center"/>
              <w:rPr>
                <w:szCs w:val="21"/>
                <w:highlight w:val="none"/>
              </w:rPr>
            </w:pPr>
            <w:r>
              <w:rPr>
                <w:rFonts w:hint="eastAsia"/>
                <w:szCs w:val="21"/>
                <w:highlight w:val="none"/>
              </w:rPr>
              <w:t>证号</w:t>
            </w:r>
          </w:p>
        </w:tc>
        <w:tc>
          <w:tcPr>
            <w:tcW w:w="736" w:type="dxa"/>
            <w:vAlign w:val="center"/>
          </w:tcPr>
          <w:p>
            <w:pPr>
              <w:spacing w:line="440" w:lineRule="exact"/>
              <w:jc w:val="center"/>
              <w:rPr>
                <w:szCs w:val="21"/>
                <w:highlight w:val="none"/>
              </w:rPr>
            </w:pPr>
            <w:r>
              <w:rPr>
                <w:rFonts w:hint="eastAsia"/>
                <w:szCs w:val="21"/>
                <w:highlight w:val="none"/>
              </w:rPr>
              <w:t>专业</w:t>
            </w:r>
          </w:p>
        </w:tc>
        <w:tc>
          <w:tcPr>
            <w:tcW w:w="2581" w:type="dxa"/>
            <w:vAlign w:val="center"/>
          </w:tcPr>
          <w:p>
            <w:pPr>
              <w:spacing w:line="440" w:lineRule="exact"/>
              <w:jc w:val="center"/>
              <w:rPr>
                <w:szCs w:val="21"/>
                <w:highlight w:val="none"/>
              </w:rPr>
            </w:pPr>
            <w:r>
              <w:rPr>
                <w:rFonts w:hint="eastAsia"/>
                <w:szCs w:val="21"/>
                <w:highlight w:val="none"/>
              </w:rPr>
              <w:t>养老保险</w:t>
            </w:r>
          </w:p>
        </w:tc>
        <w:tc>
          <w:tcPr>
            <w:tcW w:w="684"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vAlign w:val="center"/>
          </w:tcPr>
          <w:p>
            <w:pPr>
              <w:spacing w:line="440" w:lineRule="exact"/>
              <w:jc w:val="center"/>
              <w:rPr>
                <w:szCs w:val="21"/>
                <w:highlight w:val="none"/>
              </w:rPr>
            </w:pPr>
          </w:p>
        </w:tc>
        <w:tc>
          <w:tcPr>
            <w:tcW w:w="738" w:type="dxa"/>
            <w:vAlign w:val="center"/>
          </w:tcPr>
          <w:p>
            <w:pPr>
              <w:spacing w:line="440" w:lineRule="exact"/>
              <w:jc w:val="center"/>
              <w:rPr>
                <w:szCs w:val="21"/>
                <w:highlight w:val="none"/>
              </w:rPr>
            </w:pPr>
          </w:p>
        </w:tc>
        <w:tc>
          <w:tcPr>
            <w:tcW w:w="736" w:type="dxa"/>
            <w:vAlign w:val="center"/>
          </w:tcPr>
          <w:p>
            <w:pPr>
              <w:spacing w:line="440" w:lineRule="exact"/>
              <w:jc w:val="center"/>
              <w:rPr>
                <w:szCs w:val="21"/>
                <w:highlight w:val="none"/>
              </w:rPr>
            </w:pPr>
          </w:p>
        </w:tc>
        <w:tc>
          <w:tcPr>
            <w:tcW w:w="1106" w:type="dxa"/>
            <w:vAlign w:val="center"/>
          </w:tcPr>
          <w:p>
            <w:pPr>
              <w:spacing w:line="440" w:lineRule="exact"/>
              <w:jc w:val="center"/>
              <w:rPr>
                <w:szCs w:val="21"/>
                <w:highlight w:val="none"/>
              </w:rPr>
            </w:pPr>
          </w:p>
        </w:tc>
        <w:tc>
          <w:tcPr>
            <w:tcW w:w="736" w:type="dxa"/>
            <w:vAlign w:val="center"/>
          </w:tcPr>
          <w:p>
            <w:pPr>
              <w:spacing w:line="440" w:lineRule="exact"/>
              <w:jc w:val="center"/>
              <w:rPr>
                <w:szCs w:val="21"/>
                <w:highlight w:val="none"/>
              </w:rPr>
            </w:pPr>
          </w:p>
        </w:tc>
        <w:tc>
          <w:tcPr>
            <w:tcW w:w="738" w:type="dxa"/>
            <w:vAlign w:val="center"/>
          </w:tcPr>
          <w:p>
            <w:pPr>
              <w:spacing w:line="440" w:lineRule="exact"/>
              <w:jc w:val="center"/>
              <w:rPr>
                <w:szCs w:val="21"/>
                <w:highlight w:val="none"/>
              </w:rPr>
            </w:pPr>
          </w:p>
        </w:tc>
        <w:tc>
          <w:tcPr>
            <w:tcW w:w="736" w:type="dxa"/>
            <w:vAlign w:val="center"/>
          </w:tcPr>
          <w:p>
            <w:pPr>
              <w:spacing w:line="440" w:lineRule="exact"/>
              <w:jc w:val="center"/>
              <w:rPr>
                <w:szCs w:val="21"/>
                <w:highlight w:val="none"/>
              </w:rPr>
            </w:pPr>
          </w:p>
        </w:tc>
        <w:tc>
          <w:tcPr>
            <w:tcW w:w="2581" w:type="dxa"/>
            <w:vAlign w:val="center"/>
          </w:tcPr>
          <w:p>
            <w:pPr>
              <w:spacing w:line="440" w:lineRule="exact"/>
              <w:jc w:val="center"/>
              <w:rPr>
                <w:szCs w:val="21"/>
                <w:highlight w:val="none"/>
              </w:rPr>
            </w:pPr>
          </w:p>
        </w:tc>
        <w:tc>
          <w:tcPr>
            <w:tcW w:w="684"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5"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1106"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738" w:type="dxa"/>
          </w:tcPr>
          <w:p>
            <w:pPr>
              <w:spacing w:line="440" w:lineRule="exact"/>
              <w:jc w:val="center"/>
              <w:rPr>
                <w:szCs w:val="21"/>
                <w:highlight w:val="none"/>
              </w:rPr>
            </w:pPr>
          </w:p>
        </w:tc>
        <w:tc>
          <w:tcPr>
            <w:tcW w:w="736" w:type="dxa"/>
          </w:tcPr>
          <w:p>
            <w:pPr>
              <w:spacing w:line="440" w:lineRule="exact"/>
              <w:jc w:val="center"/>
              <w:rPr>
                <w:szCs w:val="21"/>
                <w:highlight w:val="none"/>
              </w:rPr>
            </w:pPr>
          </w:p>
        </w:tc>
        <w:tc>
          <w:tcPr>
            <w:tcW w:w="2581" w:type="dxa"/>
          </w:tcPr>
          <w:p>
            <w:pPr>
              <w:spacing w:line="440" w:lineRule="exact"/>
              <w:jc w:val="center"/>
              <w:rPr>
                <w:szCs w:val="21"/>
                <w:highlight w:val="none"/>
              </w:rPr>
            </w:pPr>
          </w:p>
        </w:tc>
        <w:tc>
          <w:tcPr>
            <w:tcW w:w="684" w:type="dxa"/>
          </w:tcPr>
          <w:p>
            <w:pPr>
              <w:spacing w:line="440" w:lineRule="exact"/>
              <w:jc w:val="center"/>
              <w:rPr>
                <w:szCs w:val="21"/>
                <w:highlight w:val="none"/>
              </w:rPr>
            </w:pPr>
          </w:p>
        </w:tc>
      </w:tr>
    </w:tbl>
    <w:p>
      <w:pPr>
        <w:rPr>
          <w:rFonts w:ascii="黑体" w:eastAsia="黑体"/>
          <w:sz w:val="24"/>
          <w:highlight w:val="none"/>
        </w:rPr>
      </w:pPr>
    </w:p>
    <w:p>
      <w:pPr>
        <w:rPr>
          <w:rFonts w:ascii="黑体" w:eastAsia="黑体"/>
          <w:sz w:val="24"/>
          <w:highlight w:val="none"/>
        </w:rPr>
      </w:pPr>
      <w:r>
        <w:rPr>
          <w:rFonts w:hint="eastAsia" w:eastAsia="黑体"/>
          <w:sz w:val="20"/>
          <w:szCs w:val="20"/>
          <w:highlight w:val="none"/>
        </w:rPr>
        <w:t>注：后附项目管理人员相关证书复印件、养老保险缴纳证明复印件、拟派项目经理业绩复印件加盖公章。</w:t>
      </w:r>
    </w:p>
    <w:p>
      <w:pPr>
        <w:pStyle w:val="17"/>
        <w:ind w:firstLine="562"/>
        <w:rPr>
          <w:rFonts w:ascii="宋体" w:cs="宋体"/>
          <w:b/>
          <w:szCs w:val="28"/>
          <w:highlight w:val="none"/>
        </w:rPr>
      </w:pPr>
    </w:p>
    <w:p>
      <w:pPr>
        <w:pStyle w:val="17"/>
        <w:ind w:firstLine="562"/>
        <w:jc w:val="center"/>
        <w:rPr>
          <w:rFonts w:ascii="宋体" w:cs="宋体"/>
          <w:b/>
          <w:szCs w:val="28"/>
          <w:highlight w:val="none"/>
        </w:rPr>
      </w:pPr>
    </w:p>
    <w:p>
      <w:pPr>
        <w:rPr>
          <w:rFonts w:ascii="黑体" w:eastAsia="黑体"/>
          <w:highlight w:val="none"/>
        </w:rPr>
      </w:pPr>
      <w:r>
        <w:rPr>
          <w:rFonts w:hint="eastAsia" w:ascii="黑体" w:eastAsia="黑体"/>
          <w:sz w:val="24"/>
          <w:highlight w:val="none"/>
        </w:rPr>
        <w:t>附</w:t>
      </w:r>
      <w:r>
        <w:rPr>
          <w:rFonts w:ascii="黑体" w:eastAsia="黑体"/>
          <w:sz w:val="24"/>
          <w:highlight w:val="none"/>
        </w:rPr>
        <w:t>1</w:t>
      </w:r>
      <w:r>
        <w:rPr>
          <w:rFonts w:hint="eastAsia" w:ascii="黑体" w:eastAsia="黑体"/>
          <w:sz w:val="24"/>
          <w:highlight w:val="none"/>
        </w:rPr>
        <w:t>：</w:t>
      </w:r>
      <w:r>
        <w:rPr>
          <w:rFonts w:hint="eastAsia" w:ascii="黑体" w:hAnsi="Arial" w:eastAsia="黑体" w:cs="Arial"/>
          <w:sz w:val="24"/>
          <w:highlight w:val="none"/>
        </w:rPr>
        <w:t>承诺书</w:t>
      </w:r>
    </w:p>
    <w:p>
      <w:pPr>
        <w:rPr>
          <w:highlight w:val="none"/>
        </w:rPr>
      </w:pPr>
    </w:p>
    <w:p>
      <w:pPr>
        <w:jc w:val="center"/>
        <w:rPr>
          <w:rFonts w:ascii="黑体" w:eastAsia="黑体"/>
          <w:sz w:val="28"/>
          <w:szCs w:val="28"/>
          <w:highlight w:val="none"/>
        </w:rPr>
      </w:pPr>
      <w:r>
        <w:rPr>
          <w:rFonts w:hint="eastAsia" w:ascii="黑体" w:eastAsia="黑体"/>
          <w:sz w:val="28"/>
          <w:szCs w:val="28"/>
          <w:highlight w:val="none"/>
        </w:rPr>
        <w:t>承诺书</w:t>
      </w:r>
    </w:p>
    <w:p>
      <w:pPr>
        <w:spacing w:line="400" w:lineRule="exact"/>
        <w:rPr>
          <w:highlight w:val="none"/>
        </w:rPr>
      </w:pPr>
    </w:p>
    <w:p>
      <w:pPr>
        <w:spacing w:line="400" w:lineRule="exact"/>
        <w:rPr>
          <w:highlight w:val="none"/>
        </w:rPr>
      </w:pPr>
      <w:r>
        <w:rPr>
          <w:rFonts w:hint="eastAsia"/>
          <w:highlight w:val="none"/>
        </w:rPr>
        <w:t>（采购人名称）：</w:t>
      </w:r>
    </w:p>
    <w:p>
      <w:pPr>
        <w:spacing w:line="400" w:lineRule="exact"/>
        <w:ind w:firstLine="420" w:firstLineChars="200"/>
        <w:rPr>
          <w:highlight w:val="none"/>
        </w:rPr>
      </w:pPr>
    </w:p>
    <w:p>
      <w:pPr>
        <w:spacing w:line="600" w:lineRule="auto"/>
        <w:ind w:firstLine="420" w:firstLineChars="200"/>
        <w:rPr>
          <w:highlight w:val="none"/>
        </w:rPr>
      </w:pPr>
      <w:r>
        <w:rPr>
          <w:rFonts w:hint="eastAsia"/>
          <w:highlight w:val="none"/>
        </w:rPr>
        <w:t>我方在此声明，我方拟派往</w:t>
      </w:r>
      <w:r>
        <w:rPr>
          <w:rFonts w:hint="eastAsia"/>
          <w:szCs w:val="21"/>
          <w:highlight w:val="none"/>
        </w:rPr>
        <w:t>（项目名称）（以下简称“本项目”）的</w:t>
      </w:r>
      <w:r>
        <w:rPr>
          <w:rFonts w:hint="eastAsia"/>
          <w:highlight w:val="none"/>
        </w:rPr>
        <w:t>项目经理（项目经理姓名）现阶段处于解锁状态，且没有担任任何在施建设工程项目的项目经理。</w:t>
      </w:r>
    </w:p>
    <w:p>
      <w:pPr>
        <w:spacing w:line="600" w:lineRule="auto"/>
        <w:ind w:firstLine="420" w:firstLineChars="200"/>
        <w:rPr>
          <w:highlight w:val="none"/>
        </w:rPr>
      </w:pPr>
      <w:r>
        <w:rPr>
          <w:rFonts w:hint="eastAsia"/>
          <w:highlight w:val="none"/>
        </w:rPr>
        <w:t>我方保证上述信息的真实和准确，并愿意承担因我方就此弄虚作假所引起的一切法律后果。</w:t>
      </w:r>
    </w:p>
    <w:p>
      <w:pPr>
        <w:spacing w:line="400" w:lineRule="exact"/>
        <w:rPr>
          <w:highlight w:val="none"/>
        </w:rPr>
      </w:pPr>
    </w:p>
    <w:p>
      <w:pPr>
        <w:spacing w:line="400" w:lineRule="exact"/>
        <w:rPr>
          <w:highlight w:val="none"/>
        </w:rPr>
      </w:pPr>
      <w:r>
        <w:rPr>
          <w:rFonts w:hint="eastAsia"/>
          <w:highlight w:val="none"/>
        </w:rPr>
        <w:t>特此承诺</w:t>
      </w: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pStyle w:val="51"/>
        <w:spacing w:line="400" w:lineRule="exact"/>
        <w:ind w:firstLine="5985" w:firstLineChars="2850"/>
        <w:rPr>
          <w:rFonts w:ascii="Times New Roman"/>
          <w:highlight w:val="none"/>
        </w:rPr>
      </w:pPr>
      <w:r>
        <w:rPr>
          <w:rFonts w:hint="eastAsia" w:ascii="Times New Roman"/>
          <w:highlight w:val="none"/>
        </w:rPr>
        <w:t>报价人：（盖单位章）</w:t>
      </w:r>
    </w:p>
    <w:p>
      <w:pPr>
        <w:spacing w:line="400" w:lineRule="exact"/>
        <w:ind w:firstLine="4095" w:firstLineChars="1950"/>
        <w:rPr>
          <w:szCs w:val="21"/>
          <w:highlight w:val="none"/>
        </w:rPr>
      </w:pPr>
      <w:r>
        <w:rPr>
          <w:rFonts w:hint="eastAsia"/>
          <w:szCs w:val="21"/>
          <w:highlight w:val="none"/>
        </w:rPr>
        <w:t>法定代表人或其委托代理人：（签字）</w:t>
      </w:r>
    </w:p>
    <w:p>
      <w:pPr>
        <w:spacing w:line="400" w:lineRule="exact"/>
        <w:ind w:firstLine="6195" w:firstLineChars="2950"/>
        <w:rPr>
          <w:szCs w:val="21"/>
          <w:highlight w:val="none"/>
        </w:rPr>
      </w:pPr>
      <w:r>
        <w:rPr>
          <w:rFonts w:hint="eastAsia"/>
          <w:szCs w:val="21"/>
          <w:highlight w:val="none"/>
        </w:rPr>
        <w:t>年</w:t>
      </w:r>
      <w:r>
        <w:rPr>
          <w:szCs w:val="21"/>
          <w:highlight w:val="none"/>
        </w:rPr>
        <w:t xml:space="preserve">    </w:t>
      </w:r>
      <w:r>
        <w:rPr>
          <w:rFonts w:hint="eastAsia"/>
          <w:szCs w:val="21"/>
          <w:highlight w:val="none"/>
        </w:rPr>
        <w:t>月</w:t>
      </w:r>
      <w:r>
        <w:rPr>
          <w:szCs w:val="21"/>
          <w:highlight w:val="none"/>
        </w:rPr>
        <w:t xml:space="preserve">    </w:t>
      </w:r>
      <w:r>
        <w:rPr>
          <w:rFonts w:hint="eastAsia"/>
          <w:szCs w:val="21"/>
          <w:highlight w:val="none"/>
        </w:rPr>
        <w:t>日</w:t>
      </w: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widowControl/>
        <w:jc w:val="left"/>
        <w:rPr>
          <w:rFonts w:ascii="宋体" w:cs="宋体"/>
          <w:b/>
          <w:kern w:val="0"/>
          <w:sz w:val="24"/>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4"/>
        <w:tabs>
          <w:tab w:val="left" w:pos="720"/>
        </w:tabs>
        <w:spacing w:before="0" w:after="0"/>
        <w:jc w:val="center"/>
        <w:rPr>
          <w:sz w:val="24"/>
          <w:szCs w:val="24"/>
          <w:highlight w:val="none"/>
        </w:rPr>
      </w:pPr>
      <w:r>
        <w:rPr>
          <w:rFonts w:hint="eastAsia" w:ascii="宋体" w:hAnsi="宋体" w:cs="宋体"/>
          <w:sz w:val="24"/>
          <w:szCs w:val="24"/>
          <w:highlight w:val="none"/>
        </w:rPr>
        <w:t>十三、</w:t>
      </w:r>
      <w:r>
        <w:rPr>
          <w:rFonts w:hint="eastAsia"/>
          <w:sz w:val="24"/>
          <w:szCs w:val="24"/>
          <w:highlight w:val="none"/>
        </w:rPr>
        <w:t>报价人近三年承担过类似工程业绩表</w:t>
      </w:r>
    </w:p>
    <w:p>
      <w:pPr>
        <w:rPr>
          <w:highlight w:val="none"/>
        </w:rPr>
      </w:pPr>
    </w:p>
    <w:tbl>
      <w:tblPr>
        <w:tblStyle w:val="60"/>
        <w:tblW w:w="900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399"/>
        <w:gridCol w:w="1201"/>
        <w:gridCol w:w="900"/>
        <w:gridCol w:w="900"/>
        <w:gridCol w:w="900"/>
        <w:gridCol w:w="90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0" w:type="dxa"/>
            <w:tcBorders>
              <w:top w:val="single" w:color="auto" w:sz="8" w:space="0"/>
              <w:left w:val="single" w:color="auto" w:sz="8" w:space="0"/>
            </w:tcBorders>
            <w:vAlign w:val="center"/>
          </w:tcPr>
          <w:p>
            <w:pPr>
              <w:pStyle w:val="17"/>
              <w:spacing w:line="360" w:lineRule="exact"/>
              <w:ind w:left="1" w:leftChars="-3" w:hanging="7" w:hangingChars="3"/>
              <w:jc w:val="center"/>
              <w:rPr>
                <w:rFonts w:ascii="宋体"/>
                <w:highlight w:val="none"/>
              </w:rPr>
            </w:pPr>
            <w:r>
              <w:rPr>
                <w:rFonts w:hint="eastAsia" w:ascii="宋体" w:hAnsi="宋体"/>
                <w:highlight w:val="none"/>
              </w:rPr>
              <w:t>项目名称</w:t>
            </w:r>
          </w:p>
        </w:tc>
        <w:tc>
          <w:tcPr>
            <w:tcW w:w="1399" w:type="dxa"/>
            <w:tcBorders>
              <w:top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建设单位</w:t>
            </w:r>
          </w:p>
        </w:tc>
        <w:tc>
          <w:tcPr>
            <w:tcW w:w="1201" w:type="dxa"/>
            <w:tcBorders>
              <w:top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建设规模（面积、层数等）</w:t>
            </w:r>
          </w:p>
        </w:tc>
        <w:tc>
          <w:tcPr>
            <w:tcW w:w="900" w:type="dxa"/>
            <w:tcBorders>
              <w:top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合同</w:t>
            </w:r>
          </w:p>
          <w:p>
            <w:pPr>
              <w:pStyle w:val="17"/>
              <w:spacing w:line="360" w:lineRule="exact"/>
              <w:ind w:firstLine="0"/>
              <w:jc w:val="center"/>
              <w:rPr>
                <w:rFonts w:ascii="宋体"/>
                <w:highlight w:val="none"/>
              </w:rPr>
            </w:pPr>
            <w:r>
              <w:rPr>
                <w:rFonts w:hint="eastAsia" w:ascii="宋体" w:hAnsi="宋体"/>
                <w:highlight w:val="none"/>
              </w:rPr>
              <w:t>金额</w:t>
            </w:r>
          </w:p>
        </w:tc>
        <w:tc>
          <w:tcPr>
            <w:tcW w:w="900" w:type="dxa"/>
            <w:tcBorders>
              <w:top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工程验收日期</w:t>
            </w:r>
          </w:p>
        </w:tc>
        <w:tc>
          <w:tcPr>
            <w:tcW w:w="900" w:type="dxa"/>
            <w:tcBorders>
              <w:top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工程</w:t>
            </w:r>
          </w:p>
          <w:p>
            <w:pPr>
              <w:pStyle w:val="17"/>
              <w:spacing w:line="360" w:lineRule="exact"/>
              <w:ind w:firstLine="0"/>
              <w:jc w:val="center"/>
              <w:rPr>
                <w:rFonts w:ascii="宋体"/>
                <w:highlight w:val="none"/>
              </w:rPr>
            </w:pPr>
            <w:r>
              <w:rPr>
                <w:rFonts w:hint="eastAsia" w:ascii="宋体" w:hAnsi="宋体"/>
                <w:highlight w:val="none"/>
              </w:rPr>
              <w:t>质量</w:t>
            </w:r>
          </w:p>
        </w:tc>
        <w:tc>
          <w:tcPr>
            <w:tcW w:w="900" w:type="dxa"/>
            <w:tcBorders>
              <w:top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项目</w:t>
            </w:r>
          </w:p>
          <w:p>
            <w:pPr>
              <w:pStyle w:val="17"/>
              <w:spacing w:line="360" w:lineRule="exact"/>
              <w:ind w:firstLine="0"/>
              <w:jc w:val="center"/>
              <w:rPr>
                <w:rFonts w:ascii="宋体"/>
                <w:highlight w:val="none"/>
              </w:rPr>
            </w:pPr>
            <w:r>
              <w:rPr>
                <w:rFonts w:hint="eastAsia" w:ascii="宋体" w:hAnsi="宋体"/>
                <w:highlight w:val="none"/>
              </w:rPr>
              <w:t>经理</w:t>
            </w:r>
          </w:p>
        </w:tc>
        <w:tc>
          <w:tcPr>
            <w:tcW w:w="1400" w:type="dxa"/>
            <w:tcBorders>
              <w:top w:val="single" w:color="auto" w:sz="8" w:space="0"/>
              <w:right w:val="single" w:color="auto" w:sz="8" w:space="0"/>
            </w:tcBorders>
            <w:vAlign w:val="center"/>
          </w:tcPr>
          <w:p>
            <w:pPr>
              <w:pStyle w:val="17"/>
              <w:spacing w:line="360" w:lineRule="exact"/>
              <w:ind w:firstLine="0"/>
              <w:jc w:val="center"/>
              <w:rPr>
                <w:rFonts w:ascii="宋体"/>
                <w:highlight w:val="none"/>
              </w:rPr>
            </w:pPr>
            <w:r>
              <w:rPr>
                <w:rFonts w:hint="eastAsia" w:ascii="宋体" w:hAnsi="宋体"/>
                <w:highlight w:val="none"/>
              </w:rPr>
              <w:t>建设单位</w:t>
            </w:r>
          </w:p>
          <w:p>
            <w:pPr>
              <w:pStyle w:val="17"/>
              <w:spacing w:line="360" w:lineRule="exact"/>
              <w:ind w:firstLine="0"/>
              <w:jc w:val="center"/>
              <w:rPr>
                <w:rFonts w:ascii="宋体"/>
                <w:highlight w:val="none"/>
              </w:rPr>
            </w:pPr>
            <w:r>
              <w:rPr>
                <w:rFonts w:hint="eastAsia" w:ascii="宋体" w:hAnsi="宋体"/>
                <w:highlight w:val="none"/>
              </w:rPr>
              <w:t>联系人</w:t>
            </w:r>
            <w:r>
              <w:rPr>
                <w:rFonts w:ascii="宋体" w:hAnsi="宋体"/>
                <w:highlight w:val="none"/>
              </w:rPr>
              <w:t>/</w:t>
            </w:r>
            <w:r>
              <w:rPr>
                <w:rFonts w:hint="eastAsia" w:ascii="宋体" w:hAnsi="宋体"/>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1400" w:type="dxa"/>
            <w:tcBorders>
              <w:left w:val="single" w:color="auto" w:sz="8" w:space="0"/>
            </w:tcBorders>
          </w:tcPr>
          <w:p>
            <w:pPr>
              <w:pStyle w:val="17"/>
              <w:spacing w:line="440" w:lineRule="exact"/>
              <w:rPr>
                <w:rFonts w:ascii="宋体"/>
                <w:highlight w:val="none"/>
              </w:rPr>
            </w:pPr>
          </w:p>
        </w:tc>
        <w:tc>
          <w:tcPr>
            <w:tcW w:w="1399" w:type="dxa"/>
          </w:tcPr>
          <w:p>
            <w:pPr>
              <w:pStyle w:val="17"/>
              <w:spacing w:line="440" w:lineRule="exact"/>
              <w:rPr>
                <w:rFonts w:ascii="宋体"/>
                <w:highlight w:val="none"/>
              </w:rPr>
            </w:pPr>
          </w:p>
        </w:tc>
        <w:tc>
          <w:tcPr>
            <w:tcW w:w="1201"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1400" w:type="dxa"/>
            <w:tcBorders>
              <w:right w:val="single" w:color="auto" w:sz="8" w:space="0"/>
            </w:tcBorders>
          </w:tcPr>
          <w:p>
            <w:pPr>
              <w:pStyle w:val="17"/>
              <w:spacing w:line="440" w:lineRule="exact"/>
              <w:rPr>
                <w:rFonts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1400" w:type="dxa"/>
            <w:tcBorders>
              <w:left w:val="single" w:color="auto" w:sz="8" w:space="0"/>
            </w:tcBorders>
          </w:tcPr>
          <w:p>
            <w:pPr>
              <w:pStyle w:val="17"/>
              <w:spacing w:line="440" w:lineRule="exact"/>
              <w:rPr>
                <w:rFonts w:ascii="宋体"/>
                <w:highlight w:val="none"/>
              </w:rPr>
            </w:pPr>
          </w:p>
        </w:tc>
        <w:tc>
          <w:tcPr>
            <w:tcW w:w="1399" w:type="dxa"/>
          </w:tcPr>
          <w:p>
            <w:pPr>
              <w:pStyle w:val="17"/>
              <w:spacing w:line="440" w:lineRule="exact"/>
              <w:rPr>
                <w:rFonts w:ascii="宋体"/>
                <w:highlight w:val="none"/>
              </w:rPr>
            </w:pPr>
          </w:p>
        </w:tc>
        <w:tc>
          <w:tcPr>
            <w:tcW w:w="1201"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1400" w:type="dxa"/>
            <w:tcBorders>
              <w:right w:val="single" w:color="auto" w:sz="8" w:space="0"/>
            </w:tcBorders>
          </w:tcPr>
          <w:p>
            <w:pPr>
              <w:pStyle w:val="17"/>
              <w:spacing w:line="440" w:lineRule="exact"/>
              <w:rPr>
                <w:rFonts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400" w:type="dxa"/>
            <w:tcBorders>
              <w:left w:val="single" w:color="auto" w:sz="8" w:space="0"/>
            </w:tcBorders>
          </w:tcPr>
          <w:p>
            <w:pPr>
              <w:pStyle w:val="17"/>
              <w:spacing w:line="440" w:lineRule="exact"/>
              <w:rPr>
                <w:rFonts w:ascii="宋体"/>
                <w:highlight w:val="none"/>
              </w:rPr>
            </w:pPr>
          </w:p>
        </w:tc>
        <w:tc>
          <w:tcPr>
            <w:tcW w:w="1399" w:type="dxa"/>
          </w:tcPr>
          <w:p>
            <w:pPr>
              <w:pStyle w:val="17"/>
              <w:spacing w:line="440" w:lineRule="exact"/>
              <w:rPr>
                <w:rFonts w:ascii="宋体"/>
                <w:highlight w:val="none"/>
              </w:rPr>
            </w:pPr>
          </w:p>
        </w:tc>
        <w:tc>
          <w:tcPr>
            <w:tcW w:w="1201"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1400" w:type="dxa"/>
            <w:tcBorders>
              <w:right w:val="single" w:color="auto" w:sz="8" w:space="0"/>
            </w:tcBorders>
          </w:tcPr>
          <w:p>
            <w:pPr>
              <w:pStyle w:val="17"/>
              <w:spacing w:line="440" w:lineRule="exact"/>
              <w:rPr>
                <w:rFonts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1400" w:type="dxa"/>
            <w:tcBorders>
              <w:left w:val="single" w:color="auto" w:sz="8" w:space="0"/>
            </w:tcBorders>
          </w:tcPr>
          <w:p>
            <w:pPr>
              <w:pStyle w:val="17"/>
              <w:spacing w:line="440" w:lineRule="exact"/>
              <w:rPr>
                <w:rFonts w:ascii="宋体"/>
                <w:highlight w:val="none"/>
              </w:rPr>
            </w:pPr>
          </w:p>
        </w:tc>
        <w:tc>
          <w:tcPr>
            <w:tcW w:w="1399" w:type="dxa"/>
          </w:tcPr>
          <w:p>
            <w:pPr>
              <w:pStyle w:val="17"/>
              <w:spacing w:line="440" w:lineRule="exact"/>
              <w:rPr>
                <w:rFonts w:ascii="宋体"/>
                <w:highlight w:val="none"/>
              </w:rPr>
            </w:pPr>
          </w:p>
        </w:tc>
        <w:tc>
          <w:tcPr>
            <w:tcW w:w="1201"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1400" w:type="dxa"/>
            <w:tcBorders>
              <w:right w:val="single" w:color="auto" w:sz="8" w:space="0"/>
            </w:tcBorders>
          </w:tcPr>
          <w:p>
            <w:pPr>
              <w:pStyle w:val="17"/>
              <w:spacing w:line="440" w:lineRule="exact"/>
              <w:rPr>
                <w:rFonts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400" w:type="dxa"/>
            <w:tcBorders>
              <w:left w:val="single" w:color="auto" w:sz="8" w:space="0"/>
            </w:tcBorders>
          </w:tcPr>
          <w:p>
            <w:pPr>
              <w:pStyle w:val="17"/>
              <w:spacing w:line="440" w:lineRule="exact"/>
              <w:rPr>
                <w:rFonts w:ascii="宋体"/>
                <w:highlight w:val="none"/>
              </w:rPr>
            </w:pPr>
          </w:p>
        </w:tc>
        <w:tc>
          <w:tcPr>
            <w:tcW w:w="1399" w:type="dxa"/>
          </w:tcPr>
          <w:p>
            <w:pPr>
              <w:pStyle w:val="17"/>
              <w:spacing w:line="440" w:lineRule="exact"/>
              <w:rPr>
                <w:rFonts w:ascii="宋体"/>
                <w:highlight w:val="none"/>
              </w:rPr>
            </w:pPr>
          </w:p>
        </w:tc>
        <w:tc>
          <w:tcPr>
            <w:tcW w:w="1201"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1400" w:type="dxa"/>
            <w:tcBorders>
              <w:right w:val="single" w:color="auto" w:sz="8" w:space="0"/>
            </w:tcBorders>
          </w:tcPr>
          <w:p>
            <w:pPr>
              <w:pStyle w:val="17"/>
              <w:spacing w:line="440" w:lineRule="exact"/>
              <w:rPr>
                <w:rFonts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atLeast"/>
        </w:trPr>
        <w:tc>
          <w:tcPr>
            <w:tcW w:w="1400" w:type="dxa"/>
            <w:tcBorders>
              <w:left w:val="single" w:color="auto" w:sz="8" w:space="0"/>
            </w:tcBorders>
          </w:tcPr>
          <w:p>
            <w:pPr>
              <w:pStyle w:val="17"/>
              <w:spacing w:line="440" w:lineRule="exact"/>
              <w:rPr>
                <w:rFonts w:ascii="宋体"/>
                <w:highlight w:val="none"/>
              </w:rPr>
            </w:pPr>
          </w:p>
        </w:tc>
        <w:tc>
          <w:tcPr>
            <w:tcW w:w="1399" w:type="dxa"/>
          </w:tcPr>
          <w:p>
            <w:pPr>
              <w:pStyle w:val="17"/>
              <w:spacing w:line="440" w:lineRule="exact"/>
              <w:rPr>
                <w:rFonts w:ascii="宋体"/>
                <w:highlight w:val="none"/>
              </w:rPr>
            </w:pPr>
          </w:p>
        </w:tc>
        <w:tc>
          <w:tcPr>
            <w:tcW w:w="1201"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900" w:type="dxa"/>
          </w:tcPr>
          <w:p>
            <w:pPr>
              <w:pStyle w:val="17"/>
              <w:spacing w:line="440" w:lineRule="exact"/>
              <w:rPr>
                <w:rFonts w:ascii="宋体"/>
                <w:highlight w:val="none"/>
              </w:rPr>
            </w:pPr>
          </w:p>
        </w:tc>
        <w:tc>
          <w:tcPr>
            <w:tcW w:w="1400" w:type="dxa"/>
            <w:tcBorders>
              <w:right w:val="single" w:color="auto" w:sz="8" w:space="0"/>
            </w:tcBorders>
          </w:tcPr>
          <w:p>
            <w:pPr>
              <w:pStyle w:val="17"/>
              <w:spacing w:line="440" w:lineRule="exact"/>
              <w:rPr>
                <w:rFonts w:ascii="宋体"/>
                <w:highlight w:val="none"/>
              </w:rPr>
            </w:pPr>
          </w:p>
        </w:tc>
      </w:tr>
    </w:tbl>
    <w:p>
      <w:pPr>
        <w:pStyle w:val="17"/>
        <w:spacing w:line="360" w:lineRule="auto"/>
        <w:ind w:firstLine="480"/>
        <w:rPr>
          <w:rFonts w:ascii="宋体"/>
          <w:szCs w:val="24"/>
          <w:highlight w:val="none"/>
        </w:rPr>
      </w:pPr>
    </w:p>
    <w:p>
      <w:pPr>
        <w:pStyle w:val="17"/>
        <w:spacing w:line="360" w:lineRule="auto"/>
        <w:ind w:firstLine="3360" w:firstLineChars="1400"/>
        <w:rPr>
          <w:rFonts w:ascii="宋体"/>
          <w:szCs w:val="24"/>
          <w:highlight w:val="none"/>
        </w:rPr>
      </w:pPr>
    </w:p>
    <w:p>
      <w:pPr>
        <w:pStyle w:val="17"/>
        <w:spacing w:line="360" w:lineRule="auto"/>
        <w:ind w:firstLine="3360" w:firstLineChars="1400"/>
        <w:rPr>
          <w:rFonts w:ascii="宋体"/>
          <w:szCs w:val="24"/>
          <w:highlight w:val="none"/>
        </w:rPr>
      </w:pPr>
      <w:r>
        <w:rPr>
          <w:rFonts w:hint="eastAsia" w:ascii="宋体" w:hAnsi="宋体"/>
          <w:szCs w:val="24"/>
          <w:highlight w:val="none"/>
        </w:rPr>
        <w:t>报价人：</w:t>
      </w:r>
      <w:r>
        <w:rPr>
          <w:rFonts w:ascii="宋体" w:hAnsi="宋体"/>
          <w:szCs w:val="24"/>
          <w:highlight w:val="none"/>
          <w:u w:val="single"/>
        </w:rPr>
        <w:t xml:space="preserve">              (</w:t>
      </w:r>
      <w:r>
        <w:rPr>
          <w:rFonts w:hint="eastAsia" w:ascii="宋体" w:hAnsi="宋体"/>
          <w:szCs w:val="24"/>
          <w:highlight w:val="none"/>
          <w:u w:val="single"/>
        </w:rPr>
        <w:t>盖报价人公章</w:t>
      </w:r>
      <w:r>
        <w:rPr>
          <w:rFonts w:ascii="宋体" w:hAnsi="宋体"/>
          <w:szCs w:val="24"/>
          <w:highlight w:val="none"/>
          <w:u w:val="single"/>
        </w:rPr>
        <w:t>)</w:t>
      </w:r>
    </w:p>
    <w:p>
      <w:pPr>
        <w:pStyle w:val="17"/>
        <w:spacing w:line="360" w:lineRule="auto"/>
        <w:jc w:val="right"/>
        <w:rPr>
          <w:rFonts w:ascii="宋体"/>
          <w:highlight w:val="none"/>
        </w:rPr>
      </w:pPr>
    </w:p>
    <w:p>
      <w:pPr>
        <w:spacing w:line="360" w:lineRule="auto"/>
        <w:rPr>
          <w:rFonts w:ascii="宋体"/>
          <w:b/>
          <w:highlight w:val="none"/>
        </w:rPr>
      </w:pPr>
      <w:r>
        <w:rPr>
          <w:rFonts w:hint="eastAsia" w:ascii="宋体" w:hAnsi="宋体"/>
          <w:b/>
          <w:highlight w:val="none"/>
        </w:rPr>
        <w:t>注：当竞争性磋商文件明确规定报价人和拟派出项目经理应具备工程业绩时，报价人须填写本表并按竞争性磋商文件的要求提交类似业绩证明材料。</w:t>
      </w:r>
    </w:p>
    <w:p>
      <w:pPr>
        <w:spacing w:line="360" w:lineRule="auto"/>
        <w:rPr>
          <w:rFonts w:ascii="宋体"/>
          <w:b/>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562"/>
        <w:jc w:val="center"/>
        <w:rPr>
          <w:rFonts w:ascii="宋体" w:cs="宋体"/>
          <w:b/>
          <w:szCs w:val="28"/>
          <w:highlight w:val="none"/>
        </w:rPr>
      </w:pPr>
    </w:p>
    <w:p>
      <w:pPr>
        <w:pStyle w:val="17"/>
        <w:ind w:firstLine="480"/>
        <w:jc w:val="center"/>
        <w:rPr>
          <w:rFonts w:ascii="Calibri" w:hAnsi="Calibri"/>
          <w:b/>
          <w:bCs/>
          <w:kern w:val="2"/>
          <w:szCs w:val="24"/>
          <w:highlight w:val="none"/>
        </w:rPr>
      </w:pPr>
      <w:r>
        <w:rPr>
          <w:rFonts w:ascii="Calibri" w:hAnsi="Calibri"/>
          <w:b/>
          <w:bCs/>
          <w:kern w:val="2"/>
          <w:szCs w:val="24"/>
          <w:highlight w:val="none"/>
        </w:rPr>
        <w:br w:type="page"/>
      </w:r>
      <w:r>
        <w:rPr>
          <w:rFonts w:hint="eastAsia" w:ascii="Calibri" w:hAnsi="Calibri"/>
          <w:b/>
          <w:bCs/>
          <w:kern w:val="2"/>
          <w:szCs w:val="24"/>
          <w:highlight w:val="none"/>
        </w:rPr>
        <w:t>附件</w:t>
      </w:r>
      <w:r>
        <w:rPr>
          <w:rFonts w:ascii="Calibri" w:hAnsi="Calibri"/>
          <w:b/>
          <w:bCs/>
          <w:kern w:val="2"/>
          <w:szCs w:val="24"/>
          <w:highlight w:val="none"/>
        </w:rPr>
        <w:t xml:space="preserve">4   </w:t>
      </w:r>
      <w:r>
        <w:rPr>
          <w:rFonts w:hint="eastAsia" w:ascii="Calibri" w:hAnsi="Calibri"/>
          <w:b/>
          <w:bCs/>
          <w:kern w:val="2"/>
          <w:szCs w:val="24"/>
          <w:highlight w:val="none"/>
        </w:rPr>
        <w:t>施工组织设计</w:t>
      </w:r>
    </w:p>
    <w:p>
      <w:pPr>
        <w:pStyle w:val="17"/>
        <w:ind w:firstLine="480"/>
        <w:jc w:val="left"/>
        <w:rPr>
          <w:highlight w:val="none"/>
        </w:rPr>
      </w:pPr>
    </w:p>
    <w:p>
      <w:pPr>
        <w:pStyle w:val="17"/>
        <w:jc w:val="left"/>
        <w:rPr>
          <w:sz w:val="21"/>
          <w:szCs w:val="21"/>
          <w:highlight w:val="none"/>
        </w:rPr>
      </w:pPr>
      <w:r>
        <w:rPr>
          <w:rFonts w:hint="eastAsia"/>
          <w:sz w:val="21"/>
          <w:szCs w:val="21"/>
          <w:highlight w:val="none"/>
        </w:rPr>
        <w:t>一、报价人编制施工组织设计的要求：编制时应采用文字并结合图表形式说明施工方法；包括但不限于：</w:t>
      </w:r>
    </w:p>
    <w:p>
      <w:pPr>
        <w:pStyle w:val="17"/>
        <w:jc w:val="left"/>
        <w:rPr>
          <w:sz w:val="21"/>
          <w:szCs w:val="21"/>
          <w:highlight w:val="none"/>
        </w:rPr>
      </w:pPr>
      <w:r>
        <w:rPr>
          <w:rFonts w:hint="eastAsia"/>
          <w:sz w:val="21"/>
          <w:szCs w:val="21"/>
          <w:highlight w:val="none"/>
        </w:rPr>
        <w:t>（</w:t>
      </w:r>
      <w:r>
        <w:rPr>
          <w:sz w:val="21"/>
          <w:szCs w:val="21"/>
          <w:highlight w:val="none"/>
        </w:rPr>
        <w:t>1</w:t>
      </w:r>
      <w:r>
        <w:rPr>
          <w:rFonts w:hint="eastAsia"/>
          <w:sz w:val="21"/>
          <w:szCs w:val="21"/>
          <w:highlight w:val="none"/>
        </w:rPr>
        <w:t>）工程概况</w:t>
      </w:r>
    </w:p>
    <w:p>
      <w:pPr>
        <w:pStyle w:val="17"/>
        <w:jc w:val="left"/>
        <w:rPr>
          <w:sz w:val="21"/>
          <w:szCs w:val="21"/>
          <w:highlight w:val="none"/>
        </w:rPr>
      </w:pPr>
      <w:r>
        <w:rPr>
          <w:rFonts w:hint="eastAsia"/>
          <w:sz w:val="21"/>
          <w:szCs w:val="21"/>
          <w:highlight w:val="none"/>
        </w:rPr>
        <w:t>（</w:t>
      </w:r>
      <w:r>
        <w:rPr>
          <w:sz w:val="21"/>
          <w:szCs w:val="21"/>
          <w:highlight w:val="none"/>
        </w:rPr>
        <w:t>2</w:t>
      </w:r>
      <w:r>
        <w:rPr>
          <w:rFonts w:hint="eastAsia"/>
          <w:sz w:val="21"/>
          <w:szCs w:val="21"/>
          <w:highlight w:val="none"/>
        </w:rPr>
        <w:t>）施工方案与技术措施</w:t>
      </w:r>
    </w:p>
    <w:p>
      <w:pPr>
        <w:pStyle w:val="17"/>
        <w:jc w:val="left"/>
        <w:rPr>
          <w:sz w:val="21"/>
          <w:szCs w:val="21"/>
          <w:highlight w:val="none"/>
        </w:rPr>
      </w:pPr>
      <w:r>
        <w:rPr>
          <w:rFonts w:hint="eastAsia"/>
          <w:sz w:val="21"/>
          <w:szCs w:val="21"/>
          <w:highlight w:val="none"/>
        </w:rPr>
        <w:t>（</w:t>
      </w:r>
      <w:r>
        <w:rPr>
          <w:sz w:val="21"/>
          <w:szCs w:val="21"/>
          <w:highlight w:val="none"/>
        </w:rPr>
        <w:t>3</w:t>
      </w:r>
      <w:r>
        <w:rPr>
          <w:rFonts w:hint="eastAsia"/>
          <w:sz w:val="21"/>
          <w:szCs w:val="21"/>
          <w:highlight w:val="none"/>
        </w:rPr>
        <w:t>）质量目标和质量保证措施</w:t>
      </w:r>
    </w:p>
    <w:p>
      <w:pPr>
        <w:pStyle w:val="17"/>
        <w:jc w:val="left"/>
        <w:rPr>
          <w:sz w:val="21"/>
          <w:szCs w:val="21"/>
          <w:highlight w:val="none"/>
        </w:rPr>
      </w:pPr>
      <w:r>
        <w:rPr>
          <w:rFonts w:hint="eastAsia"/>
          <w:sz w:val="21"/>
          <w:szCs w:val="21"/>
          <w:highlight w:val="none"/>
        </w:rPr>
        <w:t>（</w:t>
      </w:r>
      <w:r>
        <w:rPr>
          <w:sz w:val="21"/>
          <w:szCs w:val="21"/>
          <w:highlight w:val="none"/>
        </w:rPr>
        <w:t>4</w:t>
      </w:r>
      <w:r>
        <w:rPr>
          <w:rFonts w:hint="eastAsia"/>
          <w:sz w:val="21"/>
          <w:szCs w:val="21"/>
          <w:highlight w:val="none"/>
        </w:rPr>
        <w:t>）施工总体进度计划及保证措施</w:t>
      </w:r>
    </w:p>
    <w:p>
      <w:pPr>
        <w:pStyle w:val="17"/>
        <w:jc w:val="left"/>
        <w:rPr>
          <w:sz w:val="21"/>
          <w:szCs w:val="21"/>
          <w:highlight w:val="none"/>
        </w:rPr>
      </w:pPr>
      <w:r>
        <w:rPr>
          <w:rFonts w:hint="eastAsia"/>
          <w:sz w:val="21"/>
          <w:szCs w:val="21"/>
          <w:highlight w:val="none"/>
        </w:rPr>
        <w:t>（</w:t>
      </w:r>
      <w:r>
        <w:rPr>
          <w:sz w:val="21"/>
          <w:szCs w:val="21"/>
          <w:highlight w:val="none"/>
        </w:rPr>
        <w:t>5</w:t>
      </w:r>
      <w:r>
        <w:rPr>
          <w:rFonts w:hint="eastAsia"/>
          <w:sz w:val="21"/>
          <w:szCs w:val="21"/>
          <w:highlight w:val="none"/>
        </w:rPr>
        <w:t>）安全和文明施工保障措施</w:t>
      </w:r>
    </w:p>
    <w:p>
      <w:pPr>
        <w:pStyle w:val="17"/>
        <w:jc w:val="left"/>
        <w:rPr>
          <w:sz w:val="21"/>
          <w:szCs w:val="21"/>
          <w:highlight w:val="none"/>
        </w:rPr>
      </w:pPr>
      <w:r>
        <w:rPr>
          <w:rFonts w:hint="eastAsia"/>
          <w:sz w:val="21"/>
          <w:szCs w:val="21"/>
          <w:highlight w:val="none"/>
        </w:rPr>
        <w:t>（</w:t>
      </w:r>
      <w:r>
        <w:rPr>
          <w:sz w:val="21"/>
          <w:szCs w:val="21"/>
          <w:highlight w:val="none"/>
        </w:rPr>
        <w:t>6</w:t>
      </w:r>
      <w:r>
        <w:rPr>
          <w:rFonts w:hint="eastAsia"/>
          <w:sz w:val="21"/>
          <w:szCs w:val="21"/>
          <w:highlight w:val="none"/>
        </w:rPr>
        <w:t>）现场组织管理机构和劳动力计划及保障措施</w:t>
      </w:r>
    </w:p>
    <w:p>
      <w:pPr>
        <w:pStyle w:val="17"/>
        <w:jc w:val="left"/>
        <w:rPr>
          <w:sz w:val="21"/>
          <w:szCs w:val="21"/>
          <w:highlight w:val="none"/>
        </w:rPr>
      </w:pPr>
      <w:r>
        <w:rPr>
          <w:rFonts w:hint="eastAsia"/>
          <w:sz w:val="21"/>
          <w:szCs w:val="21"/>
          <w:highlight w:val="none"/>
        </w:rPr>
        <w:t>（</w:t>
      </w:r>
      <w:r>
        <w:rPr>
          <w:sz w:val="21"/>
          <w:szCs w:val="21"/>
          <w:highlight w:val="none"/>
        </w:rPr>
        <w:t>7</w:t>
      </w:r>
      <w:r>
        <w:rPr>
          <w:rFonts w:hint="eastAsia"/>
          <w:sz w:val="21"/>
          <w:szCs w:val="21"/>
          <w:highlight w:val="none"/>
        </w:rPr>
        <w:t>）投入施工机械设备配置</w:t>
      </w:r>
    </w:p>
    <w:p>
      <w:pPr>
        <w:pStyle w:val="17"/>
        <w:jc w:val="left"/>
        <w:rPr>
          <w:sz w:val="21"/>
          <w:szCs w:val="21"/>
          <w:highlight w:val="none"/>
        </w:rPr>
      </w:pPr>
      <w:r>
        <w:rPr>
          <w:rFonts w:hint="eastAsia"/>
          <w:sz w:val="21"/>
          <w:szCs w:val="21"/>
          <w:highlight w:val="none"/>
        </w:rPr>
        <w:t>（</w:t>
      </w:r>
      <w:r>
        <w:rPr>
          <w:sz w:val="21"/>
          <w:szCs w:val="21"/>
          <w:highlight w:val="none"/>
        </w:rPr>
        <w:t>8</w:t>
      </w:r>
      <w:r>
        <w:rPr>
          <w:rFonts w:hint="eastAsia"/>
          <w:sz w:val="21"/>
          <w:szCs w:val="21"/>
          <w:highlight w:val="none"/>
        </w:rPr>
        <w:t>）设备安装计划及保障措施</w:t>
      </w:r>
    </w:p>
    <w:p>
      <w:pPr>
        <w:pStyle w:val="17"/>
        <w:ind w:firstLine="480"/>
        <w:jc w:val="left"/>
        <w:rPr>
          <w:sz w:val="21"/>
          <w:szCs w:val="21"/>
          <w:highlight w:val="none"/>
        </w:rPr>
      </w:pPr>
      <w:r>
        <w:rPr>
          <w:rFonts w:hint="eastAsia"/>
          <w:sz w:val="21"/>
          <w:szCs w:val="21"/>
          <w:highlight w:val="none"/>
        </w:rPr>
        <w:t>（</w:t>
      </w:r>
      <w:r>
        <w:rPr>
          <w:sz w:val="21"/>
          <w:szCs w:val="21"/>
          <w:highlight w:val="none"/>
        </w:rPr>
        <w:t>9</w:t>
      </w:r>
      <w:r>
        <w:rPr>
          <w:rFonts w:hint="eastAsia"/>
          <w:sz w:val="21"/>
          <w:szCs w:val="21"/>
          <w:highlight w:val="none"/>
        </w:rPr>
        <w:t>）与发包人、设计人、监理人的配合、协调；紧急情况的处理措施和预案，抵抗风险的措施。</w:t>
      </w:r>
    </w:p>
    <w:p>
      <w:pPr>
        <w:pStyle w:val="17"/>
        <w:jc w:val="left"/>
        <w:rPr>
          <w:sz w:val="21"/>
          <w:szCs w:val="21"/>
          <w:highlight w:val="none"/>
        </w:rPr>
      </w:pPr>
      <w:r>
        <w:rPr>
          <w:rFonts w:hint="eastAsia"/>
          <w:sz w:val="21"/>
          <w:szCs w:val="21"/>
          <w:highlight w:val="none"/>
        </w:rPr>
        <w:t>（</w:t>
      </w:r>
      <w:r>
        <w:rPr>
          <w:sz w:val="21"/>
          <w:szCs w:val="21"/>
          <w:highlight w:val="none"/>
        </w:rPr>
        <w:t>10</w:t>
      </w:r>
      <w:r>
        <w:rPr>
          <w:rFonts w:hint="eastAsia"/>
          <w:sz w:val="21"/>
          <w:szCs w:val="21"/>
          <w:highlight w:val="none"/>
        </w:rPr>
        <w:t>）成品保护、工程保修和养护管理的措施</w:t>
      </w:r>
    </w:p>
    <w:p>
      <w:pPr>
        <w:pStyle w:val="17"/>
        <w:jc w:val="left"/>
        <w:rPr>
          <w:sz w:val="21"/>
          <w:szCs w:val="21"/>
          <w:highlight w:val="none"/>
        </w:rPr>
      </w:pPr>
      <w:r>
        <w:rPr>
          <w:rFonts w:hint="eastAsia"/>
          <w:sz w:val="21"/>
          <w:szCs w:val="21"/>
          <w:highlight w:val="none"/>
        </w:rPr>
        <w:t>（</w:t>
      </w:r>
      <w:r>
        <w:rPr>
          <w:sz w:val="21"/>
          <w:szCs w:val="21"/>
          <w:highlight w:val="none"/>
        </w:rPr>
        <w:t>11</w:t>
      </w:r>
      <w:r>
        <w:rPr>
          <w:rFonts w:hint="eastAsia"/>
          <w:sz w:val="21"/>
          <w:szCs w:val="21"/>
          <w:highlight w:val="none"/>
        </w:rPr>
        <w:t>）施工现场总平面布置：至少应标明临时设施的布置、交通组织等内容。</w:t>
      </w:r>
    </w:p>
    <w:p>
      <w:pPr>
        <w:pStyle w:val="17"/>
        <w:jc w:val="left"/>
        <w:rPr>
          <w:sz w:val="21"/>
          <w:szCs w:val="21"/>
          <w:highlight w:val="none"/>
        </w:rPr>
      </w:pPr>
      <w:r>
        <w:rPr>
          <w:rFonts w:hint="eastAsia"/>
          <w:sz w:val="21"/>
          <w:szCs w:val="21"/>
          <w:highlight w:val="none"/>
        </w:rPr>
        <w:t>……</w:t>
      </w:r>
      <w:r>
        <w:rPr>
          <w:sz w:val="21"/>
          <w:szCs w:val="21"/>
          <w:highlight w:val="none"/>
        </w:rPr>
        <w:t xml:space="preserve"> </w:t>
      </w:r>
      <w:r>
        <w:rPr>
          <w:rFonts w:hint="eastAsia"/>
          <w:sz w:val="21"/>
          <w:szCs w:val="21"/>
          <w:highlight w:val="none"/>
        </w:rPr>
        <w:t>其他。</w:t>
      </w:r>
    </w:p>
    <w:p>
      <w:pPr>
        <w:pStyle w:val="17"/>
        <w:jc w:val="left"/>
        <w:rPr>
          <w:sz w:val="21"/>
          <w:szCs w:val="21"/>
          <w:highlight w:val="none"/>
        </w:rPr>
      </w:pPr>
      <w:r>
        <w:rPr>
          <w:rFonts w:hint="eastAsia"/>
          <w:sz w:val="21"/>
          <w:szCs w:val="21"/>
          <w:highlight w:val="none"/>
        </w:rPr>
        <w:t>二、施工组织设计除采用文字表述外可附下列图表，图表及格式要求附后。</w:t>
      </w:r>
    </w:p>
    <w:p>
      <w:pPr>
        <w:pStyle w:val="17"/>
        <w:ind w:firstLine="840" w:firstLineChars="400"/>
        <w:jc w:val="left"/>
        <w:rPr>
          <w:sz w:val="21"/>
          <w:szCs w:val="21"/>
          <w:highlight w:val="none"/>
        </w:rPr>
      </w:pPr>
      <w:r>
        <w:rPr>
          <w:rFonts w:hint="eastAsia"/>
          <w:sz w:val="21"/>
          <w:szCs w:val="21"/>
          <w:highlight w:val="none"/>
        </w:rPr>
        <w:t>附表一</w:t>
      </w:r>
      <w:r>
        <w:rPr>
          <w:sz w:val="21"/>
          <w:szCs w:val="21"/>
          <w:highlight w:val="none"/>
        </w:rPr>
        <w:t xml:space="preserve">  </w:t>
      </w:r>
      <w:r>
        <w:rPr>
          <w:rFonts w:hint="eastAsia"/>
          <w:sz w:val="21"/>
          <w:szCs w:val="21"/>
          <w:highlight w:val="none"/>
        </w:rPr>
        <w:t>拟投入本工程的主要施工设备表</w:t>
      </w:r>
    </w:p>
    <w:p>
      <w:pPr>
        <w:pStyle w:val="17"/>
        <w:ind w:firstLine="840" w:firstLineChars="400"/>
        <w:jc w:val="left"/>
        <w:rPr>
          <w:sz w:val="21"/>
          <w:szCs w:val="21"/>
          <w:highlight w:val="none"/>
        </w:rPr>
      </w:pPr>
      <w:r>
        <w:rPr>
          <w:rFonts w:hint="eastAsia"/>
          <w:sz w:val="21"/>
          <w:szCs w:val="21"/>
          <w:highlight w:val="none"/>
        </w:rPr>
        <w:t>附表二</w:t>
      </w:r>
      <w:r>
        <w:rPr>
          <w:sz w:val="21"/>
          <w:szCs w:val="21"/>
          <w:highlight w:val="none"/>
        </w:rPr>
        <w:t xml:space="preserve">  </w:t>
      </w:r>
      <w:r>
        <w:rPr>
          <w:rFonts w:hint="eastAsia"/>
          <w:sz w:val="21"/>
          <w:szCs w:val="21"/>
          <w:highlight w:val="none"/>
        </w:rPr>
        <w:t>拟配备本工程的试验和检测仪器设备表</w:t>
      </w:r>
    </w:p>
    <w:p>
      <w:pPr>
        <w:pStyle w:val="17"/>
        <w:ind w:firstLine="840" w:firstLineChars="400"/>
        <w:jc w:val="left"/>
        <w:rPr>
          <w:sz w:val="21"/>
          <w:szCs w:val="21"/>
          <w:highlight w:val="none"/>
        </w:rPr>
      </w:pPr>
      <w:r>
        <w:rPr>
          <w:rFonts w:hint="eastAsia"/>
          <w:sz w:val="21"/>
          <w:szCs w:val="21"/>
          <w:highlight w:val="none"/>
        </w:rPr>
        <w:t>附表三</w:t>
      </w:r>
      <w:r>
        <w:rPr>
          <w:sz w:val="21"/>
          <w:szCs w:val="21"/>
          <w:highlight w:val="none"/>
        </w:rPr>
        <w:t xml:space="preserve">  </w:t>
      </w:r>
      <w:r>
        <w:rPr>
          <w:rFonts w:hint="eastAsia"/>
          <w:sz w:val="21"/>
          <w:szCs w:val="21"/>
          <w:highlight w:val="none"/>
        </w:rPr>
        <w:t>劳动力计划表</w:t>
      </w:r>
    </w:p>
    <w:p>
      <w:pPr>
        <w:pStyle w:val="17"/>
        <w:ind w:firstLine="840" w:firstLineChars="400"/>
        <w:jc w:val="left"/>
        <w:rPr>
          <w:sz w:val="21"/>
          <w:szCs w:val="21"/>
          <w:highlight w:val="none"/>
        </w:rPr>
      </w:pPr>
      <w:r>
        <w:rPr>
          <w:rFonts w:hint="eastAsia"/>
          <w:sz w:val="21"/>
          <w:szCs w:val="21"/>
          <w:highlight w:val="none"/>
        </w:rPr>
        <w:t>附表四</w:t>
      </w:r>
      <w:r>
        <w:rPr>
          <w:sz w:val="21"/>
          <w:szCs w:val="21"/>
          <w:highlight w:val="none"/>
        </w:rPr>
        <w:t xml:space="preserve">  </w:t>
      </w:r>
      <w:r>
        <w:rPr>
          <w:rFonts w:hint="eastAsia"/>
          <w:sz w:val="21"/>
          <w:szCs w:val="21"/>
          <w:highlight w:val="none"/>
        </w:rPr>
        <w:t>计划开、竣工日期和施工进度网络图</w:t>
      </w:r>
    </w:p>
    <w:p>
      <w:pPr>
        <w:pStyle w:val="17"/>
        <w:ind w:firstLine="480"/>
        <w:jc w:val="left"/>
        <w:rPr>
          <w:szCs w:val="21"/>
          <w:highlight w:val="none"/>
        </w:rPr>
      </w:pPr>
    </w:p>
    <w:p>
      <w:pPr>
        <w:pStyle w:val="17"/>
        <w:ind w:firstLine="0"/>
        <w:jc w:val="left"/>
        <w:rPr>
          <w:highlight w:val="none"/>
        </w:rPr>
      </w:pPr>
    </w:p>
    <w:p>
      <w:pPr>
        <w:pStyle w:val="17"/>
        <w:spacing w:line="432" w:lineRule="auto"/>
        <w:ind w:firstLine="480"/>
        <w:jc w:val="left"/>
        <w:rPr>
          <w:rFonts w:ascii="宋体"/>
          <w:sz w:val="21"/>
          <w:szCs w:val="21"/>
          <w:highlight w:val="none"/>
        </w:rPr>
      </w:pPr>
      <w:r>
        <w:rPr>
          <w:rFonts w:hint="eastAsia" w:ascii="宋体" w:hAnsi="宋体"/>
          <w:b/>
          <w:sz w:val="21"/>
          <w:szCs w:val="21"/>
          <w:highlight w:val="none"/>
        </w:rPr>
        <w:t>备注：该技术内容由报价人根据学校情况及竞争性磋商文件要求等自行编制。</w:t>
      </w:r>
    </w:p>
    <w:p>
      <w:pPr>
        <w:pStyle w:val="4"/>
        <w:ind w:left="720" w:hanging="720"/>
        <w:jc w:val="left"/>
        <w:rPr>
          <w:rFonts w:ascii="宋体" w:cs="Arial"/>
          <w:sz w:val="24"/>
          <w:szCs w:val="28"/>
          <w:highlight w:val="none"/>
        </w:rPr>
      </w:pPr>
      <w:bookmarkStart w:id="1202" w:name="_Toc455410309"/>
      <w:bookmarkStart w:id="1203" w:name="_Toc455410472"/>
      <w:r>
        <w:rPr>
          <w:rFonts w:ascii="宋体" w:cs="Arial"/>
          <w:sz w:val="24"/>
          <w:szCs w:val="28"/>
          <w:highlight w:val="none"/>
        </w:rPr>
        <w:br w:type="page"/>
      </w:r>
      <w:r>
        <w:rPr>
          <w:rFonts w:hint="eastAsia" w:ascii="宋体" w:hAnsi="宋体" w:cs="Arial"/>
          <w:sz w:val="24"/>
          <w:szCs w:val="28"/>
          <w:highlight w:val="none"/>
        </w:rPr>
        <w:t>附表一：拟投入本工程的主要施工设备表</w:t>
      </w:r>
      <w:bookmarkEnd w:id="1202"/>
      <w:bookmarkEnd w:id="1203"/>
    </w:p>
    <w:p>
      <w:pPr>
        <w:spacing w:line="440" w:lineRule="exact"/>
        <w:rPr>
          <w:sz w:val="20"/>
          <w:highlight w:val="none"/>
        </w:rPr>
      </w:pPr>
    </w:p>
    <w:tbl>
      <w:tblPr>
        <w:tblStyle w:val="60"/>
        <w:tblW w:w="90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128"/>
        <w:gridCol w:w="789"/>
        <w:gridCol w:w="870"/>
        <w:gridCol w:w="850"/>
        <w:gridCol w:w="765"/>
        <w:gridCol w:w="1256"/>
        <w:gridCol w:w="906"/>
        <w:gridCol w:w="1093"/>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693" w:type="dxa"/>
            <w:vAlign w:val="center"/>
          </w:tcPr>
          <w:p>
            <w:pPr>
              <w:snapToGrid w:val="0"/>
              <w:rPr>
                <w:szCs w:val="21"/>
                <w:highlight w:val="none"/>
              </w:rPr>
            </w:pPr>
            <w:r>
              <w:rPr>
                <w:rFonts w:hint="eastAsia"/>
                <w:szCs w:val="21"/>
                <w:highlight w:val="none"/>
              </w:rPr>
              <w:t>序号</w:t>
            </w:r>
          </w:p>
        </w:tc>
        <w:tc>
          <w:tcPr>
            <w:tcW w:w="1128" w:type="dxa"/>
            <w:vAlign w:val="center"/>
          </w:tcPr>
          <w:p>
            <w:pPr>
              <w:snapToGrid w:val="0"/>
              <w:jc w:val="center"/>
              <w:rPr>
                <w:szCs w:val="21"/>
                <w:highlight w:val="none"/>
              </w:rPr>
            </w:pPr>
            <w:r>
              <w:rPr>
                <w:rFonts w:hint="eastAsia"/>
                <w:szCs w:val="21"/>
                <w:highlight w:val="none"/>
              </w:rPr>
              <w:t>设备名称</w:t>
            </w:r>
          </w:p>
        </w:tc>
        <w:tc>
          <w:tcPr>
            <w:tcW w:w="789" w:type="dxa"/>
            <w:vAlign w:val="center"/>
          </w:tcPr>
          <w:p>
            <w:pPr>
              <w:snapToGrid w:val="0"/>
              <w:jc w:val="center"/>
              <w:rPr>
                <w:szCs w:val="21"/>
                <w:highlight w:val="none"/>
              </w:rPr>
            </w:pPr>
            <w:r>
              <w:rPr>
                <w:rFonts w:hint="eastAsia"/>
                <w:szCs w:val="21"/>
                <w:highlight w:val="none"/>
              </w:rPr>
              <w:t>型号</w:t>
            </w:r>
          </w:p>
          <w:p>
            <w:pPr>
              <w:snapToGrid w:val="0"/>
              <w:jc w:val="center"/>
              <w:rPr>
                <w:szCs w:val="21"/>
                <w:highlight w:val="none"/>
              </w:rPr>
            </w:pPr>
            <w:r>
              <w:rPr>
                <w:rFonts w:hint="eastAsia"/>
                <w:szCs w:val="21"/>
                <w:highlight w:val="none"/>
              </w:rPr>
              <w:t>规格</w:t>
            </w:r>
          </w:p>
        </w:tc>
        <w:tc>
          <w:tcPr>
            <w:tcW w:w="870" w:type="dxa"/>
            <w:vAlign w:val="center"/>
          </w:tcPr>
          <w:p>
            <w:pPr>
              <w:snapToGrid w:val="0"/>
              <w:jc w:val="center"/>
              <w:rPr>
                <w:szCs w:val="21"/>
                <w:highlight w:val="none"/>
              </w:rPr>
            </w:pPr>
            <w:r>
              <w:rPr>
                <w:rFonts w:hint="eastAsia"/>
                <w:szCs w:val="21"/>
                <w:highlight w:val="none"/>
              </w:rPr>
              <w:t>数量</w:t>
            </w:r>
          </w:p>
        </w:tc>
        <w:tc>
          <w:tcPr>
            <w:tcW w:w="850" w:type="dxa"/>
            <w:vAlign w:val="center"/>
          </w:tcPr>
          <w:p>
            <w:pPr>
              <w:snapToGrid w:val="0"/>
              <w:jc w:val="center"/>
              <w:rPr>
                <w:szCs w:val="21"/>
                <w:highlight w:val="none"/>
              </w:rPr>
            </w:pPr>
            <w:r>
              <w:rPr>
                <w:rFonts w:hint="eastAsia"/>
                <w:szCs w:val="21"/>
                <w:highlight w:val="none"/>
              </w:rPr>
              <w:t>国别</w:t>
            </w:r>
          </w:p>
          <w:p>
            <w:pPr>
              <w:snapToGrid w:val="0"/>
              <w:jc w:val="center"/>
              <w:rPr>
                <w:szCs w:val="21"/>
                <w:highlight w:val="none"/>
              </w:rPr>
            </w:pPr>
            <w:r>
              <w:rPr>
                <w:rFonts w:hint="eastAsia"/>
                <w:szCs w:val="21"/>
                <w:highlight w:val="none"/>
              </w:rPr>
              <w:t>产地</w:t>
            </w:r>
          </w:p>
        </w:tc>
        <w:tc>
          <w:tcPr>
            <w:tcW w:w="765" w:type="dxa"/>
            <w:vAlign w:val="center"/>
          </w:tcPr>
          <w:p>
            <w:pPr>
              <w:snapToGrid w:val="0"/>
              <w:jc w:val="center"/>
              <w:rPr>
                <w:szCs w:val="21"/>
                <w:highlight w:val="none"/>
              </w:rPr>
            </w:pPr>
            <w:r>
              <w:rPr>
                <w:rFonts w:hint="eastAsia"/>
                <w:szCs w:val="21"/>
                <w:highlight w:val="none"/>
              </w:rPr>
              <w:t>制造</w:t>
            </w:r>
          </w:p>
          <w:p>
            <w:pPr>
              <w:snapToGrid w:val="0"/>
              <w:jc w:val="center"/>
              <w:rPr>
                <w:szCs w:val="21"/>
                <w:highlight w:val="none"/>
              </w:rPr>
            </w:pPr>
            <w:r>
              <w:rPr>
                <w:rFonts w:hint="eastAsia"/>
                <w:szCs w:val="21"/>
                <w:highlight w:val="none"/>
              </w:rPr>
              <w:t>年份</w:t>
            </w:r>
          </w:p>
        </w:tc>
        <w:tc>
          <w:tcPr>
            <w:tcW w:w="1256" w:type="dxa"/>
            <w:vAlign w:val="center"/>
          </w:tcPr>
          <w:p>
            <w:pPr>
              <w:snapToGrid w:val="0"/>
              <w:jc w:val="center"/>
              <w:rPr>
                <w:szCs w:val="21"/>
                <w:highlight w:val="none"/>
              </w:rPr>
            </w:pPr>
            <w:r>
              <w:rPr>
                <w:rFonts w:hint="eastAsia"/>
                <w:szCs w:val="21"/>
                <w:highlight w:val="none"/>
              </w:rPr>
              <w:t>额定功率（</w:t>
            </w:r>
            <w:r>
              <w:rPr>
                <w:szCs w:val="21"/>
                <w:highlight w:val="none"/>
              </w:rPr>
              <w:t>KW</w:t>
            </w:r>
            <w:r>
              <w:rPr>
                <w:rFonts w:hint="eastAsia"/>
                <w:szCs w:val="21"/>
                <w:highlight w:val="none"/>
              </w:rPr>
              <w:t>）</w:t>
            </w:r>
          </w:p>
        </w:tc>
        <w:tc>
          <w:tcPr>
            <w:tcW w:w="906" w:type="dxa"/>
            <w:vAlign w:val="center"/>
          </w:tcPr>
          <w:p>
            <w:pPr>
              <w:snapToGrid w:val="0"/>
              <w:jc w:val="center"/>
              <w:rPr>
                <w:szCs w:val="21"/>
                <w:highlight w:val="none"/>
              </w:rPr>
            </w:pPr>
            <w:r>
              <w:rPr>
                <w:rFonts w:hint="eastAsia"/>
                <w:szCs w:val="21"/>
                <w:highlight w:val="none"/>
              </w:rPr>
              <w:t>生产</w:t>
            </w:r>
          </w:p>
          <w:p>
            <w:pPr>
              <w:snapToGrid w:val="0"/>
              <w:jc w:val="center"/>
              <w:rPr>
                <w:szCs w:val="21"/>
                <w:highlight w:val="none"/>
              </w:rPr>
            </w:pPr>
            <w:r>
              <w:rPr>
                <w:rFonts w:hint="eastAsia"/>
                <w:szCs w:val="21"/>
                <w:highlight w:val="none"/>
              </w:rPr>
              <w:t>能力</w:t>
            </w:r>
          </w:p>
        </w:tc>
        <w:tc>
          <w:tcPr>
            <w:tcW w:w="1093" w:type="dxa"/>
            <w:vAlign w:val="center"/>
          </w:tcPr>
          <w:p>
            <w:pPr>
              <w:snapToGrid w:val="0"/>
              <w:jc w:val="center"/>
              <w:rPr>
                <w:szCs w:val="21"/>
                <w:highlight w:val="none"/>
              </w:rPr>
            </w:pPr>
            <w:r>
              <w:rPr>
                <w:rFonts w:hint="eastAsia"/>
                <w:szCs w:val="21"/>
                <w:highlight w:val="none"/>
              </w:rPr>
              <w:t>用于施工部位</w:t>
            </w:r>
          </w:p>
        </w:tc>
        <w:tc>
          <w:tcPr>
            <w:tcW w:w="714" w:type="dxa"/>
            <w:vAlign w:val="center"/>
          </w:tcPr>
          <w:p>
            <w:pPr>
              <w:snapToGrid w:val="0"/>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Align w:val="center"/>
          </w:tcPr>
          <w:p>
            <w:pPr>
              <w:spacing w:line="440" w:lineRule="exact"/>
              <w:jc w:val="center"/>
              <w:rPr>
                <w:szCs w:val="21"/>
                <w:highlight w:val="none"/>
              </w:rPr>
            </w:pPr>
          </w:p>
        </w:tc>
        <w:tc>
          <w:tcPr>
            <w:tcW w:w="1128" w:type="dxa"/>
            <w:vAlign w:val="center"/>
          </w:tcPr>
          <w:p>
            <w:pPr>
              <w:spacing w:line="440" w:lineRule="exact"/>
              <w:jc w:val="center"/>
              <w:rPr>
                <w:szCs w:val="21"/>
                <w:highlight w:val="none"/>
              </w:rPr>
            </w:pPr>
          </w:p>
        </w:tc>
        <w:tc>
          <w:tcPr>
            <w:tcW w:w="789" w:type="dxa"/>
            <w:vAlign w:val="center"/>
          </w:tcPr>
          <w:p>
            <w:pPr>
              <w:spacing w:line="440" w:lineRule="exact"/>
              <w:jc w:val="center"/>
              <w:rPr>
                <w:szCs w:val="21"/>
                <w:highlight w:val="none"/>
              </w:rPr>
            </w:pPr>
          </w:p>
        </w:tc>
        <w:tc>
          <w:tcPr>
            <w:tcW w:w="870" w:type="dxa"/>
            <w:vAlign w:val="center"/>
          </w:tcPr>
          <w:p>
            <w:pPr>
              <w:spacing w:line="440" w:lineRule="exact"/>
              <w:jc w:val="center"/>
              <w:rPr>
                <w:szCs w:val="21"/>
                <w:highlight w:val="none"/>
              </w:rPr>
            </w:pPr>
          </w:p>
        </w:tc>
        <w:tc>
          <w:tcPr>
            <w:tcW w:w="850" w:type="dxa"/>
            <w:vAlign w:val="center"/>
          </w:tcPr>
          <w:p>
            <w:pPr>
              <w:spacing w:line="440" w:lineRule="exact"/>
              <w:jc w:val="center"/>
              <w:rPr>
                <w:szCs w:val="21"/>
                <w:highlight w:val="none"/>
              </w:rPr>
            </w:pPr>
          </w:p>
        </w:tc>
        <w:tc>
          <w:tcPr>
            <w:tcW w:w="765" w:type="dxa"/>
            <w:vAlign w:val="center"/>
          </w:tcPr>
          <w:p>
            <w:pPr>
              <w:spacing w:line="440" w:lineRule="exact"/>
              <w:jc w:val="center"/>
              <w:rPr>
                <w:szCs w:val="21"/>
                <w:highlight w:val="none"/>
              </w:rPr>
            </w:pPr>
          </w:p>
        </w:tc>
        <w:tc>
          <w:tcPr>
            <w:tcW w:w="1256" w:type="dxa"/>
            <w:vAlign w:val="center"/>
          </w:tcPr>
          <w:p>
            <w:pPr>
              <w:spacing w:line="440" w:lineRule="exact"/>
              <w:jc w:val="center"/>
              <w:rPr>
                <w:szCs w:val="21"/>
                <w:highlight w:val="none"/>
              </w:rPr>
            </w:pPr>
          </w:p>
        </w:tc>
        <w:tc>
          <w:tcPr>
            <w:tcW w:w="906" w:type="dxa"/>
            <w:vAlign w:val="center"/>
          </w:tcPr>
          <w:p>
            <w:pPr>
              <w:spacing w:line="440" w:lineRule="exact"/>
              <w:jc w:val="center"/>
              <w:rPr>
                <w:szCs w:val="21"/>
                <w:highlight w:val="none"/>
              </w:rPr>
            </w:pPr>
          </w:p>
        </w:tc>
        <w:tc>
          <w:tcPr>
            <w:tcW w:w="1093" w:type="dxa"/>
            <w:vAlign w:val="center"/>
          </w:tcPr>
          <w:p>
            <w:pPr>
              <w:spacing w:line="440" w:lineRule="exact"/>
              <w:jc w:val="center"/>
              <w:rPr>
                <w:szCs w:val="21"/>
                <w:highlight w:val="none"/>
              </w:rPr>
            </w:pPr>
          </w:p>
        </w:tc>
        <w:tc>
          <w:tcPr>
            <w:tcW w:w="714"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vAlign w:val="center"/>
          </w:tcPr>
          <w:p>
            <w:pPr>
              <w:spacing w:line="440" w:lineRule="exact"/>
              <w:jc w:val="center"/>
              <w:rPr>
                <w:szCs w:val="21"/>
                <w:highlight w:val="none"/>
              </w:rPr>
            </w:pPr>
          </w:p>
        </w:tc>
        <w:tc>
          <w:tcPr>
            <w:tcW w:w="1128" w:type="dxa"/>
            <w:vAlign w:val="center"/>
          </w:tcPr>
          <w:p>
            <w:pPr>
              <w:spacing w:line="440" w:lineRule="exact"/>
              <w:jc w:val="center"/>
              <w:rPr>
                <w:szCs w:val="21"/>
                <w:highlight w:val="none"/>
              </w:rPr>
            </w:pPr>
          </w:p>
        </w:tc>
        <w:tc>
          <w:tcPr>
            <w:tcW w:w="789" w:type="dxa"/>
            <w:vAlign w:val="center"/>
          </w:tcPr>
          <w:p>
            <w:pPr>
              <w:spacing w:line="440" w:lineRule="exact"/>
              <w:jc w:val="center"/>
              <w:rPr>
                <w:szCs w:val="21"/>
                <w:highlight w:val="none"/>
              </w:rPr>
            </w:pPr>
          </w:p>
        </w:tc>
        <w:tc>
          <w:tcPr>
            <w:tcW w:w="870" w:type="dxa"/>
            <w:vAlign w:val="center"/>
          </w:tcPr>
          <w:p>
            <w:pPr>
              <w:spacing w:line="440" w:lineRule="exact"/>
              <w:jc w:val="center"/>
              <w:rPr>
                <w:szCs w:val="21"/>
                <w:highlight w:val="none"/>
              </w:rPr>
            </w:pPr>
          </w:p>
        </w:tc>
        <w:tc>
          <w:tcPr>
            <w:tcW w:w="850" w:type="dxa"/>
            <w:vAlign w:val="center"/>
          </w:tcPr>
          <w:p>
            <w:pPr>
              <w:spacing w:line="440" w:lineRule="exact"/>
              <w:jc w:val="center"/>
              <w:rPr>
                <w:szCs w:val="21"/>
                <w:highlight w:val="none"/>
              </w:rPr>
            </w:pPr>
          </w:p>
        </w:tc>
        <w:tc>
          <w:tcPr>
            <w:tcW w:w="765" w:type="dxa"/>
            <w:vAlign w:val="center"/>
          </w:tcPr>
          <w:p>
            <w:pPr>
              <w:spacing w:line="440" w:lineRule="exact"/>
              <w:jc w:val="center"/>
              <w:rPr>
                <w:szCs w:val="21"/>
                <w:highlight w:val="none"/>
              </w:rPr>
            </w:pPr>
          </w:p>
        </w:tc>
        <w:tc>
          <w:tcPr>
            <w:tcW w:w="1256" w:type="dxa"/>
            <w:vAlign w:val="center"/>
          </w:tcPr>
          <w:p>
            <w:pPr>
              <w:spacing w:line="440" w:lineRule="exact"/>
              <w:jc w:val="center"/>
              <w:rPr>
                <w:szCs w:val="21"/>
                <w:highlight w:val="none"/>
              </w:rPr>
            </w:pPr>
          </w:p>
        </w:tc>
        <w:tc>
          <w:tcPr>
            <w:tcW w:w="906" w:type="dxa"/>
            <w:vAlign w:val="center"/>
          </w:tcPr>
          <w:p>
            <w:pPr>
              <w:spacing w:line="440" w:lineRule="exact"/>
              <w:jc w:val="center"/>
              <w:rPr>
                <w:szCs w:val="21"/>
                <w:highlight w:val="none"/>
              </w:rPr>
            </w:pPr>
          </w:p>
        </w:tc>
        <w:tc>
          <w:tcPr>
            <w:tcW w:w="1093" w:type="dxa"/>
            <w:vAlign w:val="center"/>
          </w:tcPr>
          <w:p>
            <w:pPr>
              <w:spacing w:line="440" w:lineRule="exact"/>
              <w:jc w:val="center"/>
              <w:rPr>
                <w:szCs w:val="21"/>
                <w:highlight w:val="none"/>
              </w:rPr>
            </w:pPr>
          </w:p>
        </w:tc>
        <w:tc>
          <w:tcPr>
            <w:tcW w:w="714"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3" w:type="dxa"/>
          </w:tcPr>
          <w:p>
            <w:pPr>
              <w:spacing w:line="440" w:lineRule="exact"/>
              <w:jc w:val="center"/>
              <w:rPr>
                <w:szCs w:val="21"/>
                <w:highlight w:val="none"/>
              </w:rPr>
            </w:pPr>
          </w:p>
        </w:tc>
        <w:tc>
          <w:tcPr>
            <w:tcW w:w="1128" w:type="dxa"/>
          </w:tcPr>
          <w:p>
            <w:pPr>
              <w:spacing w:line="440" w:lineRule="exact"/>
              <w:jc w:val="center"/>
              <w:rPr>
                <w:szCs w:val="21"/>
                <w:highlight w:val="none"/>
              </w:rPr>
            </w:pPr>
          </w:p>
        </w:tc>
        <w:tc>
          <w:tcPr>
            <w:tcW w:w="789" w:type="dxa"/>
          </w:tcPr>
          <w:p>
            <w:pPr>
              <w:spacing w:line="440" w:lineRule="exact"/>
              <w:jc w:val="center"/>
              <w:rPr>
                <w:szCs w:val="21"/>
                <w:highlight w:val="none"/>
              </w:rPr>
            </w:pPr>
          </w:p>
        </w:tc>
        <w:tc>
          <w:tcPr>
            <w:tcW w:w="870" w:type="dxa"/>
          </w:tcPr>
          <w:p>
            <w:pPr>
              <w:spacing w:line="440" w:lineRule="exact"/>
              <w:jc w:val="center"/>
              <w:rPr>
                <w:szCs w:val="21"/>
                <w:highlight w:val="none"/>
              </w:rPr>
            </w:pPr>
          </w:p>
        </w:tc>
        <w:tc>
          <w:tcPr>
            <w:tcW w:w="850"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6" w:type="dxa"/>
          </w:tcPr>
          <w:p>
            <w:pPr>
              <w:spacing w:line="440" w:lineRule="exact"/>
              <w:jc w:val="center"/>
              <w:rPr>
                <w:szCs w:val="21"/>
                <w:highlight w:val="none"/>
              </w:rPr>
            </w:pPr>
          </w:p>
        </w:tc>
        <w:tc>
          <w:tcPr>
            <w:tcW w:w="906" w:type="dxa"/>
          </w:tcPr>
          <w:p>
            <w:pPr>
              <w:spacing w:line="440" w:lineRule="exact"/>
              <w:jc w:val="center"/>
              <w:rPr>
                <w:szCs w:val="21"/>
                <w:highlight w:val="none"/>
              </w:rPr>
            </w:pPr>
          </w:p>
        </w:tc>
        <w:tc>
          <w:tcPr>
            <w:tcW w:w="1093" w:type="dxa"/>
          </w:tcPr>
          <w:p>
            <w:pPr>
              <w:spacing w:line="440" w:lineRule="exact"/>
              <w:jc w:val="center"/>
              <w:rPr>
                <w:szCs w:val="21"/>
                <w:highlight w:val="none"/>
              </w:rPr>
            </w:pPr>
          </w:p>
        </w:tc>
        <w:tc>
          <w:tcPr>
            <w:tcW w:w="714" w:type="dxa"/>
          </w:tcPr>
          <w:p>
            <w:pPr>
              <w:spacing w:line="440" w:lineRule="exact"/>
              <w:jc w:val="center"/>
              <w:rPr>
                <w:szCs w:val="21"/>
                <w:highlight w:val="none"/>
              </w:rPr>
            </w:pPr>
          </w:p>
        </w:tc>
      </w:tr>
    </w:tbl>
    <w:p>
      <w:pPr>
        <w:spacing w:line="440" w:lineRule="exact"/>
        <w:rPr>
          <w:rFonts w:eastAsia="黑体"/>
          <w:sz w:val="20"/>
          <w:highlight w:val="none"/>
        </w:rPr>
      </w:pPr>
    </w:p>
    <w:p>
      <w:pPr>
        <w:spacing w:line="440" w:lineRule="exact"/>
        <w:rPr>
          <w:rFonts w:eastAsia="黑体"/>
          <w:sz w:val="20"/>
          <w:highlight w:val="none"/>
        </w:rPr>
      </w:pPr>
    </w:p>
    <w:p>
      <w:pPr>
        <w:spacing w:line="440" w:lineRule="exact"/>
        <w:rPr>
          <w:rFonts w:eastAsia="黑体"/>
          <w:sz w:val="20"/>
          <w:highlight w:val="none"/>
        </w:rPr>
      </w:pPr>
    </w:p>
    <w:p>
      <w:pPr>
        <w:pStyle w:val="4"/>
        <w:ind w:left="720" w:hanging="720"/>
        <w:jc w:val="left"/>
        <w:rPr>
          <w:rFonts w:ascii="宋体" w:cs="Arial"/>
          <w:sz w:val="24"/>
          <w:szCs w:val="24"/>
          <w:highlight w:val="none"/>
        </w:rPr>
      </w:pPr>
      <w:bookmarkStart w:id="1204" w:name="_Toc455410310"/>
      <w:bookmarkStart w:id="1205" w:name="_Toc455410473"/>
      <w:r>
        <w:rPr>
          <w:rFonts w:hint="eastAsia" w:ascii="宋体" w:hAnsi="宋体" w:cs="Arial"/>
          <w:sz w:val="24"/>
          <w:szCs w:val="24"/>
          <w:highlight w:val="none"/>
        </w:rPr>
        <w:t>附表二：拟配备本工程的试验和检测仪器设备表</w:t>
      </w:r>
      <w:bookmarkEnd w:id="1204"/>
      <w:bookmarkEnd w:id="1205"/>
    </w:p>
    <w:p>
      <w:pPr>
        <w:spacing w:line="440" w:lineRule="exact"/>
        <w:rPr>
          <w:sz w:val="20"/>
          <w:highlight w:val="none"/>
        </w:rPr>
      </w:pPr>
    </w:p>
    <w:tbl>
      <w:tblPr>
        <w:tblStyle w:val="60"/>
        <w:tblW w:w="87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27"/>
        <w:gridCol w:w="788"/>
        <w:gridCol w:w="1027"/>
        <w:gridCol w:w="697"/>
        <w:gridCol w:w="765"/>
        <w:gridCol w:w="1257"/>
        <w:gridCol w:w="1713"/>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napToGrid w:val="0"/>
              <w:spacing w:beforeLines="50" w:afterLines="50"/>
              <w:jc w:val="center"/>
              <w:rPr>
                <w:szCs w:val="21"/>
                <w:highlight w:val="none"/>
              </w:rPr>
            </w:pPr>
            <w:r>
              <w:rPr>
                <w:rFonts w:hint="eastAsia"/>
                <w:szCs w:val="21"/>
                <w:highlight w:val="none"/>
              </w:rPr>
              <w:t>序号</w:t>
            </w:r>
          </w:p>
        </w:tc>
        <w:tc>
          <w:tcPr>
            <w:tcW w:w="1127" w:type="dxa"/>
            <w:vAlign w:val="center"/>
          </w:tcPr>
          <w:p>
            <w:pPr>
              <w:snapToGrid w:val="0"/>
              <w:spacing w:beforeLines="50" w:afterLines="50"/>
              <w:jc w:val="center"/>
              <w:rPr>
                <w:szCs w:val="21"/>
                <w:highlight w:val="none"/>
              </w:rPr>
            </w:pPr>
            <w:r>
              <w:rPr>
                <w:rFonts w:hint="eastAsia"/>
                <w:szCs w:val="21"/>
                <w:highlight w:val="none"/>
              </w:rPr>
              <w:t>仪器设备名</w:t>
            </w:r>
            <w:r>
              <w:rPr>
                <w:szCs w:val="21"/>
                <w:highlight w:val="none"/>
              </w:rPr>
              <w:t xml:space="preserve">    </w:t>
            </w:r>
            <w:r>
              <w:rPr>
                <w:rFonts w:hint="eastAsia"/>
                <w:szCs w:val="21"/>
                <w:highlight w:val="none"/>
              </w:rPr>
              <w:t>称</w:t>
            </w:r>
          </w:p>
        </w:tc>
        <w:tc>
          <w:tcPr>
            <w:tcW w:w="788" w:type="dxa"/>
            <w:vAlign w:val="center"/>
          </w:tcPr>
          <w:p>
            <w:pPr>
              <w:snapToGrid w:val="0"/>
              <w:jc w:val="center"/>
              <w:rPr>
                <w:szCs w:val="21"/>
                <w:highlight w:val="none"/>
              </w:rPr>
            </w:pPr>
            <w:r>
              <w:rPr>
                <w:rFonts w:hint="eastAsia"/>
                <w:szCs w:val="21"/>
                <w:highlight w:val="none"/>
              </w:rPr>
              <w:t>型号</w:t>
            </w:r>
          </w:p>
          <w:p>
            <w:pPr>
              <w:snapToGrid w:val="0"/>
              <w:jc w:val="center"/>
              <w:rPr>
                <w:szCs w:val="21"/>
                <w:highlight w:val="none"/>
              </w:rPr>
            </w:pPr>
            <w:r>
              <w:rPr>
                <w:rFonts w:hint="eastAsia"/>
                <w:szCs w:val="21"/>
                <w:highlight w:val="none"/>
              </w:rPr>
              <w:t>规格</w:t>
            </w:r>
          </w:p>
        </w:tc>
        <w:tc>
          <w:tcPr>
            <w:tcW w:w="1027" w:type="dxa"/>
            <w:vAlign w:val="center"/>
          </w:tcPr>
          <w:p>
            <w:pPr>
              <w:snapToGrid w:val="0"/>
              <w:spacing w:beforeLines="50" w:afterLines="50"/>
              <w:jc w:val="center"/>
              <w:rPr>
                <w:szCs w:val="21"/>
                <w:highlight w:val="none"/>
              </w:rPr>
            </w:pPr>
            <w:r>
              <w:rPr>
                <w:rFonts w:hint="eastAsia"/>
                <w:szCs w:val="21"/>
                <w:highlight w:val="none"/>
              </w:rPr>
              <w:t>数</w:t>
            </w:r>
            <w:r>
              <w:rPr>
                <w:szCs w:val="21"/>
                <w:highlight w:val="none"/>
              </w:rPr>
              <w:t xml:space="preserve">  </w:t>
            </w:r>
            <w:r>
              <w:rPr>
                <w:rFonts w:hint="eastAsia"/>
                <w:szCs w:val="21"/>
                <w:highlight w:val="none"/>
              </w:rPr>
              <w:t>量</w:t>
            </w:r>
          </w:p>
        </w:tc>
        <w:tc>
          <w:tcPr>
            <w:tcW w:w="697" w:type="dxa"/>
            <w:vAlign w:val="center"/>
          </w:tcPr>
          <w:p>
            <w:pPr>
              <w:snapToGrid w:val="0"/>
              <w:jc w:val="center"/>
              <w:rPr>
                <w:szCs w:val="21"/>
                <w:highlight w:val="none"/>
              </w:rPr>
            </w:pPr>
            <w:r>
              <w:rPr>
                <w:rFonts w:hint="eastAsia"/>
                <w:szCs w:val="21"/>
                <w:highlight w:val="none"/>
              </w:rPr>
              <w:t>国别</w:t>
            </w:r>
          </w:p>
          <w:p>
            <w:pPr>
              <w:snapToGrid w:val="0"/>
              <w:jc w:val="center"/>
              <w:rPr>
                <w:szCs w:val="21"/>
                <w:highlight w:val="none"/>
              </w:rPr>
            </w:pPr>
            <w:r>
              <w:rPr>
                <w:rFonts w:hint="eastAsia"/>
                <w:szCs w:val="21"/>
                <w:highlight w:val="none"/>
              </w:rPr>
              <w:t>产地</w:t>
            </w:r>
          </w:p>
        </w:tc>
        <w:tc>
          <w:tcPr>
            <w:tcW w:w="765" w:type="dxa"/>
            <w:vAlign w:val="center"/>
          </w:tcPr>
          <w:p>
            <w:pPr>
              <w:snapToGrid w:val="0"/>
              <w:jc w:val="center"/>
              <w:rPr>
                <w:szCs w:val="21"/>
                <w:highlight w:val="none"/>
              </w:rPr>
            </w:pPr>
            <w:r>
              <w:rPr>
                <w:rFonts w:hint="eastAsia"/>
                <w:szCs w:val="21"/>
                <w:highlight w:val="none"/>
              </w:rPr>
              <w:t>制造</w:t>
            </w:r>
          </w:p>
          <w:p>
            <w:pPr>
              <w:snapToGrid w:val="0"/>
              <w:jc w:val="center"/>
              <w:rPr>
                <w:szCs w:val="21"/>
                <w:highlight w:val="none"/>
              </w:rPr>
            </w:pPr>
            <w:r>
              <w:rPr>
                <w:rFonts w:hint="eastAsia"/>
                <w:szCs w:val="21"/>
                <w:highlight w:val="none"/>
              </w:rPr>
              <w:t>年份</w:t>
            </w:r>
          </w:p>
        </w:tc>
        <w:tc>
          <w:tcPr>
            <w:tcW w:w="1257" w:type="dxa"/>
            <w:vAlign w:val="center"/>
          </w:tcPr>
          <w:p>
            <w:pPr>
              <w:snapToGrid w:val="0"/>
              <w:jc w:val="center"/>
              <w:rPr>
                <w:szCs w:val="21"/>
                <w:highlight w:val="none"/>
              </w:rPr>
            </w:pPr>
            <w:r>
              <w:rPr>
                <w:rFonts w:hint="eastAsia"/>
                <w:szCs w:val="21"/>
                <w:highlight w:val="none"/>
              </w:rPr>
              <w:t>已使用台时</w:t>
            </w:r>
            <w:r>
              <w:rPr>
                <w:szCs w:val="21"/>
                <w:highlight w:val="none"/>
              </w:rPr>
              <w:t xml:space="preserve">    </w:t>
            </w:r>
            <w:r>
              <w:rPr>
                <w:rFonts w:hint="eastAsia"/>
                <w:szCs w:val="21"/>
                <w:highlight w:val="none"/>
              </w:rPr>
              <w:t>数</w:t>
            </w:r>
          </w:p>
        </w:tc>
        <w:tc>
          <w:tcPr>
            <w:tcW w:w="1713" w:type="dxa"/>
            <w:vAlign w:val="center"/>
          </w:tcPr>
          <w:p>
            <w:pPr>
              <w:snapToGrid w:val="0"/>
              <w:spacing w:beforeLines="50" w:afterLines="50"/>
              <w:jc w:val="center"/>
              <w:rPr>
                <w:szCs w:val="21"/>
                <w:highlight w:val="none"/>
              </w:rPr>
            </w:pPr>
            <w:r>
              <w:rPr>
                <w:rFonts w:hint="eastAsia"/>
                <w:szCs w:val="21"/>
                <w:highlight w:val="none"/>
              </w:rPr>
              <w:t>用</w:t>
            </w:r>
            <w:r>
              <w:rPr>
                <w:szCs w:val="21"/>
                <w:highlight w:val="none"/>
              </w:rPr>
              <w:t xml:space="preserve">  </w:t>
            </w:r>
            <w:r>
              <w:rPr>
                <w:rFonts w:hint="eastAsia"/>
                <w:szCs w:val="21"/>
                <w:highlight w:val="none"/>
              </w:rPr>
              <w:t>途</w:t>
            </w:r>
          </w:p>
        </w:tc>
        <w:tc>
          <w:tcPr>
            <w:tcW w:w="713" w:type="dxa"/>
            <w:vAlign w:val="center"/>
          </w:tcPr>
          <w:p>
            <w:pPr>
              <w:snapToGrid w:val="0"/>
              <w:spacing w:beforeLines="50" w:afterLines="50"/>
              <w:jc w:val="center"/>
              <w:rPr>
                <w:szCs w:val="21"/>
                <w:highlight w:val="none"/>
              </w:rPr>
            </w:pPr>
            <w:r>
              <w:rPr>
                <w:rFonts w:hint="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line="440" w:lineRule="exact"/>
              <w:jc w:val="center"/>
              <w:rPr>
                <w:szCs w:val="21"/>
                <w:highlight w:val="none"/>
              </w:rPr>
            </w:pPr>
          </w:p>
        </w:tc>
        <w:tc>
          <w:tcPr>
            <w:tcW w:w="1127" w:type="dxa"/>
            <w:vAlign w:val="center"/>
          </w:tcPr>
          <w:p>
            <w:pPr>
              <w:spacing w:line="440" w:lineRule="exact"/>
              <w:jc w:val="center"/>
              <w:rPr>
                <w:szCs w:val="21"/>
                <w:highlight w:val="none"/>
              </w:rPr>
            </w:pPr>
          </w:p>
        </w:tc>
        <w:tc>
          <w:tcPr>
            <w:tcW w:w="788" w:type="dxa"/>
            <w:vAlign w:val="center"/>
          </w:tcPr>
          <w:p>
            <w:pPr>
              <w:spacing w:line="440" w:lineRule="exact"/>
              <w:jc w:val="center"/>
              <w:rPr>
                <w:szCs w:val="21"/>
                <w:highlight w:val="none"/>
              </w:rPr>
            </w:pPr>
          </w:p>
        </w:tc>
        <w:tc>
          <w:tcPr>
            <w:tcW w:w="1027" w:type="dxa"/>
            <w:vAlign w:val="center"/>
          </w:tcPr>
          <w:p>
            <w:pPr>
              <w:spacing w:line="440" w:lineRule="exact"/>
              <w:jc w:val="center"/>
              <w:rPr>
                <w:szCs w:val="21"/>
                <w:highlight w:val="none"/>
              </w:rPr>
            </w:pPr>
          </w:p>
        </w:tc>
        <w:tc>
          <w:tcPr>
            <w:tcW w:w="697" w:type="dxa"/>
            <w:vAlign w:val="center"/>
          </w:tcPr>
          <w:p>
            <w:pPr>
              <w:snapToGrid w:val="0"/>
              <w:jc w:val="center"/>
              <w:rPr>
                <w:szCs w:val="21"/>
                <w:highlight w:val="none"/>
              </w:rPr>
            </w:pPr>
          </w:p>
        </w:tc>
        <w:tc>
          <w:tcPr>
            <w:tcW w:w="765" w:type="dxa"/>
            <w:vAlign w:val="center"/>
          </w:tcPr>
          <w:p>
            <w:pPr>
              <w:spacing w:line="440" w:lineRule="exact"/>
              <w:jc w:val="center"/>
              <w:rPr>
                <w:szCs w:val="21"/>
                <w:highlight w:val="none"/>
              </w:rPr>
            </w:pPr>
          </w:p>
        </w:tc>
        <w:tc>
          <w:tcPr>
            <w:tcW w:w="1257" w:type="dxa"/>
            <w:vAlign w:val="center"/>
          </w:tcPr>
          <w:p>
            <w:pPr>
              <w:spacing w:line="440" w:lineRule="exact"/>
              <w:jc w:val="center"/>
              <w:rPr>
                <w:szCs w:val="21"/>
                <w:highlight w:val="none"/>
              </w:rPr>
            </w:pPr>
          </w:p>
        </w:tc>
        <w:tc>
          <w:tcPr>
            <w:tcW w:w="1713" w:type="dxa"/>
            <w:vAlign w:val="center"/>
          </w:tcPr>
          <w:p>
            <w:pPr>
              <w:spacing w:line="440" w:lineRule="exact"/>
              <w:jc w:val="center"/>
              <w:rPr>
                <w:szCs w:val="21"/>
                <w:highlight w:val="none"/>
              </w:rPr>
            </w:pPr>
          </w:p>
        </w:tc>
        <w:tc>
          <w:tcPr>
            <w:tcW w:w="713"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vAlign w:val="center"/>
          </w:tcPr>
          <w:p>
            <w:pPr>
              <w:spacing w:line="440" w:lineRule="exact"/>
              <w:jc w:val="center"/>
              <w:rPr>
                <w:szCs w:val="21"/>
                <w:highlight w:val="none"/>
              </w:rPr>
            </w:pPr>
          </w:p>
        </w:tc>
        <w:tc>
          <w:tcPr>
            <w:tcW w:w="1127" w:type="dxa"/>
            <w:vAlign w:val="center"/>
          </w:tcPr>
          <w:p>
            <w:pPr>
              <w:spacing w:line="440" w:lineRule="exact"/>
              <w:jc w:val="center"/>
              <w:rPr>
                <w:szCs w:val="21"/>
                <w:highlight w:val="none"/>
              </w:rPr>
            </w:pPr>
          </w:p>
        </w:tc>
        <w:tc>
          <w:tcPr>
            <w:tcW w:w="788" w:type="dxa"/>
            <w:vAlign w:val="center"/>
          </w:tcPr>
          <w:p>
            <w:pPr>
              <w:spacing w:line="440" w:lineRule="exact"/>
              <w:jc w:val="center"/>
              <w:rPr>
                <w:szCs w:val="21"/>
                <w:highlight w:val="none"/>
              </w:rPr>
            </w:pPr>
          </w:p>
        </w:tc>
        <w:tc>
          <w:tcPr>
            <w:tcW w:w="1027" w:type="dxa"/>
            <w:vAlign w:val="center"/>
          </w:tcPr>
          <w:p>
            <w:pPr>
              <w:spacing w:line="440" w:lineRule="exact"/>
              <w:jc w:val="center"/>
              <w:rPr>
                <w:szCs w:val="21"/>
                <w:highlight w:val="none"/>
              </w:rPr>
            </w:pPr>
          </w:p>
        </w:tc>
        <w:tc>
          <w:tcPr>
            <w:tcW w:w="697" w:type="dxa"/>
            <w:vAlign w:val="center"/>
          </w:tcPr>
          <w:p>
            <w:pPr>
              <w:spacing w:line="440" w:lineRule="exact"/>
              <w:jc w:val="center"/>
              <w:rPr>
                <w:szCs w:val="21"/>
                <w:highlight w:val="none"/>
              </w:rPr>
            </w:pPr>
          </w:p>
        </w:tc>
        <w:tc>
          <w:tcPr>
            <w:tcW w:w="765" w:type="dxa"/>
            <w:vAlign w:val="center"/>
          </w:tcPr>
          <w:p>
            <w:pPr>
              <w:spacing w:line="440" w:lineRule="exact"/>
              <w:jc w:val="center"/>
              <w:rPr>
                <w:szCs w:val="21"/>
                <w:highlight w:val="none"/>
              </w:rPr>
            </w:pPr>
          </w:p>
        </w:tc>
        <w:tc>
          <w:tcPr>
            <w:tcW w:w="1257" w:type="dxa"/>
            <w:vAlign w:val="center"/>
          </w:tcPr>
          <w:p>
            <w:pPr>
              <w:spacing w:line="440" w:lineRule="exact"/>
              <w:jc w:val="center"/>
              <w:rPr>
                <w:szCs w:val="21"/>
                <w:highlight w:val="none"/>
              </w:rPr>
            </w:pPr>
          </w:p>
        </w:tc>
        <w:tc>
          <w:tcPr>
            <w:tcW w:w="1713" w:type="dxa"/>
            <w:vAlign w:val="center"/>
          </w:tcPr>
          <w:p>
            <w:pPr>
              <w:spacing w:line="440" w:lineRule="exact"/>
              <w:jc w:val="center"/>
              <w:rPr>
                <w:szCs w:val="21"/>
                <w:highlight w:val="none"/>
              </w:rPr>
            </w:pPr>
          </w:p>
        </w:tc>
        <w:tc>
          <w:tcPr>
            <w:tcW w:w="713"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0" w:type="dxa"/>
          </w:tcPr>
          <w:p>
            <w:pPr>
              <w:spacing w:line="440" w:lineRule="exact"/>
              <w:jc w:val="center"/>
              <w:rPr>
                <w:szCs w:val="21"/>
                <w:highlight w:val="none"/>
              </w:rPr>
            </w:pPr>
          </w:p>
        </w:tc>
        <w:tc>
          <w:tcPr>
            <w:tcW w:w="1127" w:type="dxa"/>
          </w:tcPr>
          <w:p>
            <w:pPr>
              <w:spacing w:line="440" w:lineRule="exact"/>
              <w:jc w:val="center"/>
              <w:rPr>
                <w:szCs w:val="21"/>
                <w:highlight w:val="none"/>
              </w:rPr>
            </w:pPr>
          </w:p>
        </w:tc>
        <w:tc>
          <w:tcPr>
            <w:tcW w:w="788" w:type="dxa"/>
          </w:tcPr>
          <w:p>
            <w:pPr>
              <w:spacing w:line="440" w:lineRule="exact"/>
              <w:jc w:val="center"/>
              <w:rPr>
                <w:szCs w:val="21"/>
                <w:highlight w:val="none"/>
              </w:rPr>
            </w:pPr>
          </w:p>
        </w:tc>
        <w:tc>
          <w:tcPr>
            <w:tcW w:w="1027" w:type="dxa"/>
          </w:tcPr>
          <w:p>
            <w:pPr>
              <w:spacing w:line="440" w:lineRule="exact"/>
              <w:jc w:val="center"/>
              <w:rPr>
                <w:szCs w:val="21"/>
                <w:highlight w:val="none"/>
              </w:rPr>
            </w:pPr>
          </w:p>
        </w:tc>
        <w:tc>
          <w:tcPr>
            <w:tcW w:w="697" w:type="dxa"/>
          </w:tcPr>
          <w:p>
            <w:pPr>
              <w:spacing w:line="440" w:lineRule="exact"/>
              <w:jc w:val="center"/>
              <w:rPr>
                <w:szCs w:val="21"/>
                <w:highlight w:val="none"/>
              </w:rPr>
            </w:pPr>
          </w:p>
        </w:tc>
        <w:tc>
          <w:tcPr>
            <w:tcW w:w="765" w:type="dxa"/>
          </w:tcPr>
          <w:p>
            <w:pPr>
              <w:spacing w:line="440" w:lineRule="exact"/>
              <w:jc w:val="center"/>
              <w:rPr>
                <w:szCs w:val="21"/>
                <w:highlight w:val="none"/>
              </w:rPr>
            </w:pPr>
          </w:p>
        </w:tc>
        <w:tc>
          <w:tcPr>
            <w:tcW w:w="1257" w:type="dxa"/>
          </w:tcPr>
          <w:p>
            <w:pPr>
              <w:spacing w:line="440" w:lineRule="exact"/>
              <w:jc w:val="center"/>
              <w:rPr>
                <w:szCs w:val="21"/>
                <w:highlight w:val="none"/>
              </w:rPr>
            </w:pPr>
          </w:p>
        </w:tc>
        <w:tc>
          <w:tcPr>
            <w:tcW w:w="1713" w:type="dxa"/>
          </w:tcPr>
          <w:p>
            <w:pPr>
              <w:spacing w:line="440" w:lineRule="exact"/>
              <w:jc w:val="center"/>
              <w:rPr>
                <w:szCs w:val="21"/>
                <w:highlight w:val="none"/>
              </w:rPr>
            </w:pPr>
          </w:p>
        </w:tc>
        <w:tc>
          <w:tcPr>
            <w:tcW w:w="713" w:type="dxa"/>
          </w:tcPr>
          <w:p>
            <w:pPr>
              <w:spacing w:line="440" w:lineRule="exact"/>
              <w:jc w:val="center"/>
              <w:rPr>
                <w:szCs w:val="21"/>
                <w:highlight w:val="none"/>
              </w:rPr>
            </w:pPr>
          </w:p>
        </w:tc>
      </w:tr>
    </w:tbl>
    <w:p>
      <w:pPr>
        <w:spacing w:line="440" w:lineRule="exact"/>
        <w:rPr>
          <w:rFonts w:eastAsia="黑体"/>
          <w:sz w:val="20"/>
          <w:highlight w:val="none"/>
        </w:rPr>
      </w:pPr>
    </w:p>
    <w:p>
      <w:pPr>
        <w:spacing w:line="440" w:lineRule="exact"/>
        <w:rPr>
          <w:rFonts w:eastAsia="黑体"/>
          <w:sz w:val="20"/>
          <w:highlight w:val="none"/>
        </w:rPr>
      </w:pPr>
    </w:p>
    <w:p>
      <w:pPr>
        <w:spacing w:line="440" w:lineRule="exact"/>
        <w:rPr>
          <w:rFonts w:eastAsia="黑体"/>
          <w:sz w:val="20"/>
          <w:highlight w:val="none"/>
        </w:rPr>
      </w:pPr>
    </w:p>
    <w:p>
      <w:pPr>
        <w:pStyle w:val="4"/>
        <w:ind w:left="720" w:hanging="720"/>
        <w:jc w:val="left"/>
        <w:rPr>
          <w:rFonts w:ascii="宋体" w:cs="Arial"/>
          <w:sz w:val="24"/>
          <w:szCs w:val="24"/>
          <w:highlight w:val="none"/>
        </w:rPr>
      </w:pPr>
      <w:bookmarkStart w:id="1206" w:name="_Toc455410474"/>
      <w:bookmarkStart w:id="1207" w:name="_Toc455410311"/>
      <w:r>
        <w:rPr>
          <w:rFonts w:hint="eastAsia" w:ascii="宋体" w:hAnsi="宋体" w:cs="Arial"/>
          <w:sz w:val="24"/>
          <w:szCs w:val="24"/>
          <w:highlight w:val="none"/>
        </w:rPr>
        <w:t>附表三：劳动力计划表</w:t>
      </w:r>
      <w:bookmarkEnd w:id="1206"/>
      <w:bookmarkEnd w:id="1207"/>
    </w:p>
    <w:p>
      <w:pPr>
        <w:spacing w:line="440" w:lineRule="exact"/>
        <w:ind w:right="200"/>
        <w:jc w:val="right"/>
        <w:rPr>
          <w:rFonts w:eastAsia="黑体"/>
          <w:szCs w:val="21"/>
          <w:highlight w:val="none"/>
        </w:rPr>
      </w:pPr>
      <w:r>
        <w:rPr>
          <w:rFonts w:hint="eastAsia" w:eastAsia="黑体"/>
          <w:szCs w:val="21"/>
          <w:highlight w:val="none"/>
        </w:rPr>
        <w:t>单位：人</w:t>
      </w:r>
    </w:p>
    <w:tbl>
      <w:tblPr>
        <w:tblStyle w:val="60"/>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352"/>
        <w:gridCol w:w="1104"/>
        <w:gridCol w:w="1104"/>
        <w:gridCol w:w="1104"/>
        <w:gridCol w:w="1104"/>
        <w:gridCol w:w="110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napToGrid w:val="0"/>
              <w:spacing w:beforeLines="50" w:afterLines="50"/>
              <w:jc w:val="center"/>
              <w:rPr>
                <w:szCs w:val="21"/>
                <w:highlight w:val="none"/>
              </w:rPr>
            </w:pPr>
            <w:r>
              <w:rPr>
                <w:rFonts w:hint="eastAsia"/>
                <w:szCs w:val="21"/>
                <w:highlight w:val="none"/>
              </w:rPr>
              <w:t>工种</w:t>
            </w:r>
          </w:p>
        </w:tc>
        <w:tc>
          <w:tcPr>
            <w:tcW w:w="7974" w:type="dxa"/>
            <w:gridSpan w:val="7"/>
            <w:vAlign w:val="center"/>
          </w:tcPr>
          <w:p>
            <w:pPr>
              <w:snapToGrid w:val="0"/>
              <w:spacing w:beforeLines="50" w:afterLines="50"/>
              <w:jc w:val="center"/>
              <w:rPr>
                <w:szCs w:val="21"/>
                <w:highlight w:val="none"/>
              </w:rPr>
            </w:pPr>
            <w:r>
              <w:rPr>
                <w:rFonts w:hint="eastAsia"/>
                <w:szCs w:val="21"/>
                <w:highlight w:val="none"/>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440" w:lineRule="exact"/>
              <w:jc w:val="center"/>
              <w:rPr>
                <w:szCs w:val="21"/>
                <w:highlight w:val="none"/>
              </w:rPr>
            </w:pPr>
          </w:p>
        </w:tc>
        <w:tc>
          <w:tcPr>
            <w:tcW w:w="1352"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2"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line="440" w:lineRule="exact"/>
              <w:jc w:val="center"/>
              <w:rPr>
                <w:szCs w:val="21"/>
                <w:highlight w:val="none"/>
              </w:rPr>
            </w:pPr>
          </w:p>
        </w:tc>
        <w:tc>
          <w:tcPr>
            <w:tcW w:w="1352"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4" w:type="dxa"/>
            <w:vAlign w:val="center"/>
          </w:tcPr>
          <w:p>
            <w:pPr>
              <w:spacing w:line="440" w:lineRule="exact"/>
              <w:jc w:val="center"/>
              <w:rPr>
                <w:szCs w:val="21"/>
                <w:highlight w:val="none"/>
              </w:rPr>
            </w:pPr>
          </w:p>
        </w:tc>
        <w:tc>
          <w:tcPr>
            <w:tcW w:w="1102" w:type="dxa"/>
            <w:vAlign w:val="center"/>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tcPr>
          <w:p>
            <w:pPr>
              <w:spacing w:line="440" w:lineRule="exact"/>
              <w:jc w:val="center"/>
              <w:rPr>
                <w:szCs w:val="21"/>
                <w:highlight w:val="none"/>
              </w:rPr>
            </w:pPr>
          </w:p>
        </w:tc>
        <w:tc>
          <w:tcPr>
            <w:tcW w:w="1352"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4" w:type="dxa"/>
          </w:tcPr>
          <w:p>
            <w:pPr>
              <w:spacing w:line="440" w:lineRule="exact"/>
              <w:jc w:val="center"/>
              <w:rPr>
                <w:szCs w:val="21"/>
                <w:highlight w:val="none"/>
              </w:rPr>
            </w:pPr>
          </w:p>
        </w:tc>
        <w:tc>
          <w:tcPr>
            <w:tcW w:w="1102" w:type="dxa"/>
          </w:tcPr>
          <w:p>
            <w:pPr>
              <w:spacing w:line="440" w:lineRule="exact"/>
              <w:jc w:val="center"/>
              <w:rPr>
                <w:szCs w:val="21"/>
                <w:highlight w:val="none"/>
              </w:rPr>
            </w:pPr>
          </w:p>
        </w:tc>
      </w:tr>
    </w:tbl>
    <w:p>
      <w:pPr>
        <w:tabs>
          <w:tab w:val="left" w:pos="720"/>
        </w:tabs>
        <w:spacing w:line="440" w:lineRule="exact"/>
        <w:ind w:firstLine="756" w:firstLineChars="360"/>
        <w:rPr>
          <w:szCs w:val="21"/>
          <w:highlight w:val="none"/>
        </w:rPr>
      </w:pPr>
    </w:p>
    <w:p>
      <w:pPr>
        <w:spacing w:line="440" w:lineRule="exact"/>
        <w:ind w:left="31680" w:hanging="315" w:hangingChars="150"/>
        <w:rPr>
          <w:rFonts w:ascii="宋体"/>
          <w:szCs w:val="21"/>
          <w:highlight w:val="none"/>
        </w:rPr>
        <w:sectPr>
          <w:pgSz w:w="11906" w:h="16838"/>
          <w:pgMar w:top="1361" w:right="1644" w:bottom="1191" w:left="1644" w:header="851" w:footer="992" w:gutter="0"/>
          <w:cols w:space="720" w:num="1"/>
          <w:docGrid w:linePitch="312" w:charSpace="0"/>
        </w:sectPr>
      </w:pPr>
    </w:p>
    <w:p>
      <w:pPr>
        <w:pStyle w:val="4"/>
        <w:ind w:left="720" w:hanging="720"/>
        <w:jc w:val="left"/>
        <w:rPr>
          <w:rFonts w:ascii="宋体" w:cs="Arial"/>
          <w:sz w:val="24"/>
          <w:szCs w:val="24"/>
          <w:highlight w:val="none"/>
        </w:rPr>
      </w:pPr>
      <w:bookmarkStart w:id="1208" w:name="_Toc455410312"/>
      <w:bookmarkStart w:id="1209" w:name="_Toc455410475"/>
      <w:r>
        <w:rPr>
          <w:rFonts w:hint="eastAsia" w:ascii="宋体" w:hAnsi="宋体" w:cs="Arial"/>
          <w:sz w:val="24"/>
          <w:szCs w:val="24"/>
          <w:highlight w:val="none"/>
        </w:rPr>
        <w:t>附表四：</w:t>
      </w:r>
      <w:bookmarkEnd w:id="1208"/>
      <w:bookmarkEnd w:id="1209"/>
      <w:r>
        <w:rPr>
          <w:rFonts w:hint="eastAsia" w:ascii="宋体" w:hAnsi="宋体" w:cs="Arial"/>
          <w:sz w:val="24"/>
          <w:szCs w:val="24"/>
          <w:highlight w:val="none"/>
        </w:rPr>
        <w:t>计划开、竣工日期和施工进度网络图</w:t>
      </w:r>
    </w:p>
    <w:p>
      <w:pPr>
        <w:spacing w:line="440" w:lineRule="exact"/>
        <w:rPr>
          <w:rFonts w:eastAsia="黑体"/>
          <w:sz w:val="20"/>
          <w:highlight w:val="none"/>
        </w:rPr>
      </w:pPr>
    </w:p>
    <w:p>
      <w:pPr>
        <w:spacing w:line="360" w:lineRule="auto"/>
        <w:ind w:firstLine="480" w:firstLineChars="200"/>
        <w:rPr>
          <w:rFonts w:ascii="宋体"/>
          <w:sz w:val="24"/>
          <w:highlight w:val="none"/>
        </w:rPr>
      </w:pPr>
      <w:r>
        <w:rPr>
          <w:rFonts w:ascii="宋体" w:hAnsi="宋体"/>
          <w:sz w:val="24"/>
          <w:highlight w:val="none"/>
        </w:rPr>
        <w:t xml:space="preserve">1. </w:t>
      </w:r>
      <w:r>
        <w:rPr>
          <w:rFonts w:hint="eastAsia" w:ascii="宋体" w:hAnsi="宋体"/>
          <w:sz w:val="24"/>
          <w:highlight w:val="none"/>
        </w:rPr>
        <w:t>投标人应递交施工进度网络图或施工进度表，说明按招标文件要求的计划工期进行施工的各个关键日期。</w:t>
      </w:r>
    </w:p>
    <w:p>
      <w:pPr>
        <w:pStyle w:val="17"/>
        <w:ind w:firstLine="0"/>
        <w:jc w:val="left"/>
        <w:rPr>
          <w:highlight w:val="none"/>
        </w:rPr>
      </w:pPr>
      <w:r>
        <w:rPr>
          <w:rFonts w:ascii="宋体" w:hAnsi="宋体"/>
          <w:b/>
          <w:highlight w:val="none"/>
        </w:rPr>
        <w:t xml:space="preserve">2. </w:t>
      </w:r>
      <w:r>
        <w:rPr>
          <w:rFonts w:hint="eastAsia" w:ascii="宋体" w:hAnsi="宋体"/>
          <w:b/>
          <w:highlight w:val="none"/>
        </w:rPr>
        <w:t>施工进度表可采用网络图和（或）横道图表示。</w:t>
      </w:r>
    </w:p>
    <w:p>
      <w:pPr>
        <w:pStyle w:val="17"/>
        <w:ind w:firstLine="0"/>
        <w:jc w:val="left"/>
        <w:rPr>
          <w:highlight w:val="none"/>
        </w:rPr>
      </w:pPr>
    </w:p>
    <w:p>
      <w:pPr>
        <w:pStyle w:val="17"/>
        <w:spacing w:line="432" w:lineRule="auto"/>
        <w:ind w:firstLine="0"/>
        <w:rPr>
          <w:b/>
          <w:szCs w:val="28"/>
          <w:highlight w:val="none"/>
        </w:rPr>
      </w:pPr>
    </w:p>
    <w:p>
      <w:pPr>
        <w:pStyle w:val="17"/>
        <w:spacing w:line="432" w:lineRule="auto"/>
        <w:ind w:firstLine="0"/>
        <w:rPr>
          <w:b/>
          <w:szCs w:val="28"/>
          <w:highlight w:val="none"/>
        </w:rPr>
      </w:pPr>
    </w:p>
    <w:p>
      <w:pPr>
        <w:pStyle w:val="17"/>
        <w:spacing w:line="432" w:lineRule="auto"/>
        <w:ind w:firstLine="0"/>
        <w:rPr>
          <w:b/>
          <w:szCs w:val="28"/>
          <w:highlight w:val="none"/>
        </w:rPr>
      </w:pPr>
    </w:p>
    <w:p>
      <w:pPr>
        <w:pStyle w:val="17"/>
        <w:spacing w:line="432" w:lineRule="auto"/>
        <w:ind w:firstLine="0"/>
        <w:rPr>
          <w:b/>
          <w:szCs w:val="28"/>
          <w:highlight w:val="none"/>
        </w:rPr>
      </w:pPr>
    </w:p>
    <w:p>
      <w:pPr>
        <w:pStyle w:val="17"/>
        <w:spacing w:line="432" w:lineRule="auto"/>
        <w:ind w:firstLine="0"/>
        <w:jc w:val="center"/>
        <w:rPr>
          <w:b/>
          <w:szCs w:val="28"/>
          <w:highlight w:val="none"/>
        </w:rPr>
      </w:pPr>
      <w:r>
        <w:rPr>
          <w:b/>
          <w:szCs w:val="28"/>
          <w:highlight w:val="none"/>
        </w:rPr>
        <w:br w:type="page"/>
      </w:r>
      <w:r>
        <w:rPr>
          <w:rFonts w:hint="eastAsia"/>
          <w:b/>
          <w:szCs w:val="28"/>
          <w:highlight w:val="none"/>
        </w:rPr>
        <w:t>附件</w:t>
      </w:r>
      <w:r>
        <w:rPr>
          <w:b/>
          <w:szCs w:val="28"/>
          <w:highlight w:val="none"/>
        </w:rPr>
        <w:t xml:space="preserve">5   </w:t>
      </w:r>
      <w:r>
        <w:rPr>
          <w:rFonts w:hint="eastAsia"/>
          <w:b/>
          <w:szCs w:val="28"/>
          <w:highlight w:val="none"/>
        </w:rPr>
        <w:t>报价人认为需要提供的其他文件</w:t>
      </w:r>
    </w:p>
    <w:p>
      <w:pPr>
        <w:pStyle w:val="17"/>
        <w:spacing w:line="432" w:lineRule="auto"/>
        <w:ind w:firstLine="0"/>
        <w:rPr>
          <w:szCs w:val="28"/>
          <w:highlight w:val="none"/>
        </w:rPr>
      </w:pPr>
      <w:r>
        <w:rPr>
          <w:rFonts w:hint="eastAsia"/>
          <w:szCs w:val="28"/>
          <w:highlight w:val="none"/>
        </w:rPr>
        <w:t>一、竞争性磋商文件中提到的其他文件</w:t>
      </w:r>
    </w:p>
    <w:p>
      <w:pPr>
        <w:pStyle w:val="17"/>
        <w:spacing w:line="432" w:lineRule="auto"/>
        <w:ind w:firstLine="0"/>
        <w:rPr>
          <w:szCs w:val="28"/>
          <w:highlight w:val="none"/>
        </w:rPr>
      </w:pPr>
      <w:r>
        <w:rPr>
          <w:rFonts w:hint="eastAsia"/>
          <w:szCs w:val="28"/>
          <w:highlight w:val="none"/>
        </w:rPr>
        <w:t>二、报价人提供的其他文件</w:t>
      </w:r>
    </w:p>
    <w:p>
      <w:pPr>
        <w:widowControl/>
        <w:jc w:val="left"/>
        <w:rPr>
          <w:sz w:val="24"/>
          <w:szCs w:val="24"/>
          <w:highlight w:val="none"/>
        </w:rPr>
      </w:pPr>
    </w:p>
    <w:p>
      <w:pPr>
        <w:rPr>
          <w:highlight w:val="none"/>
        </w:rPr>
      </w:pPr>
      <w:r>
        <w:rPr>
          <w:rFonts w:hint="eastAsia"/>
          <w:highlight w:val="none"/>
        </w:rPr>
        <w:t>注：“二、报价人提供的其它文件”必须包括以下文件：工程量清单</w:t>
      </w:r>
    </w:p>
    <w:p>
      <w:pPr>
        <w:spacing w:line="400" w:lineRule="atLeast"/>
        <w:rPr>
          <w:rFonts w:ascii="宋体"/>
          <w:b/>
          <w:sz w:val="24"/>
          <w:highlight w:val="none"/>
        </w:rPr>
      </w:pPr>
    </w:p>
    <w:p>
      <w:pPr>
        <w:spacing w:line="400" w:lineRule="atLeast"/>
        <w:rPr>
          <w:sz w:val="24"/>
          <w:highlight w:val="none"/>
        </w:rPr>
      </w:pPr>
      <w:r>
        <w:rPr>
          <w:rFonts w:hint="eastAsia" w:ascii="宋体" w:hAnsi="宋体"/>
          <w:b/>
          <w:sz w:val="24"/>
          <w:highlight w:val="none"/>
        </w:rPr>
        <w:t>备注：第四章</w:t>
      </w:r>
      <w:r>
        <w:rPr>
          <w:rFonts w:ascii="宋体" w:hAnsi="宋体"/>
          <w:b/>
          <w:sz w:val="24"/>
          <w:highlight w:val="none"/>
        </w:rPr>
        <w:t xml:space="preserve"> </w:t>
      </w:r>
      <w:r>
        <w:rPr>
          <w:rFonts w:hint="eastAsia" w:ascii="宋体" w:hAnsi="宋体"/>
          <w:b/>
          <w:sz w:val="24"/>
          <w:highlight w:val="none"/>
        </w:rPr>
        <w:t>二、项目工程量清单</w:t>
      </w:r>
      <w:r>
        <w:rPr>
          <w:rFonts w:ascii="宋体" w:hAnsi="宋体"/>
          <w:b/>
          <w:sz w:val="24"/>
          <w:highlight w:val="none"/>
        </w:rPr>
        <w:t xml:space="preserve">  </w:t>
      </w:r>
      <w:r>
        <w:rPr>
          <w:rFonts w:hint="eastAsia" w:ascii="宋体" w:hAnsi="宋体"/>
          <w:b/>
          <w:sz w:val="24"/>
          <w:highlight w:val="none"/>
        </w:rPr>
        <w:t>分部分项工程和单价措施项目清单与计价表中子目特征描述内容为设备或材料的规格参数。</w:t>
      </w:r>
    </w:p>
    <w:p>
      <w:pPr>
        <w:rPr>
          <w:b/>
          <w:highlight w:val="none"/>
        </w:rPr>
      </w:pPr>
    </w:p>
    <w:p>
      <w:pPr>
        <w:spacing w:line="400" w:lineRule="exact"/>
        <w:ind w:firstLine="420" w:firstLineChars="200"/>
        <w:rPr>
          <w:szCs w:val="21"/>
          <w:highlight w:val="none"/>
        </w:rPr>
      </w:pPr>
      <w:r>
        <w:rPr>
          <w:rFonts w:hint="eastAsia"/>
          <w:szCs w:val="21"/>
          <w:highlight w:val="none"/>
        </w:rPr>
        <w:t>工程量清单表包括下列表格：</w:t>
      </w:r>
    </w:p>
    <w:p>
      <w:pPr>
        <w:spacing w:line="400" w:lineRule="exact"/>
        <w:ind w:firstLine="420" w:firstLineChars="200"/>
        <w:rPr>
          <w:szCs w:val="21"/>
          <w:highlight w:val="none"/>
        </w:rPr>
      </w:pPr>
      <w:r>
        <w:rPr>
          <w:rFonts w:hint="eastAsia"/>
          <w:szCs w:val="21"/>
          <w:highlight w:val="none"/>
        </w:rPr>
        <w:t>表</w:t>
      </w:r>
      <w:r>
        <w:rPr>
          <w:szCs w:val="21"/>
          <w:highlight w:val="none"/>
        </w:rPr>
        <w:t xml:space="preserve">-04 </w:t>
      </w:r>
      <w:r>
        <w:rPr>
          <w:rFonts w:hint="eastAsia"/>
          <w:szCs w:val="21"/>
          <w:highlight w:val="none"/>
        </w:rPr>
        <w:t>单位工程投标报价汇总表</w:t>
      </w:r>
    </w:p>
    <w:p>
      <w:pPr>
        <w:spacing w:line="400" w:lineRule="exact"/>
        <w:ind w:firstLine="420" w:firstLineChars="200"/>
        <w:rPr>
          <w:szCs w:val="21"/>
          <w:highlight w:val="none"/>
        </w:rPr>
      </w:pPr>
      <w:r>
        <w:rPr>
          <w:rFonts w:hint="eastAsia"/>
          <w:szCs w:val="21"/>
          <w:highlight w:val="none"/>
        </w:rPr>
        <w:t>表</w:t>
      </w:r>
      <w:r>
        <w:rPr>
          <w:szCs w:val="21"/>
          <w:highlight w:val="none"/>
        </w:rPr>
        <w:t xml:space="preserve">-08 </w:t>
      </w:r>
      <w:r>
        <w:rPr>
          <w:rFonts w:hint="eastAsia"/>
          <w:szCs w:val="21"/>
          <w:highlight w:val="none"/>
        </w:rPr>
        <w:t>分部分项工程和单价措施项目清单与计价表</w:t>
      </w:r>
    </w:p>
    <w:p>
      <w:pPr>
        <w:spacing w:line="400" w:lineRule="exact"/>
        <w:ind w:firstLine="420" w:firstLineChars="200"/>
        <w:rPr>
          <w:szCs w:val="21"/>
          <w:highlight w:val="none"/>
        </w:rPr>
      </w:pPr>
      <w:r>
        <w:rPr>
          <w:rFonts w:hint="eastAsia"/>
          <w:szCs w:val="21"/>
          <w:highlight w:val="none"/>
        </w:rPr>
        <w:t>表</w:t>
      </w:r>
      <w:r>
        <w:rPr>
          <w:szCs w:val="21"/>
          <w:highlight w:val="none"/>
        </w:rPr>
        <w:t xml:space="preserve">-09 </w:t>
      </w:r>
      <w:r>
        <w:rPr>
          <w:rFonts w:hint="eastAsia"/>
          <w:szCs w:val="21"/>
          <w:highlight w:val="none"/>
        </w:rPr>
        <w:t>综合单价分析表（增值税下）</w:t>
      </w:r>
    </w:p>
    <w:p>
      <w:pPr>
        <w:spacing w:line="400" w:lineRule="exact"/>
        <w:ind w:firstLine="420" w:firstLineChars="200"/>
        <w:rPr>
          <w:szCs w:val="21"/>
          <w:highlight w:val="none"/>
        </w:rPr>
      </w:pPr>
      <w:r>
        <w:rPr>
          <w:rFonts w:hint="eastAsia"/>
          <w:szCs w:val="21"/>
          <w:highlight w:val="none"/>
        </w:rPr>
        <w:t>表</w:t>
      </w:r>
      <w:r>
        <w:rPr>
          <w:szCs w:val="21"/>
          <w:highlight w:val="none"/>
        </w:rPr>
        <w:t xml:space="preserve">-11 </w:t>
      </w:r>
      <w:r>
        <w:rPr>
          <w:rFonts w:hint="eastAsia"/>
          <w:szCs w:val="21"/>
          <w:highlight w:val="none"/>
        </w:rPr>
        <w:t>总价措施项目清单与计价表</w:t>
      </w:r>
    </w:p>
    <w:p>
      <w:pPr>
        <w:spacing w:line="400" w:lineRule="exact"/>
        <w:ind w:firstLine="420" w:firstLineChars="200"/>
        <w:rPr>
          <w:szCs w:val="21"/>
          <w:highlight w:val="none"/>
        </w:rPr>
      </w:pPr>
      <w:r>
        <w:rPr>
          <w:rFonts w:hint="eastAsia"/>
          <w:szCs w:val="21"/>
          <w:highlight w:val="none"/>
        </w:rPr>
        <w:t>表</w:t>
      </w:r>
      <w:r>
        <w:rPr>
          <w:szCs w:val="21"/>
          <w:highlight w:val="none"/>
        </w:rPr>
        <w:t xml:space="preserve">-12 </w:t>
      </w:r>
      <w:r>
        <w:rPr>
          <w:rFonts w:hint="eastAsia"/>
          <w:szCs w:val="21"/>
          <w:highlight w:val="none"/>
        </w:rPr>
        <w:t>其他项目清单与计价汇总表</w:t>
      </w:r>
    </w:p>
    <w:p>
      <w:pPr>
        <w:spacing w:line="400" w:lineRule="exact"/>
        <w:ind w:firstLine="420" w:firstLineChars="200"/>
        <w:rPr>
          <w:szCs w:val="21"/>
          <w:highlight w:val="none"/>
        </w:rPr>
      </w:pPr>
      <w:r>
        <w:rPr>
          <w:rFonts w:hint="eastAsia"/>
          <w:szCs w:val="21"/>
          <w:highlight w:val="none"/>
        </w:rPr>
        <w:t>表</w:t>
      </w:r>
      <w:r>
        <w:rPr>
          <w:szCs w:val="21"/>
          <w:highlight w:val="none"/>
        </w:rPr>
        <w:t xml:space="preserve">-13 </w:t>
      </w:r>
      <w:r>
        <w:rPr>
          <w:rFonts w:hint="eastAsia"/>
          <w:szCs w:val="21"/>
          <w:highlight w:val="none"/>
        </w:rPr>
        <w:t>规费、税金项目清单与计价表</w:t>
      </w:r>
    </w:p>
    <w:p>
      <w:pPr>
        <w:spacing w:line="400" w:lineRule="exact"/>
        <w:ind w:firstLine="420" w:firstLineChars="200"/>
        <w:rPr>
          <w:szCs w:val="21"/>
          <w:highlight w:val="none"/>
        </w:rPr>
      </w:pPr>
      <w:r>
        <w:rPr>
          <w:rFonts w:hint="eastAsia"/>
          <w:szCs w:val="21"/>
          <w:highlight w:val="none"/>
        </w:rPr>
        <w:t>常用</w:t>
      </w:r>
      <w:r>
        <w:rPr>
          <w:szCs w:val="21"/>
          <w:highlight w:val="none"/>
        </w:rPr>
        <w:t xml:space="preserve">-05 </w:t>
      </w:r>
      <w:r>
        <w:rPr>
          <w:rFonts w:hint="eastAsia"/>
          <w:szCs w:val="21"/>
          <w:highlight w:val="none"/>
        </w:rPr>
        <w:t>单位工程人材机汇总表</w:t>
      </w:r>
    </w:p>
    <w:p>
      <w:pPr>
        <w:spacing w:line="400" w:lineRule="exact"/>
        <w:ind w:firstLine="420" w:firstLineChars="200"/>
        <w:rPr>
          <w:szCs w:val="21"/>
          <w:highlight w:val="none"/>
        </w:rPr>
      </w:pPr>
      <w:r>
        <w:rPr>
          <w:szCs w:val="21"/>
          <w:highlight w:val="none"/>
        </w:rPr>
        <w:t xml:space="preserve">4.12 </w:t>
      </w:r>
      <w:r>
        <w:rPr>
          <w:rFonts w:hint="eastAsia"/>
          <w:szCs w:val="21"/>
          <w:highlight w:val="none"/>
        </w:rPr>
        <w:t>措施项目报价组成分析表</w:t>
      </w:r>
    </w:p>
    <w:p>
      <w:pPr>
        <w:spacing w:line="400" w:lineRule="exact"/>
        <w:ind w:firstLine="420" w:firstLineChars="200"/>
        <w:rPr>
          <w:szCs w:val="21"/>
          <w:highlight w:val="none"/>
        </w:rPr>
      </w:pPr>
      <w:r>
        <w:rPr>
          <w:szCs w:val="21"/>
          <w:highlight w:val="none"/>
        </w:rPr>
        <w:t xml:space="preserve">4.15 </w:t>
      </w:r>
      <w:r>
        <w:rPr>
          <w:rFonts w:hint="eastAsia"/>
          <w:szCs w:val="21"/>
          <w:highlight w:val="none"/>
        </w:rPr>
        <w:t>主要材料和工程设备选用表</w:t>
      </w:r>
    </w:p>
    <w:p>
      <w:pPr>
        <w:rPr>
          <w:highlight w:val="none"/>
        </w:rPr>
      </w:pPr>
    </w:p>
    <w:p>
      <w:pPr>
        <w:rPr>
          <w:highlight w:val="none"/>
        </w:rPr>
      </w:pPr>
    </w:p>
    <w:p>
      <w:pPr>
        <w:rPr>
          <w:highlight w:val="none"/>
        </w:rPr>
      </w:pPr>
      <w:r>
        <w:rPr>
          <w:rFonts w:hint="eastAsia"/>
          <w:highlight w:val="none"/>
        </w:rPr>
        <w:t>投标表格样式如下：</w:t>
      </w:r>
    </w:p>
    <w:p>
      <w:pPr>
        <w:rPr>
          <w:highlight w:val="none"/>
        </w:rPr>
      </w:pPr>
    </w:p>
    <w:tbl>
      <w:tblPr>
        <w:tblStyle w:val="60"/>
        <w:tblW w:w="8964" w:type="dxa"/>
        <w:tblInd w:w="108" w:type="dxa"/>
        <w:tblLayout w:type="fixed"/>
        <w:tblCellMar>
          <w:top w:w="0" w:type="dxa"/>
          <w:left w:w="108" w:type="dxa"/>
          <w:bottom w:w="0" w:type="dxa"/>
          <w:right w:w="108" w:type="dxa"/>
        </w:tblCellMar>
      </w:tblPr>
      <w:tblGrid>
        <w:gridCol w:w="1649"/>
        <w:gridCol w:w="4324"/>
        <w:gridCol w:w="1186"/>
        <w:gridCol w:w="530"/>
        <w:gridCol w:w="1275"/>
      </w:tblGrid>
      <w:tr>
        <w:tblPrEx>
          <w:tblLayout w:type="fixed"/>
          <w:tblCellMar>
            <w:top w:w="0" w:type="dxa"/>
            <w:left w:w="108" w:type="dxa"/>
            <w:bottom w:w="0" w:type="dxa"/>
            <w:right w:w="108" w:type="dxa"/>
          </w:tblCellMar>
        </w:tblPrEx>
        <w:trPr>
          <w:trHeight w:val="585" w:hRule="atLeast"/>
        </w:trPr>
        <w:tc>
          <w:tcPr>
            <w:tcW w:w="8964" w:type="dxa"/>
            <w:gridSpan w:val="5"/>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单位工程投标报价汇总表</w:t>
            </w:r>
          </w:p>
        </w:tc>
      </w:tr>
      <w:tr>
        <w:tblPrEx>
          <w:tblLayout w:type="fixed"/>
          <w:tblCellMar>
            <w:top w:w="0" w:type="dxa"/>
            <w:left w:w="108" w:type="dxa"/>
            <w:bottom w:w="0" w:type="dxa"/>
            <w:right w:w="108" w:type="dxa"/>
          </w:tblCellMar>
        </w:tblPrEx>
        <w:trPr>
          <w:trHeight w:val="510" w:hRule="atLeast"/>
        </w:trPr>
        <w:tc>
          <w:tcPr>
            <w:tcW w:w="5973" w:type="dxa"/>
            <w:gridSpan w:val="2"/>
            <w:tcBorders>
              <w:top w:val="nil"/>
              <w:left w:val="nil"/>
              <w:bottom w:val="nil"/>
              <w:right w:val="nil"/>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工程名称：</w:t>
            </w:r>
            <w:r>
              <w:rPr>
                <w:rFonts w:ascii="宋体" w:hAnsi="宋体" w:cs="宋体"/>
                <w:kern w:val="0"/>
                <w:sz w:val="18"/>
                <w:szCs w:val="18"/>
                <w:highlight w:val="none"/>
              </w:rPr>
              <w:t xml:space="preserve"> </w:t>
            </w:r>
          </w:p>
        </w:tc>
        <w:tc>
          <w:tcPr>
            <w:tcW w:w="1186" w:type="dxa"/>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805" w:type="dxa"/>
            <w:gridSpan w:val="2"/>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450" w:hRule="atLeast"/>
        </w:trPr>
        <w:tc>
          <w:tcPr>
            <w:tcW w:w="164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432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汇总内容</w:t>
            </w:r>
          </w:p>
        </w:tc>
        <w:tc>
          <w:tcPr>
            <w:tcW w:w="1716"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金额</w:t>
            </w:r>
            <w:r>
              <w:rPr>
                <w:rFonts w:ascii="宋体" w:hAnsi="宋体" w:cs="宋体"/>
                <w:kern w:val="0"/>
                <w:sz w:val="18"/>
                <w:szCs w:val="18"/>
                <w:highlight w:val="none"/>
              </w:rPr>
              <w:t>(</w:t>
            </w:r>
            <w:r>
              <w:rPr>
                <w:rFonts w:hint="eastAsia" w:ascii="宋体" w:hAnsi="宋体" w:cs="宋体"/>
                <w:kern w:val="0"/>
                <w:sz w:val="18"/>
                <w:szCs w:val="18"/>
                <w:highlight w:val="none"/>
              </w:rPr>
              <w:t>元</w:t>
            </w:r>
            <w:r>
              <w:rPr>
                <w:rFonts w:ascii="宋体" w:hAnsi="宋体" w:cs="宋体"/>
                <w:kern w:val="0"/>
                <w:sz w:val="18"/>
                <w:szCs w:val="18"/>
                <w:highlight w:val="none"/>
              </w:rPr>
              <w:t>)</w:t>
            </w:r>
          </w:p>
        </w:tc>
        <w:tc>
          <w:tcPr>
            <w:tcW w:w="1275"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暂估价</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分部分项工程</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1.1</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前端设备</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其中</w:t>
            </w:r>
            <w:r>
              <w:rPr>
                <w:rFonts w:ascii="宋体" w:hAnsi="宋体" w:cs="宋体"/>
                <w:kern w:val="0"/>
                <w:sz w:val="18"/>
                <w:szCs w:val="18"/>
                <w:highlight w:val="none"/>
              </w:rPr>
              <w:t xml:space="preserve"> </w:t>
            </w:r>
            <w:r>
              <w:rPr>
                <w:rFonts w:hint="eastAsia" w:ascii="宋体" w:hAnsi="宋体" w:cs="宋体"/>
                <w:kern w:val="0"/>
                <w:sz w:val="18"/>
                <w:szCs w:val="18"/>
                <w:highlight w:val="none"/>
              </w:rPr>
              <w:t>：弃土或渣土运输和消纳费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1.2</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网络传输系统</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其中</w:t>
            </w:r>
            <w:r>
              <w:rPr>
                <w:rFonts w:ascii="宋体" w:hAnsi="宋体" w:cs="宋体"/>
                <w:kern w:val="0"/>
                <w:sz w:val="18"/>
                <w:szCs w:val="18"/>
                <w:highlight w:val="none"/>
              </w:rPr>
              <w:t xml:space="preserve"> </w:t>
            </w:r>
            <w:r>
              <w:rPr>
                <w:rFonts w:hint="eastAsia" w:ascii="宋体" w:hAnsi="宋体" w:cs="宋体"/>
                <w:kern w:val="0"/>
                <w:sz w:val="18"/>
                <w:szCs w:val="18"/>
                <w:highlight w:val="none"/>
              </w:rPr>
              <w:t>：弃土或渣土运输和消纳费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1.3</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中控室平台和存储系统</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其中</w:t>
            </w:r>
            <w:r>
              <w:rPr>
                <w:rFonts w:ascii="宋体" w:hAnsi="宋体" w:cs="宋体"/>
                <w:kern w:val="0"/>
                <w:sz w:val="18"/>
                <w:szCs w:val="18"/>
                <w:highlight w:val="none"/>
              </w:rPr>
              <w:t xml:space="preserve"> </w:t>
            </w:r>
            <w:r>
              <w:rPr>
                <w:rFonts w:hint="eastAsia" w:ascii="宋体" w:hAnsi="宋体" w:cs="宋体"/>
                <w:kern w:val="0"/>
                <w:sz w:val="18"/>
                <w:szCs w:val="18"/>
                <w:highlight w:val="none"/>
              </w:rPr>
              <w:t>：弃土或渣土运输和消纳费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1.4</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路由建设</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其中</w:t>
            </w:r>
            <w:r>
              <w:rPr>
                <w:rFonts w:ascii="宋体" w:hAnsi="宋体" w:cs="宋体"/>
                <w:kern w:val="0"/>
                <w:sz w:val="18"/>
                <w:szCs w:val="18"/>
                <w:highlight w:val="none"/>
              </w:rPr>
              <w:t xml:space="preserve"> </w:t>
            </w:r>
            <w:r>
              <w:rPr>
                <w:rFonts w:hint="eastAsia" w:ascii="宋体" w:hAnsi="宋体" w:cs="宋体"/>
                <w:kern w:val="0"/>
                <w:sz w:val="18"/>
                <w:szCs w:val="18"/>
                <w:highlight w:val="none"/>
              </w:rPr>
              <w:t>：弃土或渣土运输和消纳费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措施项目</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2.2</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ascii="宋体" w:hAnsi="宋体" w:cs="宋体"/>
                <w:kern w:val="0"/>
                <w:sz w:val="18"/>
                <w:szCs w:val="18"/>
                <w:highlight w:val="none"/>
              </w:rPr>
              <w:t xml:space="preserve"> </w:t>
            </w:r>
            <w:r>
              <w:rPr>
                <w:rFonts w:hint="eastAsia" w:ascii="宋体" w:hAnsi="宋体" w:cs="宋体"/>
                <w:kern w:val="0"/>
                <w:sz w:val="18"/>
                <w:szCs w:val="18"/>
                <w:highlight w:val="none"/>
              </w:rPr>
              <w:t>其中：安全文明施工费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其他项目</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3.1</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highlight w:val="none"/>
              </w:rPr>
            </w:pPr>
            <w:r>
              <w:rPr>
                <w:rFonts w:ascii="宋体" w:hAnsi="宋体" w:cs="宋体"/>
                <w:kern w:val="0"/>
                <w:sz w:val="18"/>
                <w:szCs w:val="18"/>
                <w:highlight w:val="none"/>
              </w:rPr>
              <w:t xml:space="preserve"> </w:t>
            </w:r>
            <w:r>
              <w:rPr>
                <w:rFonts w:hint="eastAsia" w:ascii="宋体" w:hAnsi="宋体" w:cs="宋体"/>
                <w:kern w:val="0"/>
                <w:sz w:val="18"/>
                <w:szCs w:val="18"/>
                <w:highlight w:val="none"/>
              </w:rPr>
              <w:t>其中：暂列金额</w:t>
            </w:r>
            <w:r>
              <w:rPr>
                <w:rFonts w:ascii="宋体" w:hAnsi="宋体" w:cs="宋体"/>
                <w:kern w:val="0"/>
                <w:sz w:val="18"/>
                <w:szCs w:val="18"/>
                <w:highlight w:val="none"/>
              </w:rPr>
              <w:t>(</w:t>
            </w:r>
            <w:r>
              <w:rPr>
                <w:rFonts w:hint="eastAsia" w:ascii="宋体" w:hAnsi="宋体" w:cs="宋体"/>
                <w:kern w:val="0"/>
                <w:sz w:val="18"/>
                <w:szCs w:val="18"/>
                <w:highlight w:val="none"/>
              </w:rPr>
              <w:t>不包括计日工</w:t>
            </w:r>
            <w:r>
              <w:rPr>
                <w:rFonts w:ascii="宋体" w:hAnsi="宋体" w:cs="宋体"/>
                <w:kern w:val="0"/>
                <w:sz w:val="18"/>
                <w:szCs w:val="18"/>
                <w:highlight w:val="none"/>
              </w:rPr>
              <w:t>)</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3.2</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ascii="宋体" w:hAnsi="宋体" w:cs="宋体"/>
                <w:kern w:val="0"/>
                <w:sz w:val="18"/>
                <w:szCs w:val="18"/>
                <w:highlight w:val="none"/>
              </w:rPr>
              <w:t xml:space="preserve"> </w:t>
            </w:r>
            <w:r>
              <w:rPr>
                <w:rFonts w:hint="eastAsia" w:ascii="宋体" w:hAnsi="宋体" w:cs="宋体"/>
                <w:kern w:val="0"/>
                <w:sz w:val="18"/>
                <w:szCs w:val="18"/>
                <w:highlight w:val="none"/>
              </w:rPr>
              <w:t>其中：专业工程暂估价</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3.3</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ascii="宋体" w:hAnsi="宋体" w:cs="宋体"/>
                <w:kern w:val="0"/>
                <w:sz w:val="18"/>
                <w:szCs w:val="18"/>
                <w:highlight w:val="none"/>
              </w:rPr>
              <w:t xml:space="preserve"> </w:t>
            </w:r>
            <w:r>
              <w:rPr>
                <w:rFonts w:hint="eastAsia" w:ascii="宋体" w:hAnsi="宋体" w:cs="宋体"/>
                <w:kern w:val="0"/>
                <w:sz w:val="18"/>
                <w:szCs w:val="18"/>
                <w:highlight w:val="none"/>
              </w:rPr>
              <w:t>其中：计日工</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3.4</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ascii="宋体" w:hAnsi="宋体" w:cs="宋体"/>
                <w:kern w:val="0"/>
                <w:sz w:val="18"/>
                <w:szCs w:val="18"/>
                <w:highlight w:val="none"/>
              </w:rPr>
              <w:t xml:space="preserve"> </w:t>
            </w:r>
            <w:r>
              <w:rPr>
                <w:rFonts w:hint="eastAsia" w:ascii="宋体" w:hAnsi="宋体" w:cs="宋体"/>
                <w:kern w:val="0"/>
                <w:sz w:val="18"/>
                <w:szCs w:val="18"/>
                <w:highlight w:val="none"/>
              </w:rPr>
              <w:t>其中：总承包服务费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4</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规费</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5</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税金</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450" w:hRule="atLeast"/>
        </w:trPr>
        <w:tc>
          <w:tcPr>
            <w:tcW w:w="164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324"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716"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275"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5973" w:type="dxa"/>
            <w:gridSpan w:val="2"/>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投标报价合计</w:t>
            </w:r>
            <w:r>
              <w:rPr>
                <w:rFonts w:ascii="宋体" w:hAnsi="宋体" w:cs="宋体"/>
                <w:kern w:val="0"/>
                <w:sz w:val="18"/>
                <w:szCs w:val="18"/>
                <w:highlight w:val="none"/>
              </w:rPr>
              <w:t>=1+2+3+4+5</w:t>
            </w:r>
          </w:p>
        </w:tc>
        <w:tc>
          <w:tcPr>
            <w:tcW w:w="1186" w:type="dxa"/>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1805" w:type="dxa"/>
            <w:gridSpan w:val="2"/>
            <w:tcBorders>
              <w:top w:val="nil"/>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5973" w:type="dxa"/>
            <w:gridSpan w:val="2"/>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6" w:type="dxa"/>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805" w:type="dxa"/>
            <w:gridSpan w:val="2"/>
            <w:tcBorders>
              <w:top w:val="nil"/>
              <w:left w:val="nil"/>
              <w:bottom w:val="nil"/>
              <w:right w:val="nil"/>
            </w:tcBorders>
            <w:shd w:val="clear" w:color="FFFFFF" w:fill="FFFFFF"/>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表</w:t>
            </w:r>
            <w:r>
              <w:rPr>
                <w:rFonts w:ascii="宋体" w:hAnsi="宋体" w:cs="宋体"/>
                <w:kern w:val="0"/>
                <w:sz w:val="18"/>
                <w:szCs w:val="18"/>
                <w:highlight w:val="none"/>
              </w:rPr>
              <w:t>—04</w:t>
            </w:r>
          </w:p>
        </w:tc>
      </w:tr>
    </w:tbl>
    <w:p>
      <w:pPr>
        <w:rPr>
          <w:highlight w:val="none"/>
        </w:rPr>
      </w:pPr>
    </w:p>
    <w:p>
      <w:pPr>
        <w:rPr>
          <w:highlight w:val="none"/>
        </w:rPr>
      </w:pPr>
    </w:p>
    <w:tbl>
      <w:tblPr>
        <w:tblStyle w:val="60"/>
        <w:tblW w:w="8612" w:type="dxa"/>
        <w:tblInd w:w="108" w:type="dxa"/>
        <w:tblLayout w:type="fixed"/>
        <w:tblCellMar>
          <w:top w:w="0" w:type="dxa"/>
          <w:left w:w="108" w:type="dxa"/>
          <w:bottom w:w="0" w:type="dxa"/>
          <w:right w:w="108" w:type="dxa"/>
        </w:tblCellMar>
      </w:tblPr>
      <w:tblGrid>
        <w:gridCol w:w="592"/>
        <w:gridCol w:w="906"/>
        <w:gridCol w:w="906"/>
        <w:gridCol w:w="1222"/>
        <w:gridCol w:w="907"/>
        <w:gridCol w:w="750"/>
        <w:gridCol w:w="907"/>
        <w:gridCol w:w="1510"/>
        <w:gridCol w:w="338"/>
        <w:gridCol w:w="338"/>
        <w:gridCol w:w="236"/>
      </w:tblGrid>
      <w:tr>
        <w:tblPrEx>
          <w:tblLayout w:type="fixed"/>
          <w:tblCellMar>
            <w:top w:w="0" w:type="dxa"/>
            <w:left w:w="108" w:type="dxa"/>
            <w:bottom w:w="0" w:type="dxa"/>
            <w:right w:w="108" w:type="dxa"/>
          </w:tblCellMar>
        </w:tblPrEx>
        <w:trPr>
          <w:gridAfter w:val="2"/>
          <w:wAfter w:w="574" w:type="dxa"/>
          <w:trHeight w:val="585" w:hRule="atLeast"/>
        </w:trPr>
        <w:tc>
          <w:tcPr>
            <w:tcW w:w="8038" w:type="dxa"/>
            <w:gridSpan w:val="9"/>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分部分项工程和单价措施项目清单与计价表</w:t>
            </w:r>
          </w:p>
        </w:tc>
      </w:tr>
      <w:tr>
        <w:tblPrEx>
          <w:tblLayout w:type="fixed"/>
          <w:tblCellMar>
            <w:top w:w="0" w:type="dxa"/>
            <w:left w:w="108" w:type="dxa"/>
            <w:bottom w:w="0" w:type="dxa"/>
            <w:right w:w="108" w:type="dxa"/>
          </w:tblCellMar>
        </w:tblPrEx>
        <w:trPr>
          <w:gridAfter w:val="2"/>
          <w:wAfter w:w="574" w:type="dxa"/>
          <w:trHeight w:val="735" w:hRule="atLeast"/>
        </w:trPr>
        <w:tc>
          <w:tcPr>
            <w:tcW w:w="4533" w:type="dxa"/>
            <w:gridSpan w:val="5"/>
            <w:tcBorders>
              <w:top w:val="nil"/>
              <w:left w:val="nil"/>
              <w:bottom w:val="nil"/>
              <w:right w:val="nil"/>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工程名称：</w:t>
            </w:r>
            <w:r>
              <w:rPr>
                <w:rFonts w:ascii="宋体" w:hAnsi="宋体" w:cs="宋体"/>
                <w:kern w:val="0"/>
                <w:sz w:val="18"/>
                <w:szCs w:val="18"/>
                <w:highlight w:val="none"/>
              </w:rPr>
              <w:t xml:space="preserve"> </w:t>
            </w:r>
          </w:p>
        </w:tc>
        <w:tc>
          <w:tcPr>
            <w:tcW w:w="1657" w:type="dxa"/>
            <w:gridSpan w:val="2"/>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848" w:type="dxa"/>
            <w:gridSpan w:val="2"/>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360" w:hRule="atLeast"/>
        </w:trPr>
        <w:tc>
          <w:tcPr>
            <w:tcW w:w="592"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90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子目编码</w:t>
            </w:r>
          </w:p>
        </w:tc>
        <w:tc>
          <w:tcPr>
            <w:tcW w:w="90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子目名称</w:t>
            </w:r>
          </w:p>
        </w:tc>
        <w:tc>
          <w:tcPr>
            <w:tcW w:w="122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子目特征描述</w:t>
            </w:r>
          </w:p>
        </w:tc>
        <w:tc>
          <w:tcPr>
            <w:tcW w:w="9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计量单位</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工程量</w:t>
            </w:r>
          </w:p>
        </w:tc>
        <w:tc>
          <w:tcPr>
            <w:tcW w:w="3093" w:type="dxa"/>
            <w:gridSpan w:val="4"/>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金额（元）</w:t>
            </w:r>
          </w:p>
        </w:tc>
        <w:tc>
          <w:tcPr>
            <w:tcW w:w="236" w:type="dxa"/>
            <w:tcBorders>
              <w:top w:val="nil"/>
              <w:left w:val="nil"/>
              <w:bottom w:val="nil"/>
              <w:right w:val="nil"/>
            </w:tcBorders>
            <w:vAlign w:val="bottom"/>
          </w:tcPr>
          <w:p>
            <w:pPr>
              <w:widowControl/>
              <w:jc w:val="center"/>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360" w:hRule="atLeast"/>
        </w:trPr>
        <w:tc>
          <w:tcPr>
            <w:tcW w:w="592"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122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7"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75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综合单价</w:t>
            </w:r>
          </w:p>
        </w:tc>
        <w:tc>
          <w:tcPr>
            <w:tcW w:w="151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合价</w:t>
            </w:r>
          </w:p>
        </w:tc>
        <w:tc>
          <w:tcPr>
            <w:tcW w:w="6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其中</w:t>
            </w:r>
          </w:p>
        </w:tc>
        <w:tc>
          <w:tcPr>
            <w:tcW w:w="236" w:type="dxa"/>
            <w:tcBorders>
              <w:top w:val="nil"/>
              <w:left w:val="nil"/>
              <w:bottom w:val="nil"/>
              <w:right w:val="nil"/>
            </w:tcBorders>
            <w:vAlign w:val="bottom"/>
          </w:tcPr>
          <w:p>
            <w:pPr>
              <w:widowControl/>
              <w:jc w:val="center"/>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360" w:hRule="atLeast"/>
        </w:trPr>
        <w:tc>
          <w:tcPr>
            <w:tcW w:w="592"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6"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1222"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7"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750"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151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6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暂估价</w:t>
            </w:r>
          </w:p>
        </w:tc>
        <w:tc>
          <w:tcPr>
            <w:tcW w:w="236" w:type="dxa"/>
            <w:tcBorders>
              <w:top w:val="nil"/>
              <w:left w:val="nil"/>
              <w:bottom w:val="nil"/>
              <w:right w:val="nil"/>
            </w:tcBorders>
            <w:vAlign w:val="bottom"/>
          </w:tcPr>
          <w:p>
            <w:pPr>
              <w:widowControl/>
              <w:jc w:val="center"/>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360" w:hRule="atLeast"/>
        </w:trPr>
        <w:tc>
          <w:tcPr>
            <w:tcW w:w="592"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0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06"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122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07"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5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07"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1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76" w:type="dxa"/>
            <w:gridSpan w:val="2"/>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236" w:type="dxa"/>
            <w:tcBorders>
              <w:top w:val="nil"/>
              <w:left w:val="nil"/>
              <w:bottom w:val="nil"/>
              <w:right w:val="nil"/>
            </w:tcBorders>
            <w:vAlign w:val="bottom"/>
          </w:tcPr>
          <w:p>
            <w:pPr>
              <w:widowControl/>
              <w:jc w:val="righ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6360" w:hRule="atLeast"/>
        </w:trPr>
        <w:tc>
          <w:tcPr>
            <w:tcW w:w="59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90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p>
        </w:tc>
        <w:tc>
          <w:tcPr>
            <w:tcW w:w="906"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122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90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台</w:t>
            </w:r>
          </w:p>
        </w:tc>
        <w:tc>
          <w:tcPr>
            <w:tcW w:w="75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07"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1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76" w:type="dxa"/>
            <w:gridSpan w:val="2"/>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236" w:type="dxa"/>
            <w:tcBorders>
              <w:top w:val="nil"/>
              <w:left w:val="nil"/>
              <w:bottom w:val="nil"/>
              <w:right w:val="nil"/>
            </w:tcBorders>
            <w:vAlign w:val="bottom"/>
          </w:tcPr>
          <w:p>
            <w:pPr>
              <w:widowControl/>
              <w:jc w:val="righ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960" w:hRule="atLeast"/>
        </w:trPr>
        <w:tc>
          <w:tcPr>
            <w:tcW w:w="59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90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p>
        </w:tc>
        <w:tc>
          <w:tcPr>
            <w:tcW w:w="906"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122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90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台</w:t>
            </w:r>
          </w:p>
        </w:tc>
        <w:tc>
          <w:tcPr>
            <w:tcW w:w="75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07"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1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76" w:type="dxa"/>
            <w:gridSpan w:val="2"/>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236" w:type="dxa"/>
            <w:tcBorders>
              <w:top w:val="nil"/>
              <w:left w:val="nil"/>
              <w:bottom w:val="nil"/>
              <w:right w:val="nil"/>
            </w:tcBorders>
            <w:vAlign w:val="bottom"/>
          </w:tcPr>
          <w:p>
            <w:pPr>
              <w:widowControl/>
              <w:jc w:val="righ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960" w:hRule="atLeast"/>
        </w:trPr>
        <w:tc>
          <w:tcPr>
            <w:tcW w:w="592"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w:t>
            </w:r>
          </w:p>
        </w:tc>
        <w:tc>
          <w:tcPr>
            <w:tcW w:w="90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p>
        </w:tc>
        <w:tc>
          <w:tcPr>
            <w:tcW w:w="906"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122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p>
        </w:tc>
        <w:tc>
          <w:tcPr>
            <w:tcW w:w="90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台</w:t>
            </w:r>
          </w:p>
        </w:tc>
        <w:tc>
          <w:tcPr>
            <w:tcW w:w="750"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07"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1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76" w:type="dxa"/>
            <w:gridSpan w:val="2"/>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236" w:type="dxa"/>
            <w:tcBorders>
              <w:top w:val="nil"/>
              <w:left w:val="nil"/>
              <w:bottom w:val="nil"/>
              <w:right w:val="nil"/>
            </w:tcBorders>
            <w:vAlign w:val="bottom"/>
          </w:tcPr>
          <w:p>
            <w:pPr>
              <w:widowControl/>
              <w:jc w:val="righ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360" w:hRule="atLeast"/>
        </w:trPr>
        <w:tc>
          <w:tcPr>
            <w:tcW w:w="6190" w:type="dxa"/>
            <w:gridSpan w:val="7"/>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本页小计</w:t>
            </w:r>
          </w:p>
        </w:tc>
        <w:tc>
          <w:tcPr>
            <w:tcW w:w="151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76" w:type="dxa"/>
            <w:gridSpan w:val="2"/>
            <w:tcBorders>
              <w:top w:val="nil"/>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236" w:type="dxa"/>
            <w:tcBorders>
              <w:top w:val="nil"/>
              <w:left w:val="nil"/>
              <w:bottom w:val="nil"/>
              <w:right w:val="nil"/>
            </w:tcBorders>
            <w:vAlign w:val="bottom"/>
          </w:tcPr>
          <w:p>
            <w:pPr>
              <w:widowControl/>
              <w:jc w:val="right"/>
              <w:rPr>
                <w:rFonts w:ascii="宋体" w:cs="宋体"/>
                <w:kern w:val="0"/>
                <w:sz w:val="18"/>
                <w:szCs w:val="18"/>
                <w:highlight w:val="none"/>
              </w:rPr>
            </w:pPr>
          </w:p>
        </w:tc>
      </w:tr>
      <w:tr>
        <w:tblPrEx>
          <w:tblLayout w:type="fixed"/>
          <w:tblCellMar>
            <w:top w:w="0" w:type="dxa"/>
            <w:left w:w="108" w:type="dxa"/>
            <w:bottom w:w="0" w:type="dxa"/>
            <w:right w:w="108" w:type="dxa"/>
          </w:tblCellMar>
        </w:tblPrEx>
        <w:trPr>
          <w:gridAfter w:val="2"/>
          <w:wAfter w:w="574" w:type="dxa"/>
          <w:trHeight w:val="525" w:hRule="atLeast"/>
        </w:trPr>
        <w:tc>
          <w:tcPr>
            <w:tcW w:w="8038" w:type="dxa"/>
            <w:gridSpan w:val="9"/>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注：为计取规费等的使用，可在表中增设其中：“定额人工费”。</w:t>
            </w:r>
          </w:p>
        </w:tc>
      </w:tr>
      <w:tr>
        <w:tblPrEx>
          <w:tblLayout w:type="fixed"/>
          <w:tblCellMar>
            <w:top w:w="0" w:type="dxa"/>
            <w:left w:w="108" w:type="dxa"/>
            <w:bottom w:w="0" w:type="dxa"/>
            <w:right w:w="108" w:type="dxa"/>
          </w:tblCellMar>
        </w:tblPrEx>
        <w:trPr>
          <w:gridAfter w:val="2"/>
          <w:wAfter w:w="574" w:type="dxa"/>
          <w:trHeight w:val="375" w:hRule="atLeast"/>
        </w:trPr>
        <w:tc>
          <w:tcPr>
            <w:tcW w:w="4533" w:type="dxa"/>
            <w:gridSpan w:val="5"/>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657" w:type="dxa"/>
            <w:gridSpan w:val="2"/>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848" w:type="dxa"/>
            <w:gridSpan w:val="2"/>
            <w:tcBorders>
              <w:top w:val="nil"/>
              <w:left w:val="nil"/>
              <w:bottom w:val="nil"/>
              <w:right w:val="nil"/>
            </w:tcBorders>
            <w:shd w:val="clear" w:color="FFFFFF" w:fill="FFFFFF"/>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表</w:t>
            </w:r>
            <w:r>
              <w:rPr>
                <w:rFonts w:ascii="宋体" w:hAnsi="宋体" w:cs="宋体"/>
                <w:kern w:val="0"/>
                <w:sz w:val="18"/>
                <w:szCs w:val="18"/>
                <w:highlight w:val="none"/>
              </w:rPr>
              <w:t>—08</w:t>
            </w:r>
          </w:p>
        </w:tc>
      </w:tr>
    </w:tbl>
    <w:p>
      <w:pPr>
        <w:rPr>
          <w:highlight w:val="none"/>
        </w:rPr>
      </w:pPr>
    </w:p>
    <w:tbl>
      <w:tblPr>
        <w:tblStyle w:val="60"/>
        <w:tblW w:w="8612" w:type="dxa"/>
        <w:tblInd w:w="108" w:type="dxa"/>
        <w:tblLayout w:type="fixed"/>
        <w:tblCellMar>
          <w:top w:w="0" w:type="dxa"/>
          <w:left w:w="108" w:type="dxa"/>
          <w:bottom w:w="0" w:type="dxa"/>
          <w:right w:w="108" w:type="dxa"/>
        </w:tblCellMar>
      </w:tblPr>
      <w:tblGrid>
        <w:gridCol w:w="800"/>
        <w:gridCol w:w="979"/>
        <w:gridCol w:w="621"/>
        <w:gridCol w:w="620"/>
        <w:gridCol w:w="799"/>
        <w:gridCol w:w="355"/>
        <w:gridCol w:w="226"/>
        <w:gridCol w:w="452"/>
        <w:gridCol w:w="508"/>
        <w:gridCol w:w="424"/>
        <w:gridCol w:w="632"/>
        <w:gridCol w:w="335"/>
        <w:gridCol w:w="297"/>
        <w:gridCol w:w="632"/>
        <w:gridCol w:w="508"/>
        <w:gridCol w:w="424"/>
      </w:tblGrid>
      <w:tr>
        <w:tblPrEx>
          <w:tblLayout w:type="fixed"/>
          <w:tblCellMar>
            <w:top w:w="0" w:type="dxa"/>
            <w:left w:w="108" w:type="dxa"/>
            <w:bottom w:w="0" w:type="dxa"/>
            <w:right w:w="108" w:type="dxa"/>
          </w:tblCellMar>
        </w:tblPrEx>
        <w:trPr>
          <w:trHeight w:val="795" w:hRule="atLeast"/>
        </w:trPr>
        <w:tc>
          <w:tcPr>
            <w:tcW w:w="8612" w:type="dxa"/>
            <w:gridSpan w:val="16"/>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综合单价分析表</w:t>
            </w:r>
          </w:p>
        </w:tc>
      </w:tr>
      <w:tr>
        <w:tblPrEx>
          <w:tblLayout w:type="fixed"/>
          <w:tblCellMar>
            <w:top w:w="0" w:type="dxa"/>
            <w:left w:w="108" w:type="dxa"/>
            <w:bottom w:w="0" w:type="dxa"/>
            <w:right w:w="108" w:type="dxa"/>
          </w:tblCellMar>
        </w:tblPrEx>
        <w:trPr>
          <w:trHeight w:val="510" w:hRule="atLeast"/>
        </w:trPr>
        <w:tc>
          <w:tcPr>
            <w:tcW w:w="4174" w:type="dxa"/>
            <w:gridSpan w:val="6"/>
            <w:tcBorders>
              <w:top w:val="nil"/>
              <w:left w:val="nil"/>
              <w:bottom w:val="nil"/>
              <w:right w:val="nil"/>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工程名称：</w:t>
            </w:r>
            <w:r>
              <w:rPr>
                <w:rFonts w:ascii="宋体" w:hAnsi="宋体" w:cs="宋体"/>
                <w:kern w:val="0"/>
                <w:sz w:val="18"/>
                <w:szCs w:val="18"/>
                <w:highlight w:val="none"/>
              </w:rPr>
              <w:t xml:space="preserve"> </w:t>
            </w:r>
          </w:p>
        </w:tc>
        <w:tc>
          <w:tcPr>
            <w:tcW w:w="2577" w:type="dxa"/>
            <w:gridSpan w:val="6"/>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861" w:type="dxa"/>
            <w:gridSpan w:val="4"/>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315" w:hRule="atLeast"/>
        </w:trPr>
        <w:tc>
          <w:tcPr>
            <w:tcW w:w="1779" w:type="dxa"/>
            <w:gridSpan w:val="2"/>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子目编码</w:t>
            </w:r>
          </w:p>
        </w:tc>
        <w:tc>
          <w:tcPr>
            <w:tcW w:w="1241"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子目名称</w:t>
            </w:r>
          </w:p>
        </w:tc>
        <w:tc>
          <w:tcPr>
            <w:tcW w:w="1384"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计量单位</w:t>
            </w:r>
          </w:p>
        </w:tc>
        <w:tc>
          <w:tcPr>
            <w:tcW w:w="632"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台</w:t>
            </w:r>
          </w:p>
        </w:tc>
        <w:tc>
          <w:tcPr>
            <w:tcW w:w="63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工程量</w:t>
            </w:r>
          </w:p>
        </w:tc>
        <w:tc>
          <w:tcPr>
            <w:tcW w:w="932"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25" w:hRule="atLeast"/>
        </w:trPr>
        <w:tc>
          <w:tcPr>
            <w:tcW w:w="8612" w:type="dxa"/>
            <w:gridSpan w:val="16"/>
            <w:tcBorders>
              <w:top w:val="single" w:color="000000" w:sz="4" w:space="0"/>
              <w:left w:val="single" w:color="000000" w:sz="8" w:space="0"/>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清单综合单价组成明细</w:t>
            </w:r>
          </w:p>
        </w:tc>
      </w:tr>
      <w:tr>
        <w:tblPrEx>
          <w:tblLayout w:type="fixed"/>
          <w:tblCellMar>
            <w:top w:w="0" w:type="dxa"/>
            <w:left w:w="108" w:type="dxa"/>
            <w:bottom w:w="0" w:type="dxa"/>
            <w:right w:w="108" w:type="dxa"/>
          </w:tblCellMar>
        </w:tblPrEx>
        <w:trPr>
          <w:trHeight w:val="330" w:hRule="atLeast"/>
        </w:trPr>
        <w:tc>
          <w:tcPr>
            <w:tcW w:w="80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定额编号</w:t>
            </w:r>
          </w:p>
        </w:tc>
        <w:tc>
          <w:tcPr>
            <w:tcW w:w="979"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定额子目名称</w:t>
            </w:r>
          </w:p>
        </w:tc>
        <w:tc>
          <w:tcPr>
            <w:tcW w:w="621"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定额</w:t>
            </w:r>
            <w:r>
              <w:rPr>
                <w:rFonts w:ascii="宋体" w:cs="宋体"/>
                <w:kern w:val="0"/>
                <w:sz w:val="18"/>
                <w:szCs w:val="18"/>
                <w:highlight w:val="none"/>
              </w:rPr>
              <w:br w:type="textWrapping"/>
            </w:r>
            <w:r>
              <w:rPr>
                <w:rFonts w:hint="eastAsia" w:ascii="宋体" w:hAnsi="宋体" w:cs="宋体"/>
                <w:kern w:val="0"/>
                <w:sz w:val="18"/>
                <w:szCs w:val="18"/>
                <w:highlight w:val="none"/>
              </w:rPr>
              <w:t>单位</w:t>
            </w:r>
          </w:p>
        </w:tc>
        <w:tc>
          <w:tcPr>
            <w:tcW w:w="620"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数量</w:t>
            </w:r>
          </w:p>
        </w:tc>
        <w:tc>
          <w:tcPr>
            <w:tcW w:w="2764"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单价</w:t>
            </w:r>
          </w:p>
        </w:tc>
        <w:tc>
          <w:tcPr>
            <w:tcW w:w="2828" w:type="dxa"/>
            <w:gridSpan w:val="6"/>
            <w:tcBorders>
              <w:top w:val="single" w:color="000000" w:sz="4"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合价</w:t>
            </w:r>
          </w:p>
        </w:tc>
      </w:tr>
      <w:tr>
        <w:tblPrEx>
          <w:tblLayout w:type="fixed"/>
          <w:tblCellMar>
            <w:top w:w="0" w:type="dxa"/>
            <w:left w:w="108" w:type="dxa"/>
            <w:bottom w:w="0" w:type="dxa"/>
            <w:right w:w="108" w:type="dxa"/>
          </w:tblCellMar>
        </w:tblPrEx>
        <w:trPr>
          <w:trHeight w:val="510" w:hRule="atLeast"/>
        </w:trPr>
        <w:tc>
          <w:tcPr>
            <w:tcW w:w="80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97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621"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62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79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人工费</w:t>
            </w:r>
          </w:p>
        </w:tc>
        <w:tc>
          <w:tcPr>
            <w:tcW w:w="58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材料费</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机械费</w:t>
            </w:r>
          </w:p>
        </w:tc>
        <w:tc>
          <w:tcPr>
            <w:tcW w:w="50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企业管理费</w:t>
            </w:r>
          </w:p>
        </w:tc>
        <w:tc>
          <w:tcPr>
            <w:tcW w:w="424"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利润</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人工费</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材料费</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机械费</w:t>
            </w:r>
          </w:p>
        </w:tc>
        <w:tc>
          <w:tcPr>
            <w:tcW w:w="50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企业管理费</w:t>
            </w:r>
          </w:p>
        </w:tc>
        <w:tc>
          <w:tcPr>
            <w:tcW w:w="424"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利润</w:t>
            </w:r>
          </w:p>
        </w:tc>
      </w:tr>
      <w:tr>
        <w:tblPrEx>
          <w:tblLayout w:type="fixed"/>
          <w:tblCellMar>
            <w:top w:w="0" w:type="dxa"/>
            <w:left w:w="108" w:type="dxa"/>
            <w:bottom w:w="0" w:type="dxa"/>
            <w:right w:w="108" w:type="dxa"/>
          </w:tblCellMar>
        </w:tblPrEx>
        <w:trPr>
          <w:trHeight w:val="51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7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台</w:t>
            </w:r>
          </w:p>
        </w:tc>
        <w:tc>
          <w:tcPr>
            <w:tcW w:w="6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99"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581"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508"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424"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508"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424"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25" w:hRule="atLeast"/>
        </w:trPr>
        <w:tc>
          <w:tcPr>
            <w:tcW w:w="17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人工单价</w:t>
            </w:r>
          </w:p>
        </w:tc>
        <w:tc>
          <w:tcPr>
            <w:tcW w:w="4005" w:type="dxa"/>
            <w:gridSpan w:val="8"/>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小计</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508"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424"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735" w:hRule="atLeast"/>
        </w:trPr>
        <w:tc>
          <w:tcPr>
            <w:tcW w:w="1779"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005" w:type="dxa"/>
            <w:gridSpan w:val="8"/>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未计价材料费</w:t>
            </w:r>
          </w:p>
        </w:tc>
        <w:tc>
          <w:tcPr>
            <w:tcW w:w="2828" w:type="dxa"/>
            <w:gridSpan w:val="6"/>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84" w:type="dxa"/>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清单子目综合单价</w:t>
            </w:r>
          </w:p>
        </w:tc>
        <w:tc>
          <w:tcPr>
            <w:tcW w:w="2828" w:type="dxa"/>
            <w:gridSpan w:val="6"/>
            <w:tcBorders>
              <w:top w:val="single" w:color="000000" w:sz="4"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6213.52</w:t>
            </w:r>
          </w:p>
        </w:tc>
      </w:tr>
      <w:tr>
        <w:tblPrEx>
          <w:tblLayout w:type="fixed"/>
          <w:tblCellMar>
            <w:top w:w="0" w:type="dxa"/>
            <w:left w:w="108" w:type="dxa"/>
            <w:bottom w:w="0" w:type="dxa"/>
            <w:right w:w="108" w:type="dxa"/>
          </w:tblCellMar>
        </w:tblPrEx>
        <w:trPr>
          <w:trHeight w:val="510" w:hRule="atLeast"/>
        </w:trPr>
        <w:tc>
          <w:tcPr>
            <w:tcW w:w="80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材</w:t>
            </w:r>
            <w:r>
              <w:rPr>
                <w:rFonts w:ascii="宋体" w:cs="宋体"/>
                <w:kern w:val="0"/>
                <w:sz w:val="18"/>
                <w:szCs w:val="18"/>
                <w:highlight w:val="none"/>
              </w:rPr>
              <w:br w:type="textWrapping"/>
            </w:r>
            <w:r>
              <w:rPr>
                <w:rFonts w:hint="eastAsia" w:ascii="宋体" w:hAnsi="宋体" w:cs="宋体"/>
                <w:kern w:val="0"/>
                <w:sz w:val="18"/>
                <w:szCs w:val="18"/>
                <w:highlight w:val="none"/>
              </w:rPr>
              <w:t>料</w:t>
            </w:r>
            <w:r>
              <w:rPr>
                <w:rFonts w:ascii="宋体" w:cs="宋体"/>
                <w:kern w:val="0"/>
                <w:sz w:val="18"/>
                <w:szCs w:val="18"/>
                <w:highlight w:val="none"/>
              </w:rPr>
              <w:br w:type="textWrapping"/>
            </w:r>
            <w:r>
              <w:rPr>
                <w:rFonts w:hint="eastAsia" w:ascii="宋体" w:hAnsi="宋体" w:cs="宋体"/>
                <w:kern w:val="0"/>
                <w:sz w:val="18"/>
                <w:szCs w:val="18"/>
                <w:highlight w:val="none"/>
              </w:rPr>
              <w:t>费</w:t>
            </w:r>
            <w:r>
              <w:rPr>
                <w:rFonts w:ascii="宋体" w:cs="宋体"/>
                <w:kern w:val="0"/>
                <w:sz w:val="18"/>
                <w:szCs w:val="18"/>
                <w:highlight w:val="none"/>
              </w:rPr>
              <w:br w:type="textWrapping"/>
            </w:r>
            <w:r>
              <w:rPr>
                <w:rFonts w:hint="eastAsia" w:ascii="宋体" w:hAnsi="宋体" w:cs="宋体"/>
                <w:kern w:val="0"/>
                <w:sz w:val="18"/>
                <w:szCs w:val="18"/>
                <w:highlight w:val="none"/>
              </w:rPr>
              <w:t>明</w:t>
            </w:r>
            <w:r>
              <w:rPr>
                <w:rFonts w:ascii="宋体" w:cs="宋体"/>
                <w:kern w:val="0"/>
                <w:sz w:val="18"/>
                <w:szCs w:val="18"/>
                <w:highlight w:val="none"/>
              </w:rPr>
              <w:br w:type="textWrapping"/>
            </w:r>
            <w:r>
              <w:rPr>
                <w:rFonts w:hint="eastAsia" w:ascii="宋体" w:hAnsi="宋体" w:cs="宋体"/>
                <w:kern w:val="0"/>
                <w:sz w:val="18"/>
                <w:szCs w:val="18"/>
                <w:highlight w:val="none"/>
              </w:rPr>
              <w:t>细</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主要材料名称、规格、型号</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单位</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数量</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单价</w:t>
            </w:r>
            <w:r>
              <w:rPr>
                <w:rFonts w:ascii="宋体" w:hAnsi="宋体" w:cs="宋体"/>
                <w:kern w:val="0"/>
                <w:sz w:val="18"/>
                <w:szCs w:val="18"/>
                <w:highlight w:val="none"/>
              </w:rPr>
              <w:t>(</w:t>
            </w:r>
            <w:r>
              <w:rPr>
                <w:rFonts w:hint="eastAsia" w:ascii="宋体" w:hAnsi="宋体" w:cs="宋体"/>
                <w:kern w:val="0"/>
                <w:sz w:val="18"/>
                <w:szCs w:val="18"/>
                <w:highlight w:val="none"/>
              </w:rPr>
              <w:t>元</w:t>
            </w:r>
            <w:r>
              <w:rPr>
                <w:rFonts w:ascii="宋体" w:hAnsi="宋体" w:cs="宋体"/>
                <w:kern w:val="0"/>
                <w:sz w:val="18"/>
                <w:szCs w:val="18"/>
                <w:highlight w:val="none"/>
              </w:rPr>
              <w:t>)</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合价</w:t>
            </w:r>
            <w:r>
              <w:rPr>
                <w:rFonts w:ascii="宋体" w:hAnsi="宋体" w:cs="宋体"/>
                <w:kern w:val="0"/>
                <w:sz w:val="18"/>
                <w:szCs w:val="18"/>
                <w:highlight w:val="none"/>
              </w:rPr>
              <w:t>(</w:t>
            </w:r>
            <w:r>
              <w:rPr>
                <w:rFonts w:hint="eastAsia" w:ascii="宋体" w:hAnsi="宋体" w:cs="宋体"/>
                <w:kern w:val="0"/>
                <w:sz w:val="18"/>
                <w:szCs w:val="18"/>
                <w:highlight w:val="none"/>
              </w:rPr>
              <w:t>元</w:t>
            </w:r>
            <w:r>
              <w:rPr>
                <w:rFonts w:ascii="宋体" w:hAnsi="宋体" w:cs="宋体"/>
                <w:kern w:val="0"/>
                <w:sz w:val="18"/>
                <w:szCs w:val="18"/>
                <w:highlight w:val="none"/>
              </w:rPr>
              <w:t>)</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暂估单价</w:t>
            </w:r>
            <w:r>
              <w:rPr>
                <w:rFonts w:ascii="宋体" w:cs="宋体"/>
                <w:kern w:val="0"/>
                <w:sz w:val="18"/>
                <w:szCs w:val="18"/>
                <w:highlight w:val="none"/>
              </w:rPr>
              <w:br w:type="textWrapping"/>
            </w:r>
            <w:r>
              <w:rPr>
                <w:rFonts w:ascii="宋体" w:hAnsi="宋体" w:cs="宋体"/>
                <w:kern w:val="0"/>
                <w:sz w:val="18"/>
                <w:szCs w:val="18"/>
                <w:highlight w:val="none"/>
              </w:rPr>
              <w:t>(</w:t>
            </w:r>
            <w:r>
              <w:rPr>
                <w:rFonts w:hint="eastAsia" w:ascii="宋体" w:hAnsi="宋体" w:cs="宋体"/>
                <w:kern w:val="0"/>
                <w:sz w:val="18"/>
                <w:szCs w:val="18"/>
                <w:highlight w:val="none"/>
              </w:rPr>
              <w:t>元</w:t>
            </w:r>
            <w:r>
              <w:rPr>
                <w:rFonts w:ascii="宋体" w:hAnsi="宋体" w:cs="宋体"/>
                <w:kern w:val="0"/>
                <w:sz w:val="18"/>
                <w:szCs w:val="18"/>
                <w:highlight w:val="none"/>
              </w:rPr>
              <w:t>)</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暂估合价</w:t>
            </w:r>
            <w:r>
              <w:rPr>
                <w:rFonts w:ascii="宋体" w:cs="宋体"/>
                <w:kern w:val="0"/>
                <w:sz w:val="18"/>
                <w:szCs w:val="18"/>
                <w:highlight w:val="none"/>
              </w:rPr>
              <w:br w:type="textWrapping"/>
            </w:r>
            <w:r>
              <w:rPr>
                <w:rFonts w:ascii="宋体" w:hAnsi="宋体" w:cs="宋体"/>
                <w:kern w:val="0"/>
                <w:sz w:val="18"/>
                <w:szCs w:val="18"/>
                <w:highlight w:val="none"/>
              </w:rPr>
              <w:t>(</w:t>
            </w:r>
            <w:r>
              <w:rPr>
                <w:rFonts w:hint="eastAsia" w:ascii="宋体" w:hAnsi="宋体" w:cs="宋体"/>
                <w:kern w:val="0"/>
                <w:sz w:val="18"/>
                <w:szCs w:val="18"/>
                <w:highlight w:val="none"/>
              </w:rPr>
              <w:t>元</w:t>
            </w:r>
            <w:r>
              <w:rPr>
                <w:rFonts w:ascii="宋体" w:hAnsi="宋体" w:cs="宋体"/>
                <w:kern w:val="0"/>
                <w:sz w:val="18"/>
                <w:szCs w:val="18"/>
                <w:highlight w:val="none"/>
              </w:rPr>
              <w:t>)</w:t>
            </w:r>
          </w:p>
        </w:tc>
      </w:tr>
      <w:tr>
        <w:tblPrEx>
          <w:tblLayout w:type="fixed"/>
          <w:tblCellMar>
            <w:top w:w="0" w:type="dxa"/>
            <w:left w:w="108" w:type="dxa"/>
            <w:bottom w:w="0" w:type="dxa"/>
            <w:right w:w="108" w:type="dxa"/>
          </w:tblCellMar>
        </w:tblPrEx>
        <w:trPr>
          <w:trHeight w:val="315" w:hRule="atLeast"/>
        </w:trPr>
        <w:tc>
          <w:tcPr>
            <w:tcW w:w="80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80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4984" w:type="dxa"/>
            <w:gridSpan w:val="9"/>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其他材料费</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ascii="宋体" w:cs="宋体"/>
                <w:kern w:val="0"/>
                <w:sz w:val="18"/>
                <w:szCs w:val="18"/>
                <w:highlight w:val="none"/>
              </w:rPr>
              <w:t>-</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ascii="宋体" w:cs="宋体"/>
                <w:kern w:val="0"/>
                <w:sz w:val="18"/>
                <w:szCs w:val="18"/>
                <w:highlight w:val="none"/>
              </w:rPr>
              <w:t>-</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30" w:hRule="atLeast"/>
        </w:trPr>
        <w:tc>
          <w:tcPr>
            <w:tcW w:w="80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4984" w:type="dxa"/>
            <w:gridSpan w:val="9"/>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材料费小计</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ascii="宋体" w:cs="宋体"/>
                <w:kern w:val="0"/>
                <w:sz w:val="18"/>
                <w:szCs w:val="18"/>
                <w:highlight w:val="none"/>
              </w:rPr>
              <w:t>-</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ascii="宋体" w:cs="宋体"/>
                <w:kern w:val="0"/>
                <w:sz w:val="18"/>
                <w:szCs w:val="18"/>
                <w:highlight w:val="none"/>
              </w:rPr>
              <w:t>-</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0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600" w:type="dxa"/>
            <w:gridSpan w:val="6"/>
            <w:tcBorders>
              <w:top w:val="single" w:color="000000" w:sz="4" w:space="0"/>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452" w:type="dxa"/>
            <w:tcBorders>
              <w:top w:val="nil"/>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32"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32" w:type="dxa"/>
            <w:gridSpan w:val="2"/>
            <w:tcBorders>
              <w:top w:val="single" w:color="000000" w:sz="4" w:space="0"/>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735" w:hRule="atLeast"/>
        </w:trPr>
        <w:tc>
          <w:tcPr>
            <w:tcW w:w="4174" w:type="dxa"/>
            <w:gridSpan w:val="6"/>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注：如不使用省级或行业建设主管部门发布的计价定额，可不填定额项目、编号等。表中人工费、材料费、机械费、企业管理费、利润均以不包含增值税（可抵扣进项税额）的价格计算。</w:t>
            </w:r>
          </w:p>
        </w:tc>
        <w:tc>
          <w:tcPr>
            <w:tcW w:w="2577" w:type="dxa"/>
            <w:gridSpan w:val="6"/>
            <w:tcBorders>
              <w:top w:val="nil"/>
              <w:left w:val="nil"/>
              <w:bottom w:val="nil"/>
              <w:right w:val="nil"/>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61" w:type="dxa"/>
            <w:gridSpan w:val="4"/>
            <w:tcBorders>
              <w:top w:val="nil"/>
              <w:left w:val="nil"/>
              <w:bottom w:val="nil"/>
              <w:right w:val="nil"/>
            </w:tcBorders>
            <w:shd w:val="clear" w:color="FFFFFF" w:fill="FFFFFF"/>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表</w:t>
            </w:r>
            <w:r>
              <w:rPr>
                <w:rFonts w:ascii="宋体" w:hAnsi="宋体" w:cs="宋体"/>
                <w:kern w:val="0"/>
                <w:sz w:val="18"/>
                <w:szCs w:val="18"/>
                <w:highlight w:val="none"/>
              </w:rPr>
              <w:t>—09</w:t>
            </w:r>
          </w:p>
        </w:tc>
      </w:tr>
    </w:tbl>
    <w:p>
      <w:pPr>
        <w:rPr>
          <w:highlight w:val="none"/>
        </w:rPr>
      </w:pPr>
    </w:p>
    <w:p>
      <w:pPr>
        <w:rPr>
          <w:highlight w:val="none"/>
        </w:rPr>
      </w:pPr>
    </w:p>
    <w:tbl>
      <w:tblPr>
        <w:tblStyle w:val="60"/>
        <w:tblW w:w="8612" w:type="dxa"/>
        <w:tblInd w:w="108" w:type="dxa"/>
        <w:tblLayout w:type="fixed"/>
        <w:tblCellMar>
          <w:top w:w="0" w:type="dxa"/>
          <w:left w:w="108" w:type="dxa"/>
          <w:bottom w:w="0" w:type="dxa"/>
          <w:right w:w="108" w:type="dxa"/>
        </w:tblCellMar>
      </w:tblPr>
      <w:tblGrid>
        <w:gridCol w:w="703"/>
        <w:gridCol w:w="1800"/>
        <w:gridCol w:w="1778"/>
        <w:gridCol w:w="1011"/>
        <w:gridCol w:w="982"/>
        <w:gridCol w:w="1540"/>
        <w:gridCol w:w="798"/>
      </w:tblGrid>
      <w:tr>
        <w:tblPrEx>
          <w:tblLayout w:type="fixed"/>
          <w:tblCellMar>
            <w:top w:w="0" w:type="dxa"/>
            <w:left w:w="108" w:type="dxa"/>
            <w:bottom w:w="0" w:type="dxa"/>
            <w:right w:w="108" w:type="dxa"/>
          </w:tblCellMar>
        </w:tblPrEx>
        <w:trPr>
          <w:trHeight w:val="585" w:hRule="atLeast"/>
        </w:trPr>
        <w:tc>
          <w:tcPr>
            <w:tcW w:w="8612" w:type="dxa"/>
            <w:gridSpan w:val="7"/>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总价措施项目清单与计价表</w:t>
            </w:r>
          </w:p>
        </w:tc>
      </w:tr>
      <w:tr>
        <w:tblPrEx>
          <w:tblLayout w:type="fixed"/>
          <w:tblCellMar>
            <w:top w:w="0" w:type="dxa"/>
            <w:left w:w="108" w:type="dxa"/>
            <w:bottom w:w="0" w:type="dxa"/>
            <w:right w:w="108" w:type="dxa"/>
          </w:tblCellMar>
        </w:tblPrEx>
        <w:trPr>
          <w:trHeight w:val="510" w:hRule="atLeast"/>
        </w:trPr>
        <w:tc>
          <w:tcPr>
            <w:tcW w:w="4281" w:type="dxa"/>
            <w:gridSpan w:val="3"/>
            <w:tcBorders>
              <w:top w:val="nil"/>
              <w:left w:val="nil"/>
              <w:bottom w:val="nil"/>
              <w:right w:val="nil"/>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工程名称：</w:t>
            </w:r>
            <w:r>
              <w:rPr>
                <w:rFonts w:ascii="宋体" w:hAnsi="宋体" w:cs="宋体"/>
                <w:kern w:val="0"/>
                <w:sz w:val="18"/>
                <w:szCs w:val="18"/>
                <w:highlight w:val="none"/>
              </w:rPr>
              <w:t xml:space="preserve"> </w:t>
            </w:r>
          </w:p>
        </w:tc>
        <w:tc>
          <w:tcPr>
            <w:tcW w:w="1993" w:type="dxa"/>
            <w:gridSpan w:val="2"/>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2338" w:type="dxa"/>
            <w:gridSpan w:val="2"/>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345" w:hRule="atLeast"/>
        </w:trPr>
        <w:tc>
          <w:tcPr>
            <w:tcW w:w="703"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180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项目编码</w:t>
            </w:r>
          </w:p>
        </w:tc>
        <w:tc>
          <w:tcPr>
            <w:tcW w:w="177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子目名称</w:t>
            </w:r>
          </w:p>
        </w:tc>
        <w:tc>
          <w:tcPr>
            <w:tcW w:w="101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计算基础</w:t>
            </w:r>
          </w:p>
        </w:tc>
        <w:tc>
          <w:tcPr>
            <w:tcW w:w="98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费率</w:t>
            </w:r>
            <w:r>
              <w:rPr>
                <w:rFonts w:ascii="宋体" w:hAnsi="宋体" w:cs="宋体"/>
                <w:kern w:val="0"/>
                <w:sz w:val="18"/>
                <w:szCs w:val="18"/>
                <w:highlight w:val="none"/>
              </w:rPr>
              <w:t>(%)</w:t>
            </w:r>
          </w:p>
        </w:tc>
        <w:tc>
          <w:tcPr>
            <w:tcW w:w="1540"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金额（元）</w:t>
            </w:r>
          </w:p>
        </w:tc>
        <w:tc>
          <w:tcPr>
            <w:tcW w:w="798"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备注</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031302001001</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安全文明施工</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031302002001</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夜间施工增加</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031302003001</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非夜间施工增加</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4</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031302004001</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二次搬运</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5</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031302005001</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冬雨季施工增加</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6</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031302006001</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已完工程及设备保护</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70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7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011"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982"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540"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98" w:type="dxa"/>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6274"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w:t>
            </w:r>
            <w:r>
              <w:rPr>
                <w:rFonts w:ascii="宋体" w:hAnsi="宋体" w:cs="宋体"/>
                <w:kern w:val="0"/>
                <w:sz w:val="18"/>
                <w:szCs w:val="18"/>
                <w:highlight w:val="none"/>
              </w:rPr>
              <w:t xml:space="preserve">    </w:t>
            </w:r>
            <w:r>
              <w:rPr>
                <w:rFonts w:hint="eastAsia" w:ascii="宋体" w:hAnsi="宋体" w:cs="宋体"/>
                <w:kern w:val="0"/>
                <w:sz w:val="18"/>
                <w:szCs w:val="18"/>
                <w:highlight w:val="none"/>
              </w:rPr>
              <w:t>计</w:t>
            </w:r>
          </w:p>
        </w:tc>
        <w:tc>
          <w:tcPr>
            <w:tcW w:w="1540"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798" w:type="dxa"/>
            <w:tcBorders>
              <w:top w:val="nil"/>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6274" w:type="dxa"/>
            <w:gridSpan w:val="5"/>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p>
        </w:tc>
        <w:tc>
          <w:tcPr>
            <w:tcW w:w="2338" w:type="dxa"/>
            <w:gridSpan w:val="2"/>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960" w:hRule="atLeast"/>
        </w:trPr>
        <w:tc>
          <w:tcPr>
            <w:tcW w:w="8612" w:type="dxa"/>
            <w:gridSpan w:val="7"/>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注：</w:t>
            </w:r>
            <w:r>
              <w:rPr>
                <w:rFonts w:ascii="宋体" w:hAnsi="宋体" w:cs="宋体"/>
                <w:kern w:val="0"/>
                <w:sz w:val="18"/>
                <w:szCs w:val="18"/>
                <w:highlight w:val="none"/>
              </w:rPr>
              <w:t>1.</w:t>
            </w:r>
            <w:r>
              <w:rPr>
                <w:rFonts w:hint="eastAsia" w:ascii="宋体" w:hAnsi="宋体" w:cs="宋体"/>
                <w:kern w:val="0"/>
                <w:sz w:val="18"/>
                <w:szCs w:val="18"/>
                <w:highlight w:val="none"/>
              </w:rPr>
              <w:t>“计价基础”中安全文明施工费可为“定额基价”、“定额人工费”或“定额人工费</w:t>
            </w:r>
            <w:r>
              <w:rPr>
                <w:rFonts w:ascii="宋体" w:hAnsi="宋体" w:cs="宋体"/>
                <w:kern w:val="0"/>
                <w:sz w:val="18"/>
                <w:szCs w:val="18"/>
                <w:highlight w:val="none"/>
              </w:rPr>
              <w:t>+</w:t>
            </w:r>
            <w:r>
              <w:rPr>
                <w:rFonts w:hint="eastAsia" w:ascii="宋体" w:hAnsi="宋体" w:cs="宋体"/>
                <w:kern w:val="0"/>
                <w:sz w:val="18"/>
                <w:szCs w:val="18"/>
                <w:highlight w:val="none"/>
              </w:rPr>
              <w:t>定额机械费”，其他项目可为“定额人工费”或“定额人工费</w:t>
            </w:r>
            <w:r>
              <w:rPr>
                <w:rFonts w:ascii="宋体" w:hAnsi="宋体" w:cs="宋体"/>
                <w:kern w:val="0"/>
                <w:sz w:val="18"/>
                <w:szCs w:val="18"/>
                <w:highlight w:val="none"/>
              </w:rPr>
              <w:t>+</w:t>
            </w:r>
            <w:r>
              <w:rPr>
                <w:rFonts w:hint="eastAsia" w:ascii="宋体" w:hAnsi="宋体" w:cs="宋体"/>
                <w:kern w:val="0"/>
                <w:sz w:val="18"/>
                <w:szCs w:val="18"/>
                <w:highlight w:val="none"/>
              </w:rPr>
              <w:t>定额机械费”。</w:t>
            </w:r>
            <w:r>
              <w:rPr>
                <w:rFonts w:ascii="宋体" w:cs="宋体"/>
                <w:kern w:val="0"/>
                <w:sz w:val="18"/>
                <w:szCs w:val="18"/>
                <w:highlight w:val="none"/>
              </w:rPr>
              <w:br w:type="textWrapping"/>
            </w:r>
            <w:r>
              <w:rPr>
                <w:rFonts w:ascii="宋体" w:hAnsi="宋体" w:cs="宋体"/>
                <w:kern w:val="0"/>
                <w:sz w:val="18"/>
                <w:szCs w:val="18"/>
                <w:highlight w:val="none"/>
              </w:rPr>
              <w:t xml:space="preserve">    2.</w:t>
            </w:r>
            <w:r>
              <w:rPr>
                <w:rFonts w:hint="eastAsia" w:ascii="宋体" w:hAnsi="宋体" w:cs="宋体"/>
                <w:kern w:val="0"/>
                <w:sz w:val="18"/>
                <w:szCs w:val="18"/>
                <w:highlight w:val="none"/>
              </w:rPr>
              <w:t>按施工方案计算的措施费，若无“计算基础”和“费率”的数值，也可只填“金额”数值，但应在</w:t>
            </w:r>
            <w:r>
              <w:rPr>
                <w:rFonts w:ascii="宋体" w:hAnsi="宋体" w:cs="宋体"/>
                <w:kern w:val="0"/>
                <w:sz w:val="18"/>
                <w:szCs w:val="18"/>
                <w:highlight w:val="none"/>
              </w:rPr>
              <w:t>4.12</w:t>
            </w:r>
            <w:r>
              <w:rPr>
                <w:rFonts w:hint="eastAsia" w:ascii="宋体" w:hAnsi="宋体" w:cs="宋体"/>
                <w:kern w:val="0"/>
                <w:sz w:val="18"/>
                <w:szCs w:val="18"/>
                <w:highlight w:val="none"/>
              </w:rPr>
              <w:t>措施项目报价组成分析表”中列明施工方案出处或计算方法。</w:t>
            </w:r>
          </w:p>
        </w:tc>
      </w:tr>
      <w:tr>
        <w:tblPrEx>
          <w:tblLayout w:type="fixed"/>
          <w:tblCellMar>
            <w:top w:w="0" w:type="dxa"/>
            <w:left w:w="108" w:type="dxa"/>
            <w:bottom w:w="0" w:type="dxa"/>
            <w:right w:w="108" w:type="dxa"/>
          </w:tblCellMar>
        </w:tblPrEx>
        <w:trPr>
          <w:trHeight w:val="285" w:hRule="atLeast"/>
        </w:trPr>
        <w:tc>
          <w:tcPr>
            <w:tcW w:w="4281" w:type="dxa"/>
            <w:gridSpan w:val="3"/>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993" w:type="dxa"/>
            <w:gridSpan w:val="2"/>
            <w:tcBorders>
              <w:top w:val="nil"/>
              <w:left w:val="nil"/>
              <w:bottom w:val="nil"/>
              <w:right w:val="nil"/>
            </w:tcBorders>
            <w:shd w:val="clear" w:color="FFFFFF" w:fill="FFFFFF"/>
            <w:vAlign w:val="center"/>
          </w:tcPr>
          <w:p>
            <w:pPr>
              <w:widowControl/>
              <w:jc w:val="left"/>
              <w:rPr>
                <w:rFonts w:ascii="宋体" w:cs="宋体"/>
                <w:kern w:val="0"/>
                <w:sz w:val="18"/>
                <w:szCs w:val="18"/>
                <w:highlight w:val="none"/>
                <w:u w:val="single"/>
              </w:rPr>
            </w:pPr>
            <w:r>
              <w:rPr>
                <w:rFonts w:hint="eastAsia" w:ascii="宋体" w:hAnsi="宋体" w:cs="宋体"/>
                <w:kern w:val="0"/>
                <w:sz w:val="18"/>
                <w:szCs w:val="18"/>
                <w:highlight w:val="none"/>
                <w:u w:val="single"/>
              </w:rPr>
              <w:t>　</w:t>
            </w:r>
          </w:p>
        </w:tc>
        <w:tc>
          <w:tcPr>
            <w:tcW w:w="2338" w:type="dxa"/>
            <w:gridSpan w:val="2"/>
            <w:tcBorders>
              <w:top w:val="nil"/>
              <w:left w:val="nil"/>
              <w:bottom w:val="nil"/>
              <w:right w:val="nil"/>
            </w:tcBorders>
            <w:shd w:val="clear" w:color="FFFFFF" w:fill="FFFFFF"/>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表</w:t>
            </w:r>
            <w:r>
              <w:rPr>
                <w:rFonts w:ascii="宋体" w:hAnsi="宋体" w:cs="宋体"/>
                <w:kern w:val="0"/>
                <w:sz w:val="18"/>
                <w:szCs w:val="18"/>
                <w:highlight w:val="none"/>
              </w:rPr>
              <w:t>-11</w:t>
            </w:r>
          </w:p>
        </w:tc>
      </w:tr>
    </w:tbl>
    <w:p>
      <w:pPr>
        <w:rPr>
          <w:highlight w:val="none"/>
        </w:rPr>
      </w:pPr>
    </w:p>
    <w:p>
      <w:pPr>
        <w:rPr>
          <w:highlight w:val="none"/>
        </w:rPr>
      </w:pPr>
    </w:p>
    <w:tbl>
      <w:tblPr>
        <w:tblStyle w:val="60"/>
        <w:tblW w:w="8415" w:type="dxa"/>
        <w:tblInd w:w="108" w:type="dxa"/>
        <w:tblLayout w:type="fixed"/>
        <w:tblCellMar>
          <w:top w:w="0" w:type="dxa"/>
          <w:left w:w="108" w:type="dxa"/>
          <w:bottom w:w="0" w:type="dxa"/>
          <w:right w:w="108" w:type="dxa"/>
        </w:tblCellMar>
      </w:tblPr>
      <w:tblGrid>
        <w:gridCol w:w="1071"/>
        <w:gridCol w:w="3478"/>
        <w:gridCol w:w="465"/>
        <w:gridCol w:w="236"/>
        <w:gridCol w:w="282"/>
        <w:gridCol w:w="200"/>
        <w:gridCol w:w="361"/>
        <w:gridCol w:w="731"/>
        <w:gridCol w:w="1579"/>
        <w:gridCol w:w="12"/>
      </w:tblGrid>
      <w:tr>
        <w:tblPrEx>
          <w:tblLayout w:type="fixed"/>
          <w:tblCellMar>
            <w:top w:w="0" w:type="dxa"/>
            <w:left w:w="108" w:type="dxa"/>
            <w:bottom w:w="0" w:type="dxa"/>
            <w:right w:w="108" w:type="dxa"/>
          </w:tblCellMar>
        </w:tblPrEx>
        <w:trPr>
          <w:trHeight w:val="585" w:hRule="atLeast"/>
        </w:trPr>
        <w:tc>
          <w:tcPr>
            <w:tcW w:w="8415" w:type="dxa"/>
            <w:gridSpan w:val="10"/>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其他项目清单与计价汇总表</w:t>
            </w:r>
          </w:p>
        </w:tc>
      </w:tr>
      <w:tr>
        <w:tblPrEx>
          <w:tblLayout w:type="fixed"/>
          <w:tblCellMar>
            <w:top w:w="0" w:type="dxa"/>
            <w:left w:w="108" w:type="dxa"/>
            <w:bottom w:w="0" w:type="dxa"/>
            <w:right w:w="108" w:type="dxa"/>
          </w:tblCellMar>
        </w:tblPrEx>
        <w:trPr>
          <w:gridAfter w:val="1"/>
          <w:wAfter w:w="12" w:type="dxa"/>
          <w:trHeight w:val="735" w:hRule="atLeast"/>
        </w:trPr>
        <w:tc>
          <w:tcPr>
            <w:tcW w:w="4549" w:type="dxa"/>
            <w:gridSpan w:val="2"/>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工程名称：</w:t>
            </w:r>
          </w:p>
        </w:tc>
        <w:tc>
          <w:tcPr>
            <w:tcW w:w="465" w:type="dxa"/>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389" w:type="dxa"/>
            <w:gridSpan w:val="6"/>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gridAfter w:val="1"/>
          <w:wAfter w:w="12" w:type="dxa"/>
          <w:trHeight w:val="345" w:hRule="atLeast"/>
        </w:trPr>
        <w:tc>
          <w:tcPr>
            <w:tcW w:w="107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3478"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子目名称</w:t>
            </w:r>
          </w:p>
        </w:tc>
        <w:tc>
          <w:tcPr>
            <w:tcW w:w="1183"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计量单位</w:t>
            </w:r>
          </w:p>
        </w:tc>
        <w:tc>
          <w:tcPr>
            <w:tcW w:w="1092"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金额</w:t>
            </w:r>
            <w:r>
              <w:rPr>
                <w:rFonts w:ascii="宋体" w:hAnsi="宋体" w:cs="宋体"/>
                <w:kern w:val="0"/>
                <w:sz w:val="18"/>
                <w:szCs w:val="18"/>
                <w:highlight w:val="none"/>
              </w:rPr>
              <w:t>(</w:t>
            </w:r>
            <w:r>
              <w:rPr>
                <w:rFonts w:hint="eastAsia" w:ascii="宋体" w:hAnsi="宋体" w:cs="宋体"/>
                <w:kern w:val="0"/>
                <w:sz w:val="18"/>
                <w:szCs w:val="18"/>
                <w:highlight w:val="none"/>
              </w:rPr>
              <w:t>元</w:t>
            </w:r>
            <w:r>
              <w:rPr>
                <w:rFonts w:ascii="宋体" w:hAnsi="宋体" w:cs="宋体"/>
                <w:kern w:val="0"/>
                <w:sz w:val="18"/>
                <w:szCs w:val="18"/>
                <w:highlight w:val="none"/>
              </w:rPr>
              <w:t>)</w:t>
            </w:r>
          </w:p>
        </w:tc>
        <w:tc>
          <w:tcPr>
            <w:tcW w:w="1579"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备注</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暂列金额</w:t>
            </w:r>
            <w:r>
              <w:rPr>
                <w:rFonts w:ascii="宋体" w:hAnsi="宋体" w:cs="宋体"/>
                <w:kern w:val="0"/>
                <w:sz w:val="18"/>
                <w:szCs w:val="18"/>
                <w:highlight w:val="none"/>
              </w:rPr>
              <w:t>(</w:t>
            </w:r>
            <w:r>
              <w:rPr>
                <w:rFonts w:hint="eastAsia" w:ascii="宋体" w:hAnsi="宋体" w:cs="宋体"/>
                <w:kern w:val="0"/>
                <w:sz w:val="18"/>
                <w:szCs w:val="18"/>
                <w:highlight w:val="none"/>
              </w:rPr>
              <w:t>不包括计日工</w:t>
            </w:r>
            <w:r>
              <w:rPr>
                <w:rFonts w:ascii="宋体" w:hAnsi="宋体" w:cs="宋体"/>
                <w:kern w:val="0"/>
                <w:sz w:val="18"/>
                <w:szCs w:val="18"/>
                <w:highlight w:val="none"/>
              </w:rPr>
              <w:t>)</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项</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明细详见表</w:t>
            </w:r>
            <w:r>
              <w:rPr>
                <w:rFonts w:ascii="宋体" w:hAnsi="宋体" w:cs="宋体"/>
                <w:kern w:val="0"/>
                <w:sz w:val="18"/>
                <w:szCs w:val="18"/>
                <w:highlight w:val="none"/>
              </w:rPr>
              <w:t>-12-1</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暂估价</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2.1</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材料和工程设备暂估价</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明细详见表</w:t>
            </w:r>
            <w:r>
              <w:rPr>
                <w:rFonts w:ascii="宋体" w:hAnsi="宋体" w:cs="宋体"/>
                <w:kern w:val="0"/>
                <w:sz w:val="18"/>
                <w:szCs w:val="18"/>
                <w:highlight w:val="none"/>
              </w:rPr>
              <w:t>-12-2</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2.2</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专业工程暂估价</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明细详见表</w:t>
            </w:r>
            <w:r>
              <w:rPr>
                <w:rFonts w:ascii="宋体" w:hAnsi="宋体" w:cs="宋体"/>
                <w:kern w:val="0"/>
                <w:sz w:val="18"/>
                <w:szCs w:val="18"/>
                <w:highlight w:val="none"/>
              </w:rPr>
              <w:t>-12-3</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计日工</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明细详见表</w:t>
            </w:r>
            <w:r>
              <w:rPr>
                <w:rFonts w:ascii="宋体" w:hAnsi="宋体" w:cs="宋体"/>
                <w:kern w:val="0"/>
                <w:sz w:val="18"/>
                <w:szCs w:val="18"/>
                <w:highlight w:val="none"/>
              </w:rPr>
              <w:t>-12-4</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4</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总承包服务费</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明细详见表</w:t>
            </w:r>
            <w:r>
              <w:rPr>
                <w:rFonts w:ascii="宋体" w:hAnsi="宋体" w:cs="宋体"/>
                <w:kern w:val="0"/>
                <w:sz w:val="18"/>
                <w:szCs w:val="18"/>
                <w:highlight w:val="none"/>
              </w:rPr>
              <w:t>-12-5</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10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3478"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83"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092"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579" w:type="dxa"/>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gridAfter w:val="1"/>
          <w:wAfter w:w="12" w:type="dxa"/>
          <w:trHeight w:val="315" w:hRule="atLeast"/>
        </w:trPr>
        <w:tc>
          <w:tcPr>
            <w:tcW w:w="5250"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w:t>
            </w:r>
            <w:r>
              <w:rPr>
                <w:rFonts w:ascii="宋体" w:hAnsi="宋体" w:cs="宋体"/>
                <w:kern w:val="0"/>
                <w:sz w:val="18"/>
                <w:szCs w:val="18"/>
                <w:highlight w:val="none"/>
              </w:rPr>
              <w:t xml:space="preserve">    </w:t>
            </w:r>
            <w:r>
              <w:rPr>
                <w:rFonts w:hint="eastAsia" w:ascii="宋体" w:hAnsi="宋体" w:cs="宋体"/>
                <w:kern w:val="0"/>
                <w:sz w:val="18"/>
                <w:szCs w:val="18"/>
                <w:highlight w:val="none"/>
              </w:rPr>
              <w:t>计</w:t>
            </w:r>
          </w:p>
        </w:tc>
        <w:tc>
          <w:tcPr>
            <w:tcW w:w="282"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561"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p>
        </w:tc>
        <w:tc>
          <w:tcPr>
            <w:tcW w:w="2310" w:type="dxa"/>
            <w:gridSpan w:val="2"/>
            <w:tcBorders>
              <w:top w:val="nil"/>
              <w:left w:val="nil"/>
              <w:bottom w:val="single" w:color="000000" w:sz="8" w:space="0"/>
              <w:right w:val="single" w:color="000000" w:sz="8"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w:t>
            </w:r>
          </w:p>
        </w:tc>
      </w:tr>
      <w:tr>
        <w:tblPrEx>
          <w:tblLayout w:type="fixed"/>
          <w:tblCellMar>
            <w:top w:w="0" w:type="dxa"/>
            <w:left w:w="108" w:type="dxa"/>
            <w:bottom w:w="0" w:type="dxa"/>
            <w:right w:w="108" w:type="dxa"/>
          </w:tblCellMar>
        </w:tblPrEx>
        <w:trPr>
          <w:trHeight w:val="330" w:hRule="atLeast"/>
        </w:trPr>
        <w:tc>
          <w:tcPr>
            <w:tcW w:w="8415" w:type="dxa"/>
            <w:gridSpan w:val="10"/>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注：材料和工程设备暂估单价进入清单项目综合单价，此处不汇总。</w:t>
            </w:r>
          </w:p>
        </w:tc>
      </w:tr>
      <w:tr>
        <w:tblPrEx>
          <w:tblLayout w:type="fixed"/>
          <w:tblCellMar>
            <w:top w:w="0" w:type="dxa"/>
            <w:left w:w="108" w:type="dxa"/>
            <w:bottom w:w="0" w:type="dxa"/>
            <w:right w:w="108" w:type="dxa"/>
          </w:tblCellMar>
        </w:tblPrEx>
        <w:trPr>
          <w:gridAfter w:val="1"/>
          <w:wAfter w:w="12" w:type="dxa"/>
          <w:trHeight w:val="510" w:hRule="atLeast"/>
        </w:trPr>
        <w:tc>
          <w:tcPr>
            <w:tcW w:w="4549" w:type="dxa"/>
            <w:gridSpan w:val="2"/>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465" w:type="dxa"/>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3389" w:type="dxa"/>
            <w:gridSpan w:val="6"/>
            <w:tcBorders>
              <w:top w:val="nil"/>
              <w:left w:val="nil"/>
              <w:bottom w:val="nil"/>
              <w:right w:val="nil"/>
            </w:tcBorders>
            <w:shd w:val="clear" w:color="FFFFFF" w:fill="FFFFFF"/>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表</w:t>
            </w:r>
            <w:r>
              <w:rPr>
                <w:rFonts w:ascii="宋体" w:hAnsi="宋体" w:cs="宋体"/>
                <w:kern w:val="0"/>
                <w:sz w:val="18"/>
                <w:szCs w:val="18"/>
                <w:highlight w:val="none"/>
              </w:rPr>
              <w:t>-12</w:t>
            </w:r>
          </w:p>
        </w:tc>
      </w:tr>
    </w:tbl>
    <w:p>
      <w:pPr>
        <w:rPr>
          <w:highlight w:val="none"/>
        </w:rPr>
      </w:pPr>
    </w:p>
    <w:p>
      <w:pPr>
        <w:rPr>
          <w:highlight w:val="none"/>
        </w:rPr>
      </w:pPr>
    </w:p>
    <w:tbl>
      <w:tblPr>
        <w:tblStyle w:val="60"/>
        <w:tblW w:w="8612" w:type="dxa"/>
        <w:tblInd w:w="108" w:type="dxa"/>
        <w:tblLayout w:type="fixed"/>
        <w:tblCellMar>
          <w:top w:w="0" w:type="dxa"/>
          <w:left w:w="108" w:type="dxa"/>
          <w:bottom w:w="0" w:type="dxa"/>
          <w:right w:w="108" w:type="dxa"/>
        </w:tblCellMar>
      </w:tblPr>
      <w:tblGrid>
        <w:gridCol w:w="571"/>
        <w:gridCol w:w="1235"/>
        <w:gridCol w:w="3932"/>
        <w:gridCol w:w="899"/>
        <w:gridCol w:w="855"/>
        <w:gridCol w:w="1120"/>
      </w:tblGrid>
      <w:tr>
        <w:tblPrEx>
          <w:tblLayout w:type="fixed"/>
          <w:tblCellMar>
            <w:top w:w="0" w:type="dxa"/>
            <w:left w:w="108" w:type="dxa"/>
            <w:bottom w:w="0" w:type="dxa"/>
            <w:right w:w="108" w:type="dxa"/>
          </w:tblCellMar>
        </w:tblPrEx>
        <w:trPr>
          <w:trHeight w:val="585" w:hRule="atLeast"/>
        </w:trPr>
        <w:tc>
          <w:tcPr>
            <w:tcW w:w="8612" w:type="dxa"/>
            <w:gridSpan w:val="6"/>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规费、税金项目计价表</w:t>
            </w:r>
          </w:p>
        </w:tc>
      </w:tr>
      <w:tr>
        <w:tblPrEx>
          <w:tblLayout w:type="fixed"/>
          <w:tblCellMar>
            <w:top w:w="0" w:type="dxa"/>
            <w:left w:w="108" w:type="dxa"/>
            <w:bottom w:w="0" w:type="dxa"/>
            <w:right w:w="108" w:type="dxa"/>
          </w:tblCellMar>
        </w:tblPrEx>
        <w:trPr>
          <w:trHeight w:val="735" w:hRule="atLeast"/>
        </w:trPr>
        <w:tc>
          <w:tcPr>
            <w:tcW w:w="5738" w:type="dxa"/>
            <w:gridSpan w:val="3"/>
            <w:tcBorders>
              <w:top w:val="nil"/>
              <w:left w:val="nil"/>
              <w:bottom w:val="nil"/>
              <w:right w:val="nil"/>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工程名称：</w:t>
            </w:r>
            <w:r>
              <w:rPr>
                <w:rFonts w:ascii="宋体" w:hAnsi="宋体" w:cs="宋体"/>
                <w:kern w:val="0"/>
                <w:sz w:val="18"/>
                <w:szCs w:val="18"/>
                <w:highlight w:val="none"/>
              </w:rPr>
              <w:t xml:space="preserve"> </w:t>
            </w:r>
          </w:p>
        </w:tc>
        <w:tc>
          <w:tcPr>
            <w:tcW w:w="899" w:type="dxa"/>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975" w:type="dxa"/>
            <w:gridSpan w:val="2"/>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330" w:hRule="atLeast"/>
        </w:trPr>
        <w:tc>
          <w:tcPr>
            <w:tcW w:w="57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123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项目名称</w:t>
            </w:r>
          </w:p>
        </w:tc>
        <w:tc>
          <w:tcPr>
            <w:tcW w:w="3932"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计算基础</w:t>
            </w:r>
          </w:p>
        </w:tc>
        <w:tc>
          <w:tcPr>
            <w:tcW w:w="899"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计算基数</w:t>
            </w:r>
          </w:p>
        </w:tc>
        <w:tc>
          <w:tcPr>
            <w:tcW w:w="85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费率</w:t>
            </w:r>
            <w:r>
              <w:rPr>
                <w:rFonts w:ascii="宋体" w:hAnsi="宋体" w:cs="宋体"/>
                <w:kern w:val="0"/>
                <w:sz w:val="18"/>
                <w:szCs w:val="18"/>
                <w:highlight w:val="none"/>
              </w:rPr>
              <w:t>(%)</w:t>
            </w:r>
          </w:p>
        </w:tc>
        <w:tc>
          <w:tcPr>
            <w:tcW w:w="1120"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金额（元）</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规费</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社会保险费</w:t>
            </w:r>
            <w:r>
              <w:rPr>
                <w:rFonts w:ascii="宋体" w:hAnsi="宋体" w:cs="宋体"/>
                <w:kern w:val="0"/>
                <w:sz w:val="18"/>
                <w:szCs w:val="18"/>
                <w:highlight w:val="none"/>
              </w:rPr>
              <w:t>+</w:t>
            </w:r>
            <w:r>
              <w:rPr>
                <w:rFonts w:hint="eastAsia" w:ascii="宋体" w:hAnsi="宋体" w:cs="宋体"/>
                <w:kern w:val="0"/>
                <w:sz w:val="18"/>
                <w:szCs w:val="18"/>
                <w:highlight w:val="none"/>
              </w:rPr>
              <w:t>住房公积金费</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1.1</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社会保险费</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其中：人工费</w:t>
            </w:r>
            <w:r>
              <w:rPr>
                <w:rFonts w:ascii="宋体" w:hAnsi="宋体" w:cs="宋体"/>
                <w:kern w:val="0"/>
                <w:sz w:val="18"/>
                <w:szCs w:val="18"/>
                <w:highlight w:val="none"/>
              </w:rPr>
              <w:t>+</w:t>
            </w:r>
            <w:r>
              <w:rPr>
                <w:rFonts w:hint="eastAsia" w:ascii="宋体" w:hAnsi="宋体" w:cs="宋体"/>
                <w:kern w:val="0"/>
                <w:sz w:val="18"/>
                <w:szCs w:val="18"/>
                <w:highlight w:val="none"/>
              </w:rPr>
              <w:t>其中：人工费</w:t>
            </w:r>
            <w:r>
              <w:rPr>
                <w:rFonts w:ascii="宋体" w:hAnsi="宋体" w:cs="宋体"/>
                <w:kern w:val="0"/>
                <w:sz w:val="18"/>
                <w:szCs w:val="18"/>
                <w:highlight w:val="none"/>
              </w:rPr>
              <w:t>+</w:t>
            </w:r>
            <w:r>
              <w:rPr>
                <w:rFonts w:hint="eastAsia" w:ascii="宋体" w:hAnsi="宋体" w:cs="宋体"/>
                <w:kern w:val="0"/>
                <w:sz w:val="18"/>
                <w:szCs w:val="18"/>
                <w:highlight w:val="none"/>
              </w:rPr>
              <w:t>其中：计日工人工费</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14.23</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1.2</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住房公积金费</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其中：人工费</w:t>
            </w:r>
            <w:r>
              <w:rPr>
                <w:rFonts w:ascii="宋体" w:hAnsi="宋体" w:cs="宋体"/>
                <w:kern w:val="0"/>
                <w:sz w:val="18"/>
                <w:szCs w:val="18"/>
                <w:highlight w:val="none"/>
              </w:rPr>
              <w:t>+</w:t>
            </w:r>
            <w:r>
              <w:rPr>
                <w:rFonts w:hint="eastAsia" w:ascii="宋体" w:hAnsi="宋体" w:cs="宋体"/>
                <w:kern w:val="0"/>
                <w:sz w:val="18"/>
                <w:szCs w:val="18"/>
                <w:highlight w:val="none"/>
              </w:rPr>
              <w:t>其中：人工费</w:t>
            </w:r>
            <w:r>
              <w:rPr>
                <w:rFonts w:ascii="宋体" w:hAnsi="宋体" w:cs="宋体"/>
                <w:kern w:val="0"/>
                <w:sz w:val="18"/>
                <w:szCs w:val="18"/>
                <w:highlight w:val="none"/>
              </w:rPr>
              <w:t>+</w:t>
            </w:r>
            <w:r>
              <w:rPr>
                <w:rFonts w:hint="eastAsia" w:ascii="宋体" w:hAnsi="宋体" w:cs="宋体"/>
                <w:kern w:val="0"/>
                <w:sz w:val="18"/>
                <w:szCs w:val="18"/>
                <w:highlight w:val="none"/>
              </w:rPr>
              <w:t>其中：计日工人工费</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5.29</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税金</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分部分项工程</w:t>
            </w:r>
            <w:r>
              <w:rPr>
                <w:rFonts w:ascii="宋体" w:hAnsi="宋体" w:cs="宋体"/>
                <w:kern w:val="0"/>
                <w:sz w:val="18"/>
                <w:szCs w:val="18"/>
                <w:highlight w:val="none"/>
              </w:rPr>
              <w:t>+</w:t>
            </w:r>
            <w:r>
              <w:rPr>
                <w:rFonts w:hint="eastAsia" w:ascii="宋体" w:hAnsi="宋体" w:cs="宋体"/>
                <w:kern w:val="0"/>
                <w:sz w:val="18"/>
                <w:szCs w:val="18"/>
                <w:highlight w:val="none"/>
              </w:rPr>
              <w:t>措施项目</w:t>
            </w:r>
            <w:r>
              <w:rPr>
                <w:rFonts w:ascii="宋体" w:hAnsi="宋体" w:cs="宋体"/>
                <w:kern w:val="0"/>
                <w:sz w:val="18"/>
                <w:szCs w:val="18"/>
                <w:highlight w:val="none"/>
              </w:rPr>
              <w:t>+</w:t>
            </w:r>
            <w:r>
              <w:rPr>
                <w:rFonts w:hint="eastAsia" w:ascii="宋体" w:hAnsi="宋体" w:cs="宋体"/>
                <w:kern w:val="0"/>
                <w:sz w:val="18"/>
                <w:szCs w:val="18"/>
                <w:highlight w:val="none"/>
              </w:rPr>
              <w:t>其他项目</w:t>
            </w:r>
            <w:r>
              <w:rPr>
                <w:rFonts w:ascii="宋体" w:hAnsi="宋体" w:cs="宋体"/>
                <w:kern w:val="0"/>
                <w:sz w:val="18"/>
                <w:szCs w:val="18"/>
                <w:highlight w:val="none"/>
              </w:rPr>
              <w:t>+</w:t>
            </w:r>
            <w:r>
              <w:rPr>
                <w:rFonts w:hint="eastAsia" w:ascii="宋体" w:hAnsi="宋体" w:cs="宋体"/>
                <w:kern w:val="0"/>
                <w:sz w:val="18"/>
                <w:szCs w:val="18"/>
                <w:highlight w:val="none"/>
              </w:rPr>
              <w:t>规费</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11</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35"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3932"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85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20"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90" w:hRule="atLeast"/>
        </w:trPr>
        <w:tc>
          <w:tcPr>
            <w:tcW w:w="7492" w:type="dxa"/>
            <w:gridSpan w:val="5"/>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合计</w:t>
            </w:r>
          </w:p>
        </w:tc>
        <w:tc>
          <w:tcPr>
            <w:tcW w:w="1120" w:type="dxa"/>
            <w:tcBorders>
              <w:top w:val="nil"/>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5738" w:type="dxa"/>
            <w:gridSpan w:val="3"/>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p>
        </w:tc>
        <w:tc>
          <w:tcPr>
            <w:tcW w:w="2874" w:type="dxa"/>
            <w:gridSpan w:val="3"/>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285" w:hRule="atLeast"/>
        </w:trPr>
        <w:tc>
          <w:tcPr>
            <w:tcW w:w="5738" w:type="dxa"/>
            <w:gridSpan w:val="3"/>
            <w:tcBorders>
              <w:top w:val="nil"/>
              <w:left w:val="nil"/>
              <w:bottom w:val="nil"/>
              <w:right w:val="nil"/>
            </w:tcBorders>
            <w:shd w:val="clear" w:color="FFFFFF" w:fill="FFFFFF"/>
            <w:vAlign w:val="bottom"/>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899" w:type="dxa"/>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975" w:type="dxa"/>
            <w:gridSpan w:val="2"/>
            <w:tcBorders>
              <w:top w:val="nil"/>
              <w:left w:val="nil"/>
              <w:bottom w:val="nil"/>
              <w:right w:val="nil"/>
            </w:tcBorders>
            <w:shd w:val="clear" w:color="FFFFFF" w:fill="FFFFFF"/>
            <w:vAlign w:val="center"/>
          </w:tcPr>
          <w:p>
            <w:pPr>
              <w:widowControl/>
              <w:jc w:val="right"/>
              <w:rPr>
                <w:rFonts w:ascii="宋体" w:hAnsi="宋体" w:cs="宋体"/>
                <w:kern w:val="0"/>
                <w:sz w:val="18"/>
                <w:szCs w:val="18"/>
                <w:highlight w:val="none"/>
              </w:rPr>
            </w:pPr>
            <w:r>
              <w:rPr>
                <w:rFonts w:hint="eastAsia" w:ascii="宋体" w:hAnsi="宋体" w:cs="宋体"/>
                <w:kern w:val="0"/>
                <w:sz w:val="18"/>
                <w:szCs w:val="18"/>
                <w:highlight w:val="none"/>
              </w:rPr>
              <w:t>表</w:t>
            </w:r>
            <w:r>
              <w:rPr>
                <w:rFonts w:ascii="宋体" w:hAnsi="宋体" w:cs="宋体"/>
                <w:kern w:val="0"/>
                <w:sz w:val="18"/>
                <w:szCs w:val="18"/>
                <w:highlight w:val="none"/>
              </w:rPr>
              <w:t>-13</w:t>
            </w:r>
          </w:p>
        </w:tc>
      </w:tr>
    </w:tbl>
    <w:p>
      <w:pPr>
        <w:rPr>
          <w:highlight w:val="none"/>
        </w:rPr>
      </w:pPr>
    </w:p>
    <w:p>
      <w:pPr>
        <w:rPr>
          <w:highlight w:val="none"/>
        </w:rPr>
      </w:pPr>
    </w:p>
    <w:tbl>
      <w:tblPr>
        <w:tblStyle w:val="60"/>
        <w:tblW w:w="8205" w:type="dxa"/>
        <w:tblInd w:w="108" w:type="dxa"/>
        <w:tblLayout w:type="fixed"/>
        <w:tblCellMar>
          <w:top w:w="0" w:type="dxa"/>
          <w:left w:w="108" w:type="dxa"/>
          <w:bottom w:w="0" w:type="dxa"/>
          <w:right w:w="108" w:type="dxa"/>
        </w:tblCellMar>
      </w:tblPr>
      <w:tblGrid>
        <w:gridCol w:w="2209"/>
        <w:gridCol w:w="2864"/>
        <w:gridCol w:w="641"/>
        <w:gridCol w:w="288"/>
        <w:gridCol w:w="288"/>
        <w:gridCol w:w="1339"/>
        <w:gridCol w:w="288"/>
        <w:gridCol w:w="288"/>
      </w:tblGrid>
      <w:tr>
        <w:tblPrEx>
          <w:tblLayout w:type="fixed"/>
          <w:tblCellMar>
            <w:top w:w="0" w:type="dxa"/>
            <w:left w:w="108" w:type="dxa"/>
            <w:bottom w:w="0" w:type="dxa"/>
            <w:right w:w="108" w:type="dxa"/>
          </w:tblCellMar>
        </w:tblPrEx>
        <w:trPr>
          <w:gridAfter w:val="1"/>
          <w:wAfter w:w="288" w:type="dxa"/>
          <w:trHeight w:val="585" w:hRule="atLeast"/>
        </w:trPr>
        <w:tc>
          <w:tcPr>
            <w:tcW w:w="7917" w:type="dxa"/>
            <w:gridSpan w:val="7"/>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单位工程人材机汇总表</w:t>
            </w:r>
          </w:p>
        </w:tc>
      </w:tr>
      <w:tr>
        <w:tblPrEx>
          <w:tblLayout w:type="fixed"/>
          <w:tblCellMar>
            <w:top w:w="0" w:type="dxa"/>
            <w:left w:w="108" w:type="dxa"/>
            <w:bottom w:w="0" w:type="dxa"/>
            <w:right w:w="108" w:type="dxa"/>
          </w:tblCellMar>
        </w:tblPrEx>
        <w:trPr>
          <w:gridAfter w:val="1"/>
          <w:wAfter w:w="288" w:type="dxa"/>
          <w:trHeight w:val="510" w:hRule="atLeast"/>
        </w:trPr>
        <w:tc>
          <w:tcPr>
            <w:tcW w:w="6002" w:type="dxa"/>
            <w:gridSpan w:val="4"/>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工程名称：</w:t>
            </w:r>
          </w:p>
        </w:tc>
        <w:tc>
          <w:tcPr>
            <w:tcW w:w="1915" w:type="dxa"/>
            <w:gridSpan w:val="3"/>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3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285" w:hRule="atLeast"/>
        </w:trPr>
        <w:tc>
          <w:tcPr>
            <w:tcW w:w="2209"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2864"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名称及规格</w:t>
            </w:r>
          </w:p>
        </w:tc>
        <w:tc>
          <w:tcPr>
            <w:tcW w:w="64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单位</w:t>
            </w:r>
          </w:p>
        </w:tc>
        <w:tc>
          <w:tcPr>
            <w:tcW w:w="576"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数量</w:t>
            </w:r>
          </w:p>
        </w:tc>
        <w:tc>
          <w:tcPr>
            <w:tcW w:w="1339"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市场价</w:t>
            </w:r>
          </w:p>
        </w:tc>
        <w:tc>
          <w:tcPr>
            <w:tcW w:w="576" w:type="dxa"/>
            <w:gridSpan w:val="2"/>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合计</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一、</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人工类别</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综合工日</w:t>
            </w:r>
            <w:r>
              <w:rPr>
                <w:rFonts w:ascii="宋体" w:hAnsi="宋体" w:cs="宋体"/>
                <w:kern w:val="0"/>
                <w:sz w:val="18"/>
                <w:szCs w:val="18"/>
                <w:highlight w:val="none"/>
              </w:rPr>
              <w:t xml:space="preserve">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工日</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综合工日</w:t>
            </w:r>
            <w:r>
              <w:rPr>
                <w:rFonts w:ascii="宋体" w:hAnsi="宋体" w:cs="宋体"/>
                <w:kern w:val="0"/>
                <w:sz w:val="18"/>
                <w:szCs w:val="18"/>
                <w:highlight w:val="none"/>
              </w:rPr>
              <w:t xml:space="preserve">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工日</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综合工日</w:t>
            </w:r>
            <w:r>
              <w:rPr>
                <w:rFonts w:ascii="宋体" w:hAnsi="宋体" w:cs="宋体"/>
                <w:kern w:val="0"/>
                <w:sz w:val="18"/>
                <w:szCs w:val="18"/>
                <w:highlight w:val="none"/>
              </w:rPr>
              <w:t xml:space="preserve">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工日</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三、</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材料类别</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四、</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机械类别</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五、</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主材类别</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六、</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设备类别</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64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285" w:hRule="atLeast"/>
        </w:trPr>
        <w:tc>
          <w:tcPr>
            <w:tcW w:w="2209"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2864" w:type="dxa"/>
            <w:tcBorders>
              <w:top w:val="single" w:color="000000" w:sz="4" w:space="0"/>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合计</w:t>
            </w:r>
          </w:p>
        </w:tc>
        <w:tc>
          <w:tcPr>
            <w:tcW w:w="641" w:type="dxa"/>
            <w:tcBorders>
              <w:top w:val="nil"/>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39" w:type="dxa"/>
            <w:tcBorders>
              <w:top w:val="single" w:color="000000" w:sz="4" w:space="0"/>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576" w:type="dxa"/>
            <w:gridSpan w:val="2"/>
            <w:tcBorders>
              <w:top w:val="nil"/>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bl>
    <w:p>
      <w:pPr>
        <w:rPr>
          <w:highlight w:val="none"/>
        </w:rPr>
      </w:pPr>
    </w:p>
    <w:p>
      <w:pPr>
        <w:rPr>
          <w:highlight w:val="none"/>
        </w:rPr>
      </w:pPr>
    </w:p>
    <w:p>
      <w:pPr>
        <w:rPr>
          <w:highlight w:val="none"/>
        </w:rPr>
      </w:pPr>
    </w:p>
    <w:tbl>
      <w:tblPr>
        <w:tblStyle w:val="60"/>
        <w:tblW w:w="8612" w:type="dxa"/>
        <w:tblInd w:w="108" w:type="dxa"/>
        <w:tblLayout w:type="fixed"/>
        <w:tblCellMar>
          <w:top w:w="0" w:type="dxa"/>
          <w:left w:w="108" w:type="dxa"/>
          <w:bottom w:w="0" w:type="dxa"/>
          <w:right w:w="108" w:type="dxa"/>
        </w:tblCellMar>
      </w:tblPr>
      <w:tblGrid>
        <w:gridCol w:w="1296"/>
        <w:gridCol w:w="1265"/>
        <w:gridCol w:w="1809"/>
        <w:gridCol w:w="687"/>
        <w:gridCol w:w="687"/>
        <w:gridCol w:w="722"/>
        <w:gridCol w:w="307"/>
        <w:gridCol w:w="307"/>
        <w:gridCol w:w="621"/>
        <w:gridCol w:w="911"/>
      </w:tblGrid>
      <w:tr>
        <w:tblPrEx>
          <w:tblLayout w:type="fixed"/>
          <w:tblCellMar>
            <w:top w:w="0" w:type="dxa"/>
            <w:left w:w="108" w:type="dxa"/>
            <w:bottom w:w="0" w:type="dxa"/>
            <w:right w:w="108" w:type="dxa"/>
          </w:tblCellMar>
        </w:tblPrEx>
        <w:trPr>
          <w:trHeight w:val="765" w:hRule="atLeast"/>
        </w:trPr>
        <w:tc>
          <w:tcPr>
            <w:tcW w:w="8612" w:type="dxa"/>
            <w:gridSpan w:val="10"/>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措施项目报价组成分析表</w:t>
            </w:r>
          </w:p>
        </w:tc>
      </w:tr>
      <w:tr>
        <w:tblPrEx>
          <w:tblLayout w:type="fixed"/>
          <w:tblCellMar>
            <w:top w:w="0" w:type="dxa"/>
            <w:left w:w="108" w:type="dxa"/>
            <w:bottom w:w="0" w:type="dxa"/>
            <w:right w:w="108" w:type="dxa"/>
          </w:tblCellMar>
        </w:tblPrEx>
        <w:trPr>
          <w:trHeight w:val="510" w:hRule="atLeast"/>
        </w:trPr>
        <w:tc>
          <w:tcPr>
            <w:tcW w:w="5057" w:type="dxa"/>
            <w:gridSpan w:val="4"/>
            <w:tcBorders>
              <w:top w:val="nil"/>
              <w:left w:val="nil"/>
              <w:bottom w:val="nil"/>
              <w:right w:val="nil"/>
            </w:tcBorders>
            <w:shd w:val="clear" w:color="FFFFFF" w:fill="FFFFFF"/>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工程名称：</w:t>
            </w:r>
            <w:r>
              <w:rPr>
                <w:rFonts w:ascii="宋体" w:hAnsi="宋体" w:cs="宋体"/>
                <w:kern w:val="0"/>
                <w:sz w:val="18"/>
                <w:szCs w:val="18"/>
                <w:highlight w:val="none"/>
              </w:rPr>
              <w:t xml:space="preserve"> </w:t>
            </w:r>
          </w:p>
        </w:tc>
        <w:tc>
          <w:tcPr>
            <w:tcW w:w="1716" w:type="dxa"/>
            <w:gridSpan w:val="3"/>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839" w:type="dxa"/>
            <w:gridSpan w:val="3"/>
            <w:tcBorders>
              <w:top w:val="nil"/>
              <w:left w:val="nil"/>
              <w:bottom w:val="nil"/>
              <w:right w:val="nil"/>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第</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r>
              <w:rPr>
                <w:rFonts w:ascii="宋体" w:hAnsi="宋体" w:cs="宋体"/>
                <w:kern w:val="0"/>
                <w:sz w:val="18"/>
                <w:szCs w:val="18"/>
                <w:highlight w:val="none"/>
              </w:rPr>
              <w:t xml:space="preserve">  </w:t>
            </w:r>
            <w:r>
              <w:rPr>
                <w:rFonts w:hint="eastAsia" w:ascii="宋体" w:hAnsi="宋体" w:cs="宋体"/>
                <w:kern w:val="0"/>
                <w:sz w:val="18"/>
                <w:szCs w:val="18"/>
                <w:highlight w:val="none"/>
              </w:rPr>
              <w:t>共</w:t>
            </w:r>
            <w:r>
              <w:rPr>
                <w:rFonts w:ascii="宋体" w:hAnsi="宋体" w:cs="宋体"/>
                <w:kern w:val="0"/>
                <w:sz w:val="18"/>
                <w:szCs w:val="18"/>
                <w:highlight w:val="none"/>
              </w:rPr>
              <w:t xml:space="preserve">  1  </w:t>
            </w:r>
            <w:r>
              <w:rPr>
                <w:rFonts w:hint="eastAsia" w:ascii="宋体" w:hAnsi="宋体" w:cs="宋体"/>
                <w:kern w:val="0"/>
                <w:sz w:val="18"/>
                <w:szCs w:val="18"/>
                <w:highlight w:val="none"/>
              </w:rPr>
              <w:t>页</w:t>
            </w:r>
          </w:p>
        </w:tc>
      </w:tr>
      <w:tr>
        <w:tblPrEx>
          <w:tblLayout w:type="fixed"/>
          <w:tblCellMar>
            <w:top w:w="0" w:type="dxa"/>
            <w:left w:w="108" w:type="dxa"/>
            <w:bottom w:w="0" w:type="dxa"/>
            <w:right w:w="108" w:type="dxa"/>
          </w:tblCellMar>
        </w:tblPrEx>
        <w:trPr>
          <w:trHeight w:val="225" w:hRule="atLeast"/>
        </w:trPr>
        <w:tc>
          <w:tcPr>
            <w:tcW w:w="1296"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子目编码</w:t>
            </w:r>
          </w:p>
        </w:tc>
        <w:tc>
          <w:tcPr>
            <w:tcW w:w="126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措施项目名称</w:t>
            </w:r>
          </w:p>
        </w:tc>
        <w:tc>
          <w:tcPr>
            <w:tcW w:w="180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拟采取主要方案或投入资源描述</w:t>
            </w:r>
          </w:p>
        </w:tc>
        <w:tc>
          <w:tcPr>
            <w:tcW w:w="137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实际成本详细计算过程</w:t>
            </w:r>
          </w:p>
        </w:tc>
        <w:tc>
          <w:tcPr>
            <w:tcW w:w="1957" w:type="dxa"/>
            <w:gridSpan w:val="4"/>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直接费合价</w:t>
            </w:r>
          </w:p>
        </w:tc>
        <w:tc>
          <w:tcPr>
            <w:tcW w:w="911" w:type="dxa"/>
            <w:vMerge w:val="restart"/>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报价金额</w:t>
            </w:r>
          </w:p>
        </w:tc>
      </w:tr>
      <w:tr>
        <w:tblPrEx>
          <w:tblLayout w:type="fixed"/>
          <w:tblCellMar>
            <w:top w:w="0" w:type="dxa"/>
            <w:left w:w="108" w:type="dxa"/>
            <w:bottom w:w="0" w:type="dxa"/>
            <w:right w:w="108" w:type="dxa"/>
          </w:tblCellMar>
        </w:tblPrEx>
        <w:trPr>
          <w:trHeight w:val="330" w:hRule="atLeast"/>
        </w:trPr>
        <w:tc>
          <w:tcPr>
            <w:tcW w:w="1296"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1265"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1809" w:type="dxa"/>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1374" w:type="dxa"/>
            <w:gridSpan w:val="2"/>
            <w:vMerge w:val="continue"/>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cs="宋体"/>
                <w:kern w:val="0"/>
                <w:sz w:val="18"/>
                <w:szCs w:val="18"/>
                <w:highlight w:val="none"/>
              </w:rPr>
            </w:pPr>
          </w:p>
        </w:tc>
        <w:tc>
          <w:tcPr>
            <w:tcW w:w="72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实际成本</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管理费</w:t>
            </w:r>
          </w:p>
        </w:tc>
        <w:tc>
          <w:tcPr>
            <w:tcW w:w="62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利润</w:t>
            </w:r>
          </w:p>
        </w:tc>
        <w:tc>
          <w:tcPr>
            <w:tcW w:w="911" w:type="dxa"/>
            <w:vMerge w:val="continue"/>
            <w:tcBorders>
              <w:top w:val="single" w:color="000000" w:sz="8" w:space="0"/>
              <w:left w:val="single" w:color="000000" w:sz="4" w:space="0"/>
              <w:bottom w:val="single" w:color="000000" w:sz="4" w:space="0"/>
              <w:right w:val="single" w:color="000000" w:sz="8" w:space="0"/>
            </w:tcBorders>
            <w:vAlign w:val="center"/>
          </w:tcPr>
          <w:p>
            <w:pPr>
              <w:widowControl/>
              <w:jc w:val="left"/>
              <w:rPr>
                <w:rFonts w:ascii="宋体" w:cs="宋体"/>
                <w:kern w:val="0"/>
                <w:sz w:val="18"/>
                <w:szCs w:val="18"/>
                <w:highlight w:val="none"/>
              </w:rPr>
            </w:pP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031302001001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安全文明施工</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环境保护</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1.2</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文明施工</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1.3</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安全施工</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1.4</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临时设施</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031302002001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夜间施工增加</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031302003001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非夜间施工增加</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031302004001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二次搬运</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031302005001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冬雨季施工增加</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031302006001</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已完工程及设备保护</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4"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4"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15" w:hRule="atLeast"/>
        </w:trPr>
        <w:tc>
          <w:tcPr>
            <w:tcW w:w="1296"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265" w:type="dxa"/>
            <w:tcBorders>
              <w:top w:val="nil"/>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809" w:type="dxa"/>
            <w:tcBorders>
              <w:top w:val="nil"/>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374"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22"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14" w:type="dxa"/>
            <w:gridSpan w:val="2"/>
            <w:tcBorders>
              <w:top w:val="single" w:color="000000" w:sz="4" w:space="0"/>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621"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911" w:type="dxa"/>
            <w:tcBorders>
              <w:top w:val="nil"/>
              <w:left w:val="nil"/>
              <w:bottom w:val="single" w:color="000000" w:sz="8" w:space="0"/>
              <w:right w:val="single" w:color="000000" w:sz="8"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r>
    </w:tbl>
    <w:p>
      <w:pPr>
        <w:rPr>
          <w:highlight w:val="none"/>
        </w:rPr>
      </w:pPr>
    </w:p>
    <w:p>
      <w:pPr>
        <w:rPr>
          <w:highlight w:val="none"/>
        </w:rPr>
      </w:pPr>
    </w:p>
    <w:p>
      <w:pPr>
        <w:rPr>
          <w:highlight w:val="none"/>
        </w:rPr>
      </w:pPr>
    </w:p>
    <w:p>
      <w:pPr>
        <w:rPr>
          <w:highlight w:val="none"/>
        </w:rPr>
      </w:pPr>
    </w:p>
    <w:tbl>
      <w:tblPr>
        <w:tblStyle w:val="60"/>
        <w:tblW w:w="8497" w:type="dxa"/>
        <w:tblInd w:w="108" w:type="dxa"/>
        <w:tblLayout w:type="fixed"/>
        <w:tblCellMar>
          <w:top w:w="0" w:type="dxa"/>
          <w:left w:w="108" w:type="dxa"/>
          <w:bottom w:w="0" w:type="dxa"/>
          <w:right w:w="108" w:type="dxa"/>
        </w:tblCellMar>
      </w:tblPr>
      <w:tblGrid>
        <w:gridCol w:w="733"/>
        <w:gridCol w:w="2336"/>
        <w:gridCol w:w="733"/>
        <w:gridCol w:w="733"/>
        <w:gridCol w:w="733"/>
        <w:gridCol w:w="1305"/>
        <w:gridCol w:w="1191"/>
        <w:gridCol w:w="733"/>
      </w:tblGrid>
      <w:tr>
        <w:tblPrEx>
          <w:tblLayout w:type="fixed"/>
          <w:tblCellMar>
            <w:top w:w="0" w:type="dxa"/>
            <w:left w:w="108" w:type="dxa"/>
            <w:bottom w:w="0" w:type="dxa"/>
            <w:right w:w="108" w:type="dxa"/>
          </w:tblCellMar>
        </w:tblPrEx>
        <w:trPr>
          <w:trHeight w:val="795" w:hRule="atLeast"/>
        </w:trPr>
        <w:tc>
          <w:tcPr>
            <w:tcW w:w="8497" w:type="dxa"/>
            <w:gridSpan w:val="8"/>
            <w:tcBorders>
              <w:top w:val="nil"/>
              <w:left w:val="nil"/>
              <w:bottom w:val="nil"/>
              <w:right w:val="nil"/>
            </w:tcBorders>
            <w:shd w:val="clear" w:color="FFFFFF" w:fill="FFFFFF"/>
            <w:vAlign w:val="center"/>
          </w:tcPr>
          <w:p>
            <w:pPr>
              <w:widowControl/>
              <w:jc w:val="center"/>
              <w:rPr>
                <w:rFonts w:ascii="宋体" w:cs="宋体"/>
                <w:b/>
                <w:bCs/>
                <w:kern w:val="0"/>
                <w:sz w:val="40"/>
                <w:szCs w:val="40"/>
                <w:highlight w:val="none"/>
              </w:rPr>
            </w:pPr>
            <w:r>
              <w:rPr>
                <w:rFonts w:hint="eastAsia" w:ascii="宋体" w:hAnsi="宋体" w:cs="宋体"/>
                <w:b/>
                <w:bCs/>
                <w:kern w:val="0"/>
                <w:sz w:val="40"/>
                <w:szCs w:val="40"/>
                <w:highlight w:val="none"/>
              </w:rPr>
              <w:t>主要材料和工程设备选用表</w:t>
            </w:r>
          </w:p>
        </w:tc>
      </w:tr>
      <w:tr>
        <w:tblPrEx>
          <w:tblLayout w:type="fixed"/>
          <w:tblCellMar>
            <w:top w:w="0" w:type="dxa"/>
            <w:left w:w="108" w:type="dxa"/>
            <w:bottom w:w="0" w:type="dxa"/>
            <w:right w:w="108" w:type="dxa"/>
          </w:tblCellMar>
        </w:tblPrEx>
        <w:trPr>
          <w:trHeight w:val="285" w:hRule="atLeast"/>
        </w:trPr>
        <w:tc>
          <w:tcPr>
            <w:tcW w:w="8497" w:type="dxa"/>
            <w:gridSpan w:val="8"/>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工程名称：</w:t>
            </w:r>
          </w:p>
        </w:tc>
      </w:tr>
      <w:tr>
        <w:tblPrEx>
          <w:tblLayout w:type="fixed"/>
          <w:tblCellMar>
            <w:top w:w="0" w:type="dxa"/>
            <w:left w:w="108" w:type="dxa"/>
            <w:bottom w:w="0" w:type="dxa"/>
            <w:right w:w="108" w:type="dxa"/>
          </w:tblCellMar>
        </w:tblPrEx>
        <w:trPr>
          <w:trHeight w:val="480" w:hRule="atLeast"/>
        </w:trPr>
        <w:tc>
          <w:tcPr>
            <w:tcW w:w="733"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序号</w:t>
            </w:r>
          </w:p>
        </w:tc>
        <w:tc>
          <w:tcPr>
            <w:tcW w:w="2336"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材料和工程设备名称</w:t>
            </w:r>
          </w:p>
        </w:tc>
        <w:tc>
          <w:tcPr>
            <w:tcW w:w="733"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单位</w:t>
            </w:r>
          </w:p>
        </w:tc>
        <w:tc>
          <w:tcPr>
            <w:tcW w:w="733"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单价</w:t>
            </w:r>
          </w:p>
        </w:tc>
        <w:tc>
          <w:tcPr>
            <w:tcW w:w="733"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数量</w:t>
            </w:r>
          </w:p>
        </w:tc>
        <w:tc>
          <w:tcPr>
            <w:tcW w:w="1305"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品牌</w:t>
            </w:r>
            <w:r>
              <w:rPr>
                <w:rFonts w:ascii="宋体" w:hAnsi="宋体" w:cs="宋体"/>
                <w:kern w:val="0"/>
                <w:sz w:val="18"/>
                <w:szCs w:val="18"/>
                <w:highlight w:val="none"/>
              </w:rPr>
              <w:t>/</w:t>
            </w:r>
            <w:r>
              <w:rPr>
                <w:rFonts w:hint="eastAsia" w:ascii="宋体" w:hAnsi="宋体" w:cs="宋体"/>
                <w:kern w:val="0"/>
                <w:sz w:val="18"/>
                <w:szCs w:val="18"/>
                <w:highlight w:val="none"/>
              </w:rPr>
              <w:t>厂家</w:t>
            </w:r>
          </w:p>
        </w:tc>
        <w:tc>
          <w:tcPr>
            <w:tcW w:w="1191" w:type="dxa"/>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规格型号</w:t>
            </w:r>
          </w:p>
        </w:tc>
        <w:tc>
          <w:tcPr>
            <w:tcW w:w="733" w:type="dxa"/>
            <w:tcBorders>
              <w:top w:val="single" w:color="000000" w:sz="8" w:space="0"/>
              <w:left w:val="nil"/>
              <w:bottom w:val="single" w:color="000000" w:sz="4" w:space="0"/>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备注</w:t>
            </w:r>
          </w:p>
        </w:tc>
      </w:tr>
      <w:tr>
        <w:tblPrEx>
          <w:tblLayout w:type="fixed"/>
          <w:tblCellMar>
            <w:top w:w="0" w:type="dxa"/>
            <w:left w:w="108" w:type="dxa"/>
            <w:bottom w:w="0" w:type="dxa"/>
            <w:right w:w="108" w:type="dxa"/>
          </w:tblCellMar>
        </w:tblPrEx>
        <w:trPr>
          <w:trHeight w:val="28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single" w:color="000000" w:sz="4" w:space="0"/>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single" w:color="000000" w:sz="4" w:space="0"/>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3</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4</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5</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6</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7</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8</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9</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10</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11</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12</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13</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14</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15</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16</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17</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18</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510" w:hRule="atLeast"/>
        </w:trPr>
        <w:tc>
          <w:tcPr>
            <w:tcW w:w="733" w:type="dxa"/>
            <w:tcBorders>
              <w:top w:val="nil"/>
              <w:left w:val="single" w:color="000000" w:sz="8" w:space="0"/>
              <w:bottom w:val="nil"/>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19</w:t>
            </w:r>
          </w:p>
        </w:tc>
        <w:tc>
          <w:tcPr>
            <w:tcW w:w="2336"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nil"/>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nil"/>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45" w:hRule="atLeast"/>
        </w:trPr>
        <w:tc>
          <w:tcPr>
            <w:tcW w:w="733"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cs="宋体"/>
                <w:kern w:val="0"/>
                <w:sz w:val="18"/>
                <w:szCs w:val="18"/>
                <w:highlight w:val="none"/>
              </w:rPr>
            </w:pPr>
            <w:r>
              <w:rPr>
                <w:rFonts w:ascii="宋体" w:hAnsi="宋体" w:cs="宋体"/>
                <w:kern w:val="0"/>
                <w:sz w:val="18"/>
                <w:szCs w:val="18"/>
                <w:highlight w:val="none"/>
              </w:rPr>
              <w:t>20</w:t>
            </w:r>
          </w:p>
        </w:tc>
        <w:tc>
          <w:tcPr>
            <w:tcW w:w="2336" w:type="dxa"/>
            <w:tcBorders>
              <w:top w:val="nil"/>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single" w:color="000000" w:sz="8" w:space="0"/>
              <w:right w:val="single" w:color="000000" w:sz="4" w:space="0"/>
            </w:tcBorders>
            <w:shd w:val="clear" w:color="FFFFFF" w:fill="FFFFFF"/>
            <w:vAlign w:val="center"/>
          </w:tcPr>
          <w:p>
            <w:pPr>
              <w:widowControl/>
              <w:jc w:val="center"/>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single" w:color="000000" w:sz="8" w:space="0"/>
              <w:right w:val="single" w:color="000000" w:sz="4" w:space="0"/>
            </w:tcBorders>
            <w:shd w:val="clear" w:color="FFFFFF" w:fill="FFFFFF"/>
            <w:vAlign w:val="center"/>
          </w:tcPr>
          <w:p>
            <w:pPr>
              <w:widowControl/>
              <w:jc w:val="right"/>
              <w:rPr>
                <w:rFonts w:ascii="宋体" w:cs="宋体"/>
                <w:kern w:val="0"/>
                <w:sz w:val="18"/>
                <w:szCs w:val="18"/>
                <w:highlight w:val="none"/>
              </w:rPr>
            </w:pPr>
            <w:r>
              <w:rPr>
                <w:rFonts w:hint="eastAsia" w:ascii="宋体" w:hAnsi="宋体" w:cs="宋体"/>
                <w:kern w:val="0"/>
                <w:sz w:val="18"/>
                <w:szCs w:val="18"/>
                <w:highlight w:val="none"/>
              </w:rPr>
              <w:t>　</w:t>
            </w:r>
          </w:p>
        </w:tc>
        <w:tc>
          <w:tcPr>
            <w:tcW w:w="1305" w:type="dxa"/>
            <w:tcBorders>
              <w:top w:val="nil"/>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1191" w:type="dxa"/>
            <w:tcBorders>
              <w:top w:val="nil"/>
              <w:left w:val="nil"/>
              <w:bottom w:val="single" w:color="000000" w:sz="8" w:space="0"/>
              <w:right w:val="single" w:color="000000" w:sz="4"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c>
          <w:tcPr>
            <w:tcW w:w="733" w:type="dxa"/>
            <w:tcBorders>
              <w:top w:val="nil"/>
              <w:left w:val="nil"/>
              <w:bottom w:val="single" w:color="000000" w:sz="8" w:space="0"/>
              <w:right w:val="single" w:color="000000" w:sz="8" w:space="0"/>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60" w:hRule="atLeast"/>
        </w:trPr>
        <w:tc>
          <w:tcPr>
            <w:tcW w:w="8497" w:type="dxa"/>
            <w:gridSpan w:val="8"/>
            <w:tcBorders>
              <w:top w:val="nil"/>
              <w:left w:val="nil"/>
              <w:bottom w:val="nil"/>
              <w:right w:val="nil"/>
            </w:tcBorders>
            <w:shd w:val="clear" w:color="FFFFFF" w:fill="FFFFFF"/>
            <w:vAlign w:val="center"/>
          </w:tcPr>
          <w:p>
            <w:pPr>
              <w:widowControl/>
              <w:jc w:val="left"/>
              <w:rPr>
                <w:rFonts w:ascii="宋体" w:cs="宋体"/>
                <w:kern w:val="0"/>
                <w:sz w:val="18"/>
                <w:szCs w:val="18"/>
                <w:highlight w:val="none"/>
              </w:rPr>
            </w:pPr>
            <w:r>
              <w:rPr>
                <w:rFonts w:hint="eastAsia" w:ascii="宋体" w:hAnsi="宋体" w:cs="宋体"/>
                <w:kern w:val="0"/>
                <w:sz w:val="18"/>
                <w:szCs w:val="18"/>
                <w:highlight w:val="none"/>
              </w:rPr>
              <w:t>注：本表中所列材料设备应仅限于承包人自行采购范围内的材料设备。本表格可以按照同样的格式扩展。</w:t>
            </w:r>
          </w:p>
        </w:tc>
      </w:tr>
    </w:tbl>
    <w:p>
      <w:pPr>
        <w:rPr>
          <w:highlight w:val="none"/>
        </w:rPr>
      </w:pPr>
    </w:p>
    <w:bookmarkEnd w:id="121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ntury">
    <w:panose1 w:val="02040604050505020304"/>
    <w:charset w:val="00"/>
    <w:family w:val="roman"/>
    <w:pitch w:val="default"/>
    <w:sig w:usb0="00000287" w:usb1="00000000" w:usb2="00000000" w:usb3="00000000" w:csb0="2000009F" w:csb1="DFD7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pict>
        <v:shape id="Text Box 1" o:spid="_x0000_s4097" o:spt="202" type="#_x0000_t202" style="position:absolute;left:0pt;margin-top:0pt;height:21.95pt;width:24.1pt;mso-position-horizontal:center;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35"/>
                </w:pPr>
                <w:r>
                  <w:fldChar w:fldCharType="begin"/>
                </w:r>
                <w:r>
                  <w:instrText xml:space="preserve"> PAGE  \* MERGEFORMAT </w:instrText>
                </w:r>
                <w:r>
                  <w:fldChar w:fldCharType="separate"/>
                </w:r>
                <w:r>
                  <w:t>21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pict>
        <v:shape id="Text Box 2" o:spid="_x0000_s4098" o:spt="202" type="#_x0000_t202" style="position:absolute;left:0pt;margin-top:0pt;height:21.95pt;width:17.45pt;mso-position-horizontal:center;mso-position-horizontal-relative:margin;z-index:251662336;mso-width-relative:page;mso-height-relative:page;" filled="f" stroked="f" coordsize="21600,21600">
          <v:path/>
          <v:fill on="f" focussize="0,0"/>
          <v:stroke on="f" joinstyle="miter"/>
          <v:imagedata o:title=""/>
          <o:lock v:ext="edit"/>
          <v:textbox inset="0mm,0mm,0mm,0mm" style="mso-fit-shape-to-text:t;">
            <w:txbxContent>
              <w:p>
                <w:pPr>
                  <w:pStyle w:val="35"/>
                  <w:jc w:val="center"/>
                </w:pPr>
                <w:r>
                  <w:fldChar w:fldCharType="begin"/>
                </w:r>
                <w:r>
                  <w:instrText xml:space="preserve"> PAGE  \* MERGEFORMAT </w:instrText>
                </w:r>
                <w:r>
                  <w:fldChar w:fldCharType="separate"/>
                </w:r>
                <w:r>
                  <w:t>67</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120</w:t>
    </w:r>
    <w:r>
      <w:rPr>
        <w:rStyle w:val="55"/>
      </w:rPr>
      <w:fldChar w:fldCharType="end"/>
    </w:r>
  </w:p>
  <w:p>
    <w:pPr>
      <w:pStyle w:val="3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fldChar w:fldCharType="begin"/>
    </w:r>
    <w:r>
      <w:instrText xml:space="preserve"> PAGE  \* MERGEFORMAT </w:instrText>
    </w:r>
    <w:r>
      <w:fldChar w:fldCharType="separate"/>
    </w:r>
    <w:r>
      <w:t>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decimal"/>
      <w:pStyle w:val="229"/>
      <w:lvlText w:val="%1"/>
      <w:lvlJc w:val="left"/>
      <w:pPr>
        <w:tabs>
          <w:tab w:val="left" w:pos="709"/>
        </w:tabs>
        <w:ind w:left="709" w:hanging="709"/>
      </w:pPr>
      <w:rPr>
        <w:rFonts w:cs="Times New Roman"/>
      </w:rPr>
    </w:lvl>
    <w:lvl w:ilvl="1" w:tentative="0">
      <w:start w:val="4"/>
      <w:numFmt w:val="decimal"/>
      <w:lvlText w:val="3.%2"/>
      <w:lvlJc w:val="left"/>
      <w:pPr>
        <w:tabs>
          <w:tab w:val="left" w:pos="709"/>
        </w:tabs>
        <w:ind w:left="709" w:hanging="709"/>
      </w:pPr>
      <w:rPr>
        <w:rFonts w:cs="Times New Roman"/>
      </w:rPr>
    </w:lvl>
    <w:lvl w:ilvl="2" w:tentative="0">
      <w:start w:val="1"/>
      <w:numFmt w:val="decimal"/>
      <w:lvlText w:val="%1.%2.%3."/>
      <w:lvlJc w:val="left"/>
      <w:pPr>
        <w:tabs>
          <w:tab w:val="left" w:pos="425"/>
        </w:tabs>
        <w:ind w:left="425" w:hanging="425"/>
      </w:pPr>
      <w:rPr>
        <w:rFonts w:cs="Times New Roman"/>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1">
    <w:nsid w:val="0000001A"/>
    <w:multiLevelType w:val="multilevel"/>
    <w:tmpl w:val="0000001A"/>
    <w:lvl w:ilvl="0" w:tentative="0">
      <w:start w:val="1"/>
      <w:numFmt w:val="decimal"/>
      <w:lvlText w:val="%1、"/>
      <w:lvlJc w:val="left"/>
      <w:pPr>
        <w:tabs>
          <w:tab w:val="left" w:pos="360"/>
        </w:tabs>
        <w:ind w:left="360" w:hanging="360"/>
      </w:pPr>
      <w:rPr>
        <w:rFonts w:cs="Times New Roman"/>
      </w:rPr>
    </w:lvl>
    <w:lvl w:ilvl="1" w:tentative="0">
      <w:start w:val="1"/>
      <w:numFmt w:val="bullet"/>
      <w:pStyle w:val="181"/>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
    <w:nsid w:val="00000021"/>
    <w:multiLevelType w:val="multilevel"/>
    <w:tmpl w:val="00000021"/>
    <w:lvl w:ilvl="0" w:tentative="0">
      <w:start w:val="1"/>
      <w:numFmt w:val="decimal"/>
      <w:lvlText w:val="%1.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pStyle w:val="193"/>
      <w:lvlText w:val="%1.%2.%3.%4"/>
      <w:lvlJc w:val="left"/>
      <w:pPr>
        <w:tabs>
          <w:tab w:val="left" w:pos="2356"/>
        </w:tabs>
        <w:ind w:left="1984" w:hanging="708"/>
      </w:pPr>
      <w:rPr>
        <w:rFonts w:cs="Times New Roman"/>
      </w:rPr>
    </w:lvl>
    <w:lvl w:ilvl="4" w:tentative="0">
      <w:start w:val="1"/>
      <w:numFmt w:val="decimal"/>
      <w:lvlText w:val="%1.%2.%3.%4.%5"/>
      <w:lvlJc w:val="left"/>
      <w:pPr>
        <w:tabs>
          <w:tab w:val="left" w:pos="2781"/>
        </w:tabs>
        <w:ind w:left="2551" w:hanging="850"/>
      </w:pPr>
      <w:rPr>
        <w:rFonts w:cs="Times New Roman"/>
      </w:rPr>
    </w:lvl>
    <w:lvl w:ilvl="5" w:tentative="0">
      <w:start w:val="1"/>
      <w:numFmt w:val="decimal"/>
      <w:lvlText w:val="%1.%2.%3.%4.%5.%6"/>
      <w:lvlJc w:val="left"/>
      <w:pPr>
        <w:tabs>
          <w:tab w:val="left" w:pos="3566"/>
        </w:tabs>
        <w:ind w:left="3260" w:hanging="1134"/>
      </w:pPr>
      <w:rPr>
        <w:rFonts w:cs="Times New Roman"/>
      </w:rPr>
    </w:lvl>
    <w:lvl w:ilvl="6" w:tentative="0">
      <w:start w:val="1"/>
      <w:numFmt w:val="decimal"/>
      <w:lvlText w:val="%1.%2.%3.%4.%5.%6.%7"/>
      <w:lvlJc w:val="left"/>
      <w:pPr>
        <w:tabs>
          <w:tab w:val="left" w:pos="3991"/>
        </w:tabs>
        <w:ind w:left="3827" w:hanging="1276"/>
      </w:pPr>
      <w:rPr>
        <w:rFonts w:cs="Times New Roman"/>
      </w:rPr>
    </w:lvl>
    <w:lvl w:ilvl="7" w:tentative="0">
      <w:start w:val="1"/>
      <w:numFmt w:val="decimal"/>
      <w:lvlText w:val="%1.%2.%3.%4.%5.%6.%7.%8"/>
      <w:lvlJc w:val="left"/>
      <w:pPr>
        <w:tabs>
          <w:tab w:val="left" w:pos="4776"/>
        </w:tabs>
        <w:ind w:left="4394" w:hanging="1418"/>
      </w:pPr>
      <w:rPr>
        <w:rFonts w:cs="Times New Roman"/>
      </w:rPr>
    </w:lvl>
    <w:lvl w:ilvl="8" w:tentative="0">
      <w:start w:val="1"/>
      <w:numFmt w:val="decimal"/>
      <w:lvlText w:val="%1.%2.%3.%4.%5.%6.%7.%8.%9"/>
      <w:lvlJc w:val="left"/>
      <w:pPr>
        <w:tabs>
          <w:tab w:val="left" w:pos="5202"/>
        </w:tabs>
        <w:ind w:left="5102" w:hanging="1700"/>
      </w:pPr>
      <w:rPr>
        <w:rFonts w:cs="Times New Roman"/>
      </w:rPr>
    </w:lvl>
  </w:abstractNum>
  <w:abstractNum w:abstractNumId="3">
    <w:nsid w:val="0C0665D5"/>
    <w:multiLevelType w:val="multilevel"/>
    <w:tmpl w:val="0C0665D5"/>
    <w:lvl w:ilvl="0" w:tentative="0">
      <w:start w:val="1"/>
      <w:numFmt w:val="decimal"/>
      <w:pStyle w:val="24"/>
      <w:lvlText w:val="%1、"/>
      <w:lvlJc w:val="left"/>
      <w:pPr>
        <w:ind w:left="780" w:hanging="420"/>
      </w:pPr>
      <w:rPr>
        <w:rFonts w:hint="eastAsia" w:eastAsia="黑体"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4">
    <w:nsid w:val="1E026269"/>
    <w:multiLevelType w:val="multilevel"/>
    <w:tmpl w:val="1E026269"/>
    <w:lvl w:ilvl="0" w:tentative="0">
      <w:start w:val="1"/>
      <w:numFmt w:val="decimal"/>
      <w:lvlText w:val="%1、"/>
      <w:lvlJc w:val="left"/>
      <w:pPr>
        <w:ind w:left="425" w:hanging="425"/>
      </w:pPr>
      <w:rPr>
        <w:rFonts w:hint="eastAsia" w:eastAsia="黑体" w:cs="Times New Roman"/>
      </w:rPr>
    </w:lvl>
    <w:lvl w:ilvl="1" w:tentative="0">
      <w:start w:val="1"/>
      <w:numFmt w:val="decimal"/>
      <w:pStyle w:val="186"/>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5">
    <w:nsid w:val="25E9131D"/>
    <w:multiLevelType w:val="multilevel"/>
    <w:tmpl w:val="25E9131D"/>
    <w:lvl w:ilvl="0" w:tentative="0">
      <w:start w:val="1"/>
      <w:numFmt w:val="decimal"/>
      <w:lvlText w:val="%1"/>
      <w:lvlJc w:val="left"/>
      <w:pPr>
        <w:tabs>
          <w:tab w:val="left" w:pos="900"/>
        </w:tabs>
        <w:ind w:left="900" w:hanging="900"/>
      </w:pPr>
      <w:rPr>
        <w:rFonts w:hint="eastAsia" w:cs="Times New Roman"/>
      </w:rPr>
    </w:lvl>
    <w:lvl w:ilvl="1" w:tentative="0">
      <w:start w:val="1"/>
      <w:numFmt w:val="decimal"/>
      <w:lvlText w:val="%1.%2"/>
      <w:lvlJc w:val="left"/>
      <w:pPr>
        <w:tabs>
          <w:tab w:val="left" w:pos="900"/>
        </w:tabs>
        <w:ind w:left="900" w:hanging="900"/>
      </w:pPr>
      <w:rPr>
        <w:rFonts w:hint="eastAsia" w:cs="Times New Roman"/>
      </w:rPr>
    </w:lvl>
    <w:lvl w:ilvl="2" w:tentative="0">
      <w:start w:val="1"/>
      <w:numFmt w:val="decimal"/>
      <w:lvlText w:val="%1.%2.%3"/>
      <w:lvlJc w:val="left"/>
      <w:pPr>
        <w:tabs>
          <w:tab w:val="left" w:pos="900"/>
        </w:tabs>
        <w:ind w:left="900" w:hanging="900"/>
      </w:pPr>
      <w:rPr>
        <w:rFonts w:hint="eastAsia" w:cs="Times New Roman"/>
      </w:rPr>
    </w:lvl>
    <w:lvl w:ilvl="3" w:tentative="0">
      <w:start w:val="1"/>
      <w:numFmt w:val="decimal"/>
      <w:lvlText w:val="%1.%2.%3.%4"/>
      <w:lvlJc w:val="left"/>
      <w:pPr>
        <w:tabs>
          <w:tab w:val="left" w:pos="900"/>
        </w:tabs>
        <w:ind w:left="900" w:hanging="900"/>
      </w:pPr>
      <w:rPr>
        <w:rFonts w:hint="eastAsia" w:cs="Times New Roman"/>
      </w:rPr>
    </w:lvl>
    <w:lvl w:ilvl="4" w:tentative="0">
      <w:start w:val="1"/>
      <w:numFmt w:val="decimal"/>
      <w:lvlText w:val="%1.%2.%3.%4.%5"/>
      <w:lvlJc w:val="left"/>
      <w:pPr>
        <w:tabs>
          <w:tab w:val="left" w:pos="900"/>
        </w:tabs>
        <w:ind w:left="900" w:hanging="900"/>
      </w:pPr>
      <w:rPr>
        <w:rFonts w:hint="eastAsia" w:cs="Times New Roman"/>
      </w:rPr>
    </w:lvl>
    <w:lvl w:ilvl="5" w:tentative="0">
      <w:start w:val="1"/>
      <w:numFmt w:val="decimal"/>
      <w:lvlText w:val="%1.%2.%3.%4.%5.%6"/>
      <w:lvlJc w:val="left"/>
      <w:pPr>
        <w:tabs>
          <w:tab w:val="left" w:pos="900"/>
        </w:tabs>
        <w:ind w:left="900" w:hanging="900"/>
      </w:pPr>
      <w:rPr>
        <w:rFonts w:hint="eastAsia" w:cs="Times New Roman"/>
      </w:rPr>
    </w:lvl>
    <w:lvl w:ilvl="6" w:tentative="0">
      <w:start w:val="1"/>
      <w:numFmt w:val="decimal"/>
      <w:lvlText w:val="%1.%2.%3.%4.%5.%6.%7"/>
      <w:lvlJc w:val="left"/>
      <w:pPr>
        <w:tabs>
          <w:tab w:val="left" w:pos="900"/>
        </w:tabs>
        <w:ind w:left="900" w:hanging="900"/>
      </w:pPr>
      <w:rPr>
        <w:rFonts w:hint="eastAsia" w:cs="Times New Roman"/>
      </w:rPr>
    </w:lvl>
    <w:lvl w:ilvl="7" w:tentative="0">
      <w:start w:val="1"/>
      <w:numFmt w:val="decimal"/>
      <w:lvlText w:val="%1.%2.%3.%4.%5.%6.%7.%8"/>
      <w:lvlJc w:val="left"/>
      <w:pPr>
        <w:tabs>
          <w:tab w:val="left" w:pos="900"/>
        </w:tabs>
        <w:ind w:left="900" w:hanging="900"/>
      </w:pPr>
      <w:rPr>
        <w:rFonts w:hint="eastAsia" w:cs="Times New Roman"/>
      </w:rPr>
    </w:lvl>
    <w:lvl w:ilvl="8" w:tentative="0">
      <w:start w:val="1"/>
      <w:numFmt w:val="decimal"/>
      <w:lvlText w:val="%1.%2.%3.%4.%5.%6.%7.%8.%9"/>
      <w:lvlJc w:val="left"/>
      <w:pPr>
        <w:tabs>
          <w:tab w:val="left" w:pos="900"/>
        </w:tabs>
        <w:ind w:left="900" w:hanging="900"/>
      </w:pPr>
      <w:rPr>
        <w:rFonts w:hint="eastAsia" w:cs="Times New Roman"/>
      </w:rPr>
    </w:lvl>
  </w:abstractNum>
  <w:abstractNum w:abstractNumId="6">
    <w:nsid w:val="42EB0376"/>
    <w:multiLevelType w:val="multilevel"/>
    <w:tmpl w:val="42EB0376"/>
    <w:lvl w:ilvl="0" w:tentative="0">
      <w:start w:val="1"/>
      <w:numFmt w:val="decimal"/>
      <w:lvlText w:val="%1、"/>
      <w:lvlJc w:val="left"/>
      <w:pPr>
        <w:ind w:left="1282" w:hanging="720"/>
      </w:pPr>
      <w:rPr>
        <w:rFonts w:hint="default" w:cs="Times New Roman"/>
      </w:rPr>
    </w:lvl>
    <w:lvl w:ilvl="1" w:tentative="0">
      <w:start w:val="1"/>
      <w:numFmt w:val="lowerLetter"/>
      <w:lvlText w:val="%2)"/>
      <w:lvlJc w:val="left"/>
      <w:pPr>
        <w:ind w:left="1402" w:hanging="420"/>
      </w:pPr>
      <w:rPr>
        <w:rFonts w:cs="Times New Roman"/>
      </w:rPr>
    </w:lvl>
    <w:lvl w:ilvl="2" w:tentative="0">
      <w:start w:val="1"/>
      <w:numFmt w:val="lowerRoman"/>
      <w:lvlText w:val="%3."/>
      <w:lvlJc w:val="right"/>
      <w:pPr>
        <w:ind w:left="1822" w:hanging="420"/>
      </w:pPr>
      <w:rPr>
        <w:rFonts w:cs="Times New Roman"/>
      </w:rPr>
    </w:lvl>
    <w:lvl w:ilvl="3" w:tentative="0">
      <w:start w:val="1"/>
      <w:numFmt w:val="decimal"/>
      <w:lvlText w:val="%4."/>
      <w:lvlJc w:val="left"/>
      <w:pPr>
        <w:ind w:left="2242" w:hanging="420"/>
      </w:pPr>
      <w:rPr>
        <w:rFonts w:cs="Times New Roman"/>
      </w:rPr>
    </w:lvl>
    <w:lvl w:ilvl="4" w:tentative="0">
      <w:start w:val="1"/>
      <w:numFmt w:val="lowerLetter"/>
      <w:lvlText w:val="%5)"/>
      <w:lvlJc w:val="left"/>
      <w:pPr>
        <w:ind w:left="2662" w:hanging="420"/>
      </w:pPr>
      <w:rPr>
        <w:rFonts w:cs="Times New Roman"/>
      </w:rPr>
    </w:lvl>
    <w:lvl w:ilvl="5" w:tentative="0">
      <w:start w:val="1"/>
      <w:numFmt w:val="lowerRoman"/>
      <w:lvlText w:val="%6."/>
      <w:lvlJc w:val="right"/>
      <w:pPr>
        <w:ind w:left="3082" w:hanging="420"/>
      </w:pPr>
      <w:rPr>
        <w:rFonts w:cs="Times New Roman"/>
      </w:rPr>
    </w:lvl>
    <w:lvl w:ilvl="6" w:tentative="0">
      <w:start w:val="1"/>
      <w:numFmt w:val="decimal"/>
      <w:lvlText w:val="%7."/>
      <w:lvlJc w:val="left"/>
      <w:pPr>
        <w:ind w:left="3502" w:hanging="420"/>
      </w:pPr>
      <w:rPr>
        <w:rFonts w:cs="Times New Roman"/>
      </w:rPr>
    </w:lvl>
    <w:lvl w:ilvl="7" w:tentative="0">
      <w:start w:val="1"/>
      <w:numFmt w:val="lowerLetter"/>
      <w:lvlText w:val="%8)"/>
      <w:lvlJc w:val="left"/>
      <w:pPr>
        <w:ind w:left="3922" w:hanging="420"/>
      </w:pPr>
      <w:rPr>
        <w:rFonts w:cs="Times New Roman"/>
      </w:rPr>
    </w:lvl>
    <w:lvl w:ilvl="8" w:tentative="0">
      <w:start w:val="1"/>
      <w:numFmt w:val="lowerRoman"/>
      <w:lvlText w:val="%9."/>
      <w:lvlJc w:val="right"/>
      <w:pPr>
        <w:ind w:left="4342" w:hanging="420"/>
      </w:pPr>
      <w:rPr>
        <w:rFonts w:cs="Times New Roman"/>
      </w:rPr>
    </w:lvl>
  </w:abstractNum>
  <w:abstractNum w:abstractNumId="7">
    <w:nsid w:val="493373F5"/>
    <w:multiLevelType w:val="multilevel"/>
    <w:tmpl w:val="493373F5"/>
    <w:lvl w:ilvl="0" w:tentative="0">
      <w:start w:val="1"/>
      <w:numFmt w:val="decimal"/>
      <w:lvlText w:val="%1、"/>
      <w:lvlJc w:val="left"/>
      <w:pPr>
        <w:ind w:left="425" w:hanging="425"/>
      </w:pPr>
      <w:rPr>
        <w:rFonts w:hint="eastAsia" w:eastAsia="黑体" w:cs="Times New Roman"/>
      </w:rPr>
    </w:lvl>
    <w:lvl w:ilvl="1" w:tentative="0">
      <w:start w:val="1"/>
      <w:numFmt w:val="decimal"/>
      <w:pStyle w:val="165"/>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lvlText w:val="%1.%2.%3.%4"/>
      <w:lvlJc w:val="left"/>
      <w:pPr>
        <w:ind w:left="1984" w:hanging="708"/>
      </w:pPr>
      <w:rPr>
        <w:rFonts w:cs="Times New Roman"/>
      </w:rPr>
    </w:lvl>
    <w:lvl w:ilvl="4" w:tentative="0">
      <w:start w:val="1"/>
      <w:numFmt w:val="decimal"/>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abstractNum w:abstractNumId="8">
    <w:nsid w:val="53E367AB"/>
    <w:multiLevelType w:val="multilevel"/>
    <w:tmpl w:val="53E367AB"/>
    <w:lvl w:ilvl="0" w:tentative="0">
      <w:start w:val="1"/>
      <w:numFmt w:val="decimal"/>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8352F99"/>
    <w:multiLevelType w:val="multilevel"/>
    <w:tmpl w:val="58352F99"/>
    <w:lvl w:ilvl="0" w:tentative="0">
      <w:start w:val="1"/>
      <w:numFmt w:val="decimal"/>
      <w:pStyle w:val="21"/>
      <w:lvlText w:val="%1、"/>
      <w:lvlJc w:val="left"/>
      <w:pPr>
        <w:ind w:left="780" w:hanging="420"/>
      </w:pPr>
      <w:rPr>
        <w:rFonts w:hint="eastAsia" w:eastAsia="黑体" w:cs="Times New Roman"/>
      </w:rPr>
    </w:lvl>
    <w:lvl w:ilvl="1" w:tentative="0">
      <w:start w:val="6"/>
      <w:numFmt w:val="bullet"/>
      <w:lvlText w:val=""/>
      <w:lvlJc w:val="left"/>
      <w:pPr>
        <w:ind w:left="1140" w:hanging="360"/>
      </w:pPr>
      <w:rPr>
        <w:rFonts w:hint="default" w:ascii="Wingdings" w:hAnsi="Wingdings" w:eastAsia="宋体"/>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10">
    <w:nsid w:val="5AA6006E"/>
    <w:multiLevelType w:val="singleLevel"/>
    <w:tmpl w:val="5AA6006E"/>
    <w:lvl w:ilvl="0" w:tentative="0">
      <w:start w:val="6"/>
      <w:numFmt w:val="chineseCounting"/>
      <w:suff w:val="space"/>
      <w:lvlText w:val="第%1章"/>
      <w:lvlJc w:val="left"/>
      <w:rPr>
        <w:rFonts w:cs="Times New Roman"/>
      </w:rPr>
    </w:lvl>
  </w:abstractNum>
  <w:abstractNum w:abstractNumId="11">
    <w:nsid w:val="5AA9EB6F"/>
    <w:multiLevelType w:val="singleLevel"/>
    <w:tmpl w:val="5AA9EB6F"/>
    <w:lvl w:ilvl="0" w:tentative="0">
      <w:start w:val="1"/>
      <w:numFmt w:val="decimal"/>
      <w:suff w:val="nothing"/>
      <w:lvlText w:val="%1、"/>
      <w:lvlJc w:val="left"/>
      <w:rPr>
        <w:rFonts w:cs="Times New Roman"/>
      </w:rPr>
    </w:lvl>
  </w:abstractNum>
  <w:abstractNum w:abstractNumId="12">
    <w:nsid w:val="660639FA"/>
    <w:multiLevelType w:val="multilevel"/>
    <w:tmpl w:val="660639FA"/>
    <w:lvl w:ilvl="0" w:tentative="0">
      <w:start w:val="1"/>
      <w:numFmt w:val="decimal"/>
      <w:lvlText w:val="（%1）"/>
      <w:lvlJc w:val="left"/>
      <w:pPr>
        <w:tabs>
          <w:tab w:val="left" w:pos="720"/>
        </w:tabs>
        <w:ind w:left="720" w:hanging="720"/>
      </w:pPr>
      <w:rPr>
        <w:rFonts w:hint="default" w:ascii="Arial" w:hAnsi="Arial" w:cs="Times New Roman"/>
        <w:b w:val="0"/>
        <w:i w:val="0"/>
        <w:sz w:val="21"/>
        <w:szCs w:val="21"/>
      </w:rPr>
    </w:lvl>
    <w:lvl w:ilvl="1" w:tentative="0">
      <w:start w:val="1"/>
      <w:numFmt w:val="lowerLetter"/>
      <w:lvlText w:val="%2)"/>
      <w:lvlJc w:val="left"/>
      <w:pPr>
        <w:tabs>
          <w:tab w:val="left" w:pos="955"/>
        </w:tabs>
        <w:ind w:left="955" w:hanging="420"/>
      </w:pPr>
      <w:rPr>
        <w:rFonts w:cs="Times New Roman"/>
      </w:rPr>
    </w:lvl>
    <w:lvl w:ilvl="2" w:tentative="0">
      <w:start w:val="1"/>
      <w:numFmt w:val="lowerRoman"/>
      <w:lvlText w:val="%3."/>
      <w:lvlJc w:val="right"/>
      <w:pPr>
        <w:tabs>
          <w:tab w:val="left" w:pos="1375"/>
        </w:tabs>
        <w:ind w:left="1375" w:hanging="420"/>
      </w:pPr>
      <w:rPr>
        <w:rFonts w:cs="Times New Roman"/>
      </w:rPr>
    </w:lvl>
    <w:lvl w:ilvl="3" w:tentative="0">
      <w:start w:val="1"/>
      <w:numFmt w:val="decimal"/>
      <w:lvlText w:val="%4."/>
      <w:lvlJc w:val="left"/>
      <w:pPr>
        <w:tabs>
          <w:tab w:val="left" w:pos="1795"/>
        </w:tabs>
        <w:ind w:left="1795" w:hanging="420"/>
      </w:pPr>
      <w:rPr>
        <w:rFonts w:cs="Times New Roman"/>
      </w:rPr>
    </w:lvl>
    <w:lvl w:ilvl="4" w:tentative="0">
      <w:start w:val="1"/>
      <w:numFmt w:val="lowerLetter"/>
      <w:lvlText w:val="%5)"/>
      <w:lvlJc w:val="left"/>
      <w:pPr>
        <w:tabs>
          <w:tab w:val="left" w:pos="2215"/>
        </w:tabs>
        <w:ind w:left="2215" w:hanging="420"/>
      </w:pPr>
      <w:rPr>
        <w:rFonts w:cs="Times New Roman"/>
      </w:rPr>
    </w:lvl>
    <w:lvl w:ilvl="5" w:tentative="0">
      <w:start w:val="1"/>
      <w:numFmt w:val="lowerRoman"/>
      <w:lvlText w:val="%6."/>
      <w:lvlJc w:val="right"/>
      <w:pPr>
        <w:tabs>
          <w:tab w:val="left" w:pos="2635"/>
        </w:tabs>
        <w:ind w:left="2635" w:hanging="420"/>
      </w:pPr>
      <w:rPr>
        <w:rFonts w:cs="Times New Roman"/>
      </w:rPr>
    </w:lvl>
    <w:lvl w:ilvl="6" w:tentative="0">
      <w:start w:val="1"/>
      <w:numFmt w:val="decimal"/>
      <w:lvlText w:val="%7."/>
      <w:lvlJc w:val="left"/>
      <w:pPr>
        <w:tabs>
          <w:tab w:val="left" w:pos="3055"/>
        </w:tabs>
        <w:ind w:left="3055" w:hanging="420"/>
      </w:pPr>
      <w:rPr>
        <w:rFonts w:cs="Times New Roman"/>
      </w:rPr>
    </w:lvl>
    <w:lvl w:ilvl="7" w:tentative="0">
      <w:start w:val="1"/>
      <w:numFmt w:val="lowerLetter"/>
      <w:lvlText w:val="%8)"/>
      <w:lvlJc w:val="left"/>
      <w:pPr>
        <w:tabs>
          <w:tab w:val="left" w:pos="3475"/>
        </w:tabs>
        <w:ind w:left="3475" w:hanging="420"/>
      </w:pPr>
      <w:rPr>
        <w:rFonts w:cs="Times New Roman"/>
      </w:rPr>
    </w:lvl>
    <w:lvl w:ilvl="8" w:tentative="0">
      <w:start w:val="1"/>
      <w:numFmt w:val="lowerRoman"/>
      <w:lvlText w:val="%9."/>
      <w:lvlJc w:val="right"/>
      <w:pPr>
        <w:tabs>
          <w:tab w:val="left" w:pos="3895"/>
        </w:tabs>
        <w:ind w:left="3895" w:hanging="420"/>
      </w:pPr>
      <w:rPr>
        <w:rFonts w:cs="Times New Roman"/>
      </w:rPr>
    </w:lvl>
  </w:abstractNum>
  <w:abstractNum w:abstractNumId="13">
    <w:nsid w:val="68641332"/>
    <w:multiLevelType w:val="multilevel"/>
    <w:tmpl w:val="68641332"/>
    <w:lvl w:ilvl="0" w:tentative="0">
      <w:start w:val="4"/>
      <w:numFmt w:val="decimal"/>
      <w:lvlText w:val="%1．"/>
      <w:lvlJc w:val="left"/>
      <w:pPr>
        <w:ind w:left="390" w:hanging="390"/>
      </w:pPr>
      <w:rPr>
        <w:rFonts w:hint="default" w:ascii="宋体" w:hAnsi="宋体" w:eastAsia="宋体" w:cs="Times New Roman"/>
        <w:b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7FF76C5C"/>
    <w:multiLevelType w:val="multilevel"/>
    <w:tmpl w:val="7FF76C5C"/>
    <w:lvl w:ilvl="0" w:tentative="0">
      <w:start w:val="1"/>
      <w:numFmt w:val="decimal"/>
      <w:lvlText w:val="%1、"/>
      <w:lvlJc w:val="left"/>
      <w:pPr>
        <w:ind w:left="425" w:hanging="425"/>
      </w:pPr>
      <w:rPr>
        <w:rFonts w:hint="eastAsia" w:eastAsia="黑体" w:cs="Times New Roman"/>
      </w:rPr>
    </w:lvl>
    <w:lvl w:ilvl="1" w:tentative="0">
      <w:start w:val="1"/>
      <w:numFmt w:val="decimal"/>
      <w:lvlText w:val="%1.%2"/>
      <w:lvlJc w:val="left"/>
      <w:pPr>
        <w:ind w:left="992" w:hanging="567"/>
      </w:pPr>
      <w:rPr>
        <w:rFonts w:cs="Times New Roman"/>
      </w:rPr>
    </w:lvl>
    <w:lvl w:ilvl="2" w:tentative="0">
      <w:start w:val="1"/>
      <w:numFmt w:val="decimal"/>
      <w:lvlText w:val="%1.%2.%3"/>
      <w:lvlJc w:val="left"/>
      <w:pPr>
        <w:ind w:left="1418" w:hanging="567"/>
      </w:pPr>
      <w:rPr>
        <w:rFonts w:cs="Times New Roman"/>
      </w:rPr>
    </w:lvl>
    <w:lvl w:ilvl="3" w:tentative="0">
      <w:start w:val="1"/>
      <w:numFmt w:val="decimal"/>
      <w:pStyle w:val="200"/>
      <w:lvlText w:val="%1.%2.%3.%4"/>
      <w:lvlJc w:val="left"/>
      <w:pPr>
        <w:ind w:left="1984" w:hanging="708"/>
      </w:pPr>
      <w:rPr>
        <w:rFonts w:cs="Times New Roman"/>
      </w:rPr>
    </w:lvl>
    <w:lvl w:ilvl="4" w:tentative="0">
      <w:start w:val="1"/>
      <w:numFmt w:val="decimal"/>
      <w:pStyle w:val="209"/>
      <w:lvlText w:val="%1.%2.%3.%4.%5"/>
      <w:lvlJc w:val="left"/>
      <w:pPr>
        <w:ind w:left="2551" w:hanging="850"/>
      </w:pPr>
      <w:rPr>
        <w:rFonts w:cs="Times New Roman"/>
      </w:rPr>
    </w:lvl>
    <w:lvl w:ilvl="5" w:tentative="0">
      <w:start w:val="1"/>
      <w:numFmt w:val="decimal"/>
      <w:lvlText w:val="%1.%2.%3.%4.%5.%6"/>
      <w:lvlJc w:val="left"/>
      <w:pPr>
        <w:ind w:left="3260" w:hanging="1134"/>
      </w:pPr>
      <w:rPr>
        <w:rFonts w:cs="Times New Roman"/>
      </w:rPr>
    </w:lvl>
    <w:lvl w:ilvl="6" w:tentative="0">
      <w:start w:val="1"/>
      <w:numFmt w:val="decimal"/>
      <w:lvlText w:val="%1.%2.%3.%4.%5.%6.%7"/>
      <w:lvlJc w:val="left"/>
      <w:pPr>
        <w:ind w:left="3827" w:hanging="1276"/>
      </w:pPr>
      <w:rPr>
        <w:rFonts w:cs="Times New Roman"/>
      </w:rPr>
    </w:lvl>
    <w:lvl w:ilvl="7" w:tentative="0">
      <w:start w:val="1"/>
      <w:numFmt w:val="decimal"/>
      <w:lvlText w:val="%1.%2.%3.%4.%5.%6.%7.%8"/>
      <w:lvlJc w:val="left"/>
      <w:pPr>
        <w:ind w:left="4394" w:hanging="1418"/>
      </w:pPr>
      <w:rPr>
        <w:rFonts w:cs="Times New Roman"/>
      </w:rPr>
    </w:lvl>
    <w:lvl w:ilvl="8" w:tentative="0">
      <w:start w:val="1"/>
      <w:numFmt w:val="decimal"/>
      <w:lvlText w:val="%1.%2.%3.%4.%5.%6.%7.%8.%9"/>
      <w:lvlJc w:val="left"/>
      <w:pPr>
        <w:ind w:left="5102" w:hanging="1700"/>
      </w:pPr>
      <w:rPr>
        <w:rFonts w:cs="Times New Roman"/>
      </w:rPr>
    </w:lvl>
  </w:abstractNum>
  <w:num w:numId="1">
    <w:abstractNumId w:val="9"/>
  </w:num>
  <w:num w:numId="2">
    <w:abstractNumId w:val="3"/>
  </w:num>
  <w:num w:numId="3">
    <w:abstractNumId w:val="7"/>
  </w:num>
  <w:num w:numId="4">
    <w:abstractNumId w:val="1"/>
  </w:num>
  <w:num w:numId="5">
    <w:abstractNumId w:val="4"/>
  </w:num>
  <w:num w:numId="6">
    <w:abstractNumId w:val="2"/>
  </w:num>
  <w:num w:numId="7">
    <w:abstractNumId w:val="14"/>
  </w:num>
  <w:num w:numId="8">
    <w:abstractNumId w:val="0"/>
  </w:num>
  <w:num w:numId="9">
    <w:abstractNumId w:val="13"/>
  </w:num>
  <w:num w:numId="10">
    <w:abstractNumId w:val="5"/>
  </w:num>
  <w:num w:numId="11">
    <w:abstractNumId w:val="12"/>
  </w:num>
  <w:num w:numId="12">
    <w:abstractNumId w:val="11"/>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3B6BF5"/>
    <w:rsid w:val="00001527"/>
    <w:rsid w:val="00024BC0"/>
    <w:rsid w:val="00030806"/>
    <w:rsid w:val="00041FA5"/>
    <w:rsid w:val="0004445A"/>
    <w:rsid w:val="0004632D"/>
    <w:rsid w:val="000565E6"/>
    <w:rsid w:val="00060880"/>
    <w:rsid w:val="00061F1A"/>
    <w:rsid w:val="000907FD"/>
    <w:rsid w:val="000A2D76"/>
    <w:rsid w:val="000A6E50"/>
    <w:rsid w:val="0010680F"/>
    <w:rsid w:val="00124523"/>
    <w:rsid w:val="001261D4"/>
    <w:rsid w:val="00142F9C"/>
    <w:rsid w:val="00144446"/>
    <w:rsid w:val="00150397"/>
    <w:rsid w:val="0016576C"/>
    <w:rsid w:val="001703EF"/>
    <w:rsid w:val="001712F0"/>
    <w:rsid w:val="00176797"/>
    <w:rsid w:val="00180DAA"/>
    <w:rsid w:val="001821AF"/>
    <w:rsid w:val="00185E01"/>
    <w:rsid w:val="001B0228"/>
    <w:rsid w:val="001B74BE"/>
    <w:rsid w:val="00201536"/>
    <w:rsid w:val="00207967"/>
    <w:rsid w:val="00227B62"/>
    <w:rsid w:val="0023153A"/>
    <w:rsid w:val="0023322F"/>
    <w:rsid w:val="002473BA"/>
    <w:rsid w:val="00263A45"/>
    <w:rsid w:val="0026769C"/>
    <w:rsid w:val="00273C57"/>
    <w:rsid w:val="0027744C"/>
    <w:rsid w:val="00280584"/>
    <w:rsid w:val="00287854"/>
    <w:rsid w:val="002A1436"/>
    <w:rsid w:val="002B3EFB"/>
    <w:rsid w:val="002C4122"/>
    <w:rsid w:val="002D620D"/>
    <w:rsid w:val="002E65CF"/>
    <w:rsid w:val="002F6CBB"/>
    <w:rsid w:val="0030237D"/>
    <w:rsid w:val="0032596A"/>
    <w:rsid w:val="00331E78"/>
    <w:rsid w:val="003332DA"/>
    <w:rsid w:val="00366DCF"/>
    <w:rsid w:val="003719B2"/>
    <w:rsid w:val="003A1355"/>
    <w:rsid w:val="003C7587"/>
    <w:rsid w:val="00403777"/>
    <w:rsid w:val="004145A1"/>
    <w:rsid w:val="0044095E"/>
    <w:rsid w:val="004530F0"/>
    <w:rsid w:val="00455C3E"/>
    <w:rsid w:val="00460A52"/>
    <w:rsid w:val="00471801"/>
    <w:rsid w:val="00476299"/>
    <w:rsid w:val="0048067F"/>
    <w:rsid w:val="0049186C"/>
    <w:rsid w:val="00494845"/>
    <w:rsid w:val="004B2D1E"/>
    <w:rsid w:val="004E12F7"/>
    <w:rsid w:val="005056C7"/>
    <w:rsid w:val="005146C1"/>
    <w:rsid w:val="00537637"/>
    <w:rsid w:val="00540259"/>
    <w:rsid w:val="00545793"/>
    <w:rsid w:val="00547BE0"/>
    <w:rsid w:val="005719E0"/>
    <w:rsid w:val="005A28CE"/>
    <w:rsid w:val="005C5D8F"/>
    <w:rsid w:val="005E68DA"/>
    <w:rsid w:val="005E7FCB"/>
    <w:rsid w:val="005F7BD6"/>
    <w:rsid w:val="00601C30"/>
    <w:rsid w:val="00614151"/>
    <w:rsid w:val="0062357E"/>
    <w:rsid w:val="00652865"/>
    <w:rsid w:val="00664443"/>
    <w:rsid w:val="006746B2"/>
    <w:rsid w:val="006B3CDE"/>
    <w:rsid w:val="006B7871"/>
    <w:rsid w:val="006C5747"/>
    <w:rsid w:val="006D29E7"/>
    <w:rsid w:val="006D29F1"/>
    <w:rsid w:val="006E30B8"/>
    <w:rsid w:val="006E6A11"/>
    <w:rsid w:val="006F4500"/>
    <w:rsid w:val="00706C79"/>
    <w:rsid w:val="007128F3"/>
    <w:rsid w:val="00737BCE"/>
    <w:rsid w:val="0075025E"/>
    <w:rsid w:val="00752CA6"/>
    <w:rsid w:val="0077681D"/>
    <w:rsid w:val="00781A1C"/>
    <w:rsid w:val="00791BE9"/>
    <w:rsid w:val="007C5648"/>
    <w:rsid w:val="007E2746"/>
    <w:rsid w:val="007F7AA8"/>
    <w:rsid w:val="00830809"/>
    <w:rsid w:val="00835B54"/>
    <w:rsid w:val="00851AF4"/>
    <w:rsid w:val="0085316E"/>
    <w:rsid w:val="008574EA"/>
    <w:rsid w:val="0086064D"/>
    <w:rsid w:val="00894E6E"/>
    <w:rsid w:val="008B5CE1"/>
    <w:rsid w:val="008D1EAD"/>
    <w:rsid w:val="008D31FC"/>
    <w:rsid w:val="008E28FB"/>
    <w:rsid w:val="008F1941"/>
    <w:rsid w:val="00902782"/>
    <w:rsid w:val="00942AAF"/>
    <w:rsid w:val="00943334"/>
    <w:rsid w:val="00951DFF"/>
    <w:rsid w:val="00953F15"/>
    <w:rsid w:val="009863A6"/>
    <w:rsid w:val="009A0C50"/>
    <w:rsid w:val="009B4CFB"/>
    <w:rsid w:val="009E3F73"/>
    <w:rsid w:val="009F4E0D"/>
    <w:rsid w:val="00A0501A"/>
    <w:rsid w:val="00A320A1"/>
    <w:rsid w:val="00A753F5"/>
    <w:rsid w:val="00AD4BAA"/>
    <w:rsid w:val="00AD66F6"/>
    <w:rsid w:val="00AE5FB6"/>
    <w:rsid w:val="00B212D4"/>
    <w:rsid w:val="00B46988"/>
    <w:rsid w:val="00B5121E"/>
    <w:rsid w:val="00B94768"/>
    <w:rsid w:val="00BA309E"/>
    <w:rsid w:val="00BD3600"/>
    <w:rsid w:val="00BF00B0"/>
    <w:rsid w:val="00C24191"/>
    <w:rsid w:val="00C34310"/>
    <w:rsid w:val="00C44343"/>
    <w:rsid w:val="00C61997"/>
    <w:rsid w:val="00C649CF"/>
    <w:rsid w:val="00C86F9E"/>
    <w:rsid w:val="00C965B4"/>
    <w:rsid w:val="00CD2FCF"/>
    <w:rsid w:val="00CE35B0"/>
    <w:rsid w:val="00CF71D9"/>
    <w:rsid w:val="00CF75AB"/>
    <w:rsid w:val="00D11894"/>
    <w:rsid w:val="00D52E9C"/>
    <w:rsid w:val="00D676C6"/>
    <w:rsid w:val="00D8460B"/>
    <w:rsid w:val="00D973B1"/>
    <w:rsid w:val="00DA33BD"/>
    <w:rsid w:val="00DA47FF"/>
    <w:rsid w:val="00DB3005"/>
    <w:rsid w:val="00DE51C8"/>
    <w:rsid w:val="00E36286"/>
    <w:rsid w:val="00E560F1"/>
    <w:rsid w:val="00E602BB"/>
    <w:rsid w:val="00E7264C"/>
    <w:rsid w:val="00E976CA"/>
    <w:rsid w:val="00EB73E9"/>
    <w:rsid w:val="00ED12BC"/>
    <w:rsid w:val="00EE17CE"/>
    <w:rsid w:val="00F008FA"/>
    <w:rsid w:val="00F176A5"/>
    <w:rsid w:val="00F20368"/>
    <w:rsid w:val="00F83C21"/>
    <w:rsid w:val="00F9073D"/>
    <w:rsid w:val="00FD1F03"/>
    <w:rsid w:val="00FD6627"/>
    <w:rsid w:val="00FD6F8F"/>
    <w:rsid w:val="00FF08C5"/>
    <w:rsid w:val="01265E55"/>
    <w:rsid w:val="19EB5831"/>
    <w:rsid w:val="212B57C4"/>
    <w:rsid w:val="33FE2B7D"/>
    <w:rsid w:val="406C7033"/>
    <w:rsid w:val="4A3B6BF5"/>
    <w:rsid w:val="4B0E178C"/>
    <w:rsid w:val="57A954C6"/>
    <w:rsid w:val="5F9D70A7"/>
    <w:rsid w:val="64263981"/>
    <w:rsid w:val="761D091C"/>
    <w:rsid w:val="7881449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qFormat="1" w:unhideWhenUsed="0" w:uiPriority="99" w:semiHidden="0" w:name="List Bullet 3"/>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uiPriority="99" w:name="List Continue 4" w:locked="1"/>
    <w:lsdException w:qFormat="1" w:unhideWhenUsed="0" w:uiPriority="99" w:semiHidden="0" w:name="List Continue 5"/>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99"/>
    <w:pPr>
      <w:keepNext/>
      <w:keepLines/>
      <w:spacing w:before="260" w:after="260" w:line="413" w:lineRule="auto"/>
      <w:outlineLvl w:val="1"/>
    </w:pPr>
    <w:rPr>
      <w:rFonts w:ascii="Cambria" w:hAnsi="Cambria"/>
      <w:b/>
      <w:bCs/>
      <w:sz w:val="32"/>
      <w:szCs w:val="32"/>
    </w:rPr>
  </w:style>
  <w:style w:type="paragraph" w:styleId="4">
    <w:name w:val="heading 3"/>
    <w:basedOn w:val="1"/>
    <w:next w:val="1"/>
    <w:link w:val="64"/>
    <w:qFormat/>
    <w:uiPriority w:val="99"/>
    <w:pPr>
      <w:keepNext/>
      <w:keepLines/>
      <w:spacing w:before="260" w:after="260" w:line="416" w:lineRule="auto"/>
      <w:outlineLvl w:val="2"/>
    </w:pPr>
    <w:rPr>
      <w:b/>
      <w:bCs/>
      <w:sz w:val="32"/>
      <w:szCs w:val="32"/>
    </w:rPr>
  </w:style>
  <w:style w:type="paragraph" w:styleId="5">
    <w:name w:val="heading 4"/>
    <w:basedOn w:val="1"/>
    <w:next w:val="1"/>
    <w:link w:val="65"/>
    <w:qFormat/>
    <w:uiPriority w:val="99"/>
    <w:pPr>
      <w:keepNext/>
      <w:keepLines/>
      <w:spacing w:before="280" w:after="290" w:line="376" w:lineRule="auto"/>
      <w:outlineLvl w:val="3"/>
    </w:pPr>
    <w:rPr>
      <w:rFonts w:ascii="Calibri Light" w:hAnsi="Calibri Light"/>
      <w:b/>
      <w:bCs/>
      <w:sz w:val="28"/>
      <w:szCs w:val="28"/>
    </w:rPr>
  </w:style>
  <w:style w:type="paragraph" w:styleId="6">
    <w:name w:val="heading 5"/>
    <w:basedOn w:val="1"/>
    <w:next w:val="1"/>
    <w:link w:val="66"/>
    <w:qFormat/>
    <w:uiPriority w:val="99"/>
    <w:pPr>
      <w:keepNext/>
      <w:keepLines/>
      <w:spacing w:before="280" w:after="290" w:line="376" w:lineRule="auto"/>
      <w:outlineLvl w:val="4"/>
    </w:pPr>
    <w:rPr>
      <w:b/>
      <w:bCs/>
      <w:sz w:val="28"/>
      <w:szCs w:val="28"/>
    </w:rPr>
  </w:style>
  <w:style w:type="paragraph" w:styleId="7">
    <w:name w:val="heading 6"/>
    <w:basedOn w:val="1"/>
    <w:next w:val="1"/>
    <w:link w:val="67"/>
    <w:qFormat/>
    <w:uiPriority w:val="99"/>
    <w:pPr>
      <w:keepNext/>
      <w:keepLines/>
      <w:spacing w:before="240" w:after="64" w:line="317" w:lineRule="auto"/>
      <w:outlineLvl w:val="5"/>
    </w:pPr>
    <w:rPr>
      <w:rFonts w:ascii="Cambria" w:hAnsi="Cambria"/>
      <w:b/>
      <w:bCs/>
      <w:sz w:val="24"/>
      <w:szCs w:val="24"/>
    </w:rPr>
  </w:style>
  <w:style w:type="paragraph" w:styleId="8">
    <w:name w:val="heading 7"/>
    <w:basedOn w:val="1"/>
    <w:next w:val="1"/>
    <w:link w:val="68"/>
    <w:qFormat/>
    <w:uiPriority w:val="99"/>
    <w:pPr>
      <w:keepNext/>
      <w:keepLines/>
      <w:spacing w:before="240" w:after="64" w:line="317" w:lineRule="auto"/>
      <w:outlineLvl w:val="6"/>
    </w:pPr>
    <w:rPr>
      <w:b/>
      <w:bCs/>
      <w:sz w:val="24"/>
      <w:szCs w:val="24"/>
    </w:rPr>
  </w:style>
  <w:style w:type="paragraph" w:styleId="9">
    <w:name w:val="heading 8"/>
    <w:basedOn w:val="1"/>
    <w:next w:val="1"/>
    <w:link w:val="69"/>
    <w:qFormat/>
    <w:uiPriority w:val="99"/>
    <w:pPr>
      <w:keepNext/>
      <w:keepLines/>
      <w:spacing w:before="240" w:after="64" w:line="317" w:lineRule="auto"/>
      <w:outlineLvl w:val="7"/>
    </w:pPr>
    <w:rPr>
      <w:rFonts w:ascii="Cambria" w:hAnsi="Cambria"/>
      <w:sz w:val="24"/>
      <w:szCs w:val="24"/>
    </w:rPr>
  </w:style>
  <w:style w:type="paragraph" w:styleId="10">
    <w:name w:val="heading 9"/>
    <w:basedOn w:val="1"/>
    <w:next w:val="1"/>
    <w:link w:val="70"/>
    <w:qFormat/>
    <w:uiPriority w:val="99"/>
    <w:pPr>
      <w:keepNext/>
      <w:keepLines/>
      <w:spacing w:before="240" w:after="64" w:line="317" w:lineRule="auto"/>
      <w:outlineLvl w:val="8"/>
    </w:pPr>
    <w:rPr>
      <w:rFonts w:ascii="Cambria" w:hAnsi="Cambria"/>
      <w:szCs w:val="21"/>
    </w:rPr>
  </w:style>
  <w:style w:type="character" w:default="1" w:styleId="53">
    <w:name w:val="Default Paragraph Font"/>
    <w:semiHidden/>
    <w:qFormat/>
    <w:uiPriority w:val="99"/>
  </w:style>
  <w:style w:type="table" w:default="1" w:styleId="60">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99"/>
    <w:pPr>
      <w:adjustRightInd w:val="0"/>
      <w:spacing w:line="360" w:lineRule="atLeast"/>
      <w:ind w:left="100" w:leftChars="400" w:hanging="200" w:hangingChars="200"/>
      <w:jc w:val="left"/>
      <w:textAlignment w:val="baseline"/>
    </w:pPr>
    <w:rPr>
      <w:rFonts w:ascii="Times New Roman" w:hAnsi="Times New Roman"/>
      <w:kern w:val="0"/>
      <w:sz w:val="24"/>
      <w:szCs w:val="20"/>
    </w:rPr>
  </w:style>
  <w:style w:type="paragraph" w:styleId="12">
    <w:name w:val="annotation subject"/>
    <w:basedOn w:val="13"/>
    <w:next w:val="13"/>
    <w:link w:val="72"/>
    <w:qFormat/>
    <w:uiPriority w:val="99"/>
    <w:rPr>
      <w:rFonts w:ascii="宋体" w:hAnsi="Times New Roman"/>
      <w:b/>
      <w:bCs/>
      <w:kern w:val="0"/>
      <w:sz w:val="28"/>
      <w:szCs w:val="20"/>
    </w:rPr>
  </w:style>
  <w:style w:type="paragraph" w:styleId="13">
    <w:name w:val="annotation text"/>
    <w:basedOn w:val="1"/>
    <w:link w:val="71"/>
    <w:qFormat/>
    <w:uiPriority w:val="99"/>
    <w:pPr>
      <w:jc w:val="left"/>
    </w:pPr>
  </w:style>
  <w:style w:type="paragraph" w:styleId="14">
    <w:name w:val="toc 7"/>
    <w:basedOn w:val="1"/>
    <w:next w:val="1"/>
    <w:qFormat/>
    <w:uiPriority w:val="99"/>
    <w:pPr>
      <w:ind w:left="2520" w:leftChars="1200"/>
    </w:pPr>
  </w:style>
  <w:style w:type="paragraph" w:styleId="15">
    <w:name w:val="Body Text First Indent"/>
    <w:basedOn w:val="16"/>
    <w:link w:val="74"/>
    <w:qFormat/>
    <w:uiPriority w:val="99"/>
    <w:pPr>
      <w:adjustRightInd/>
      <w:spacing w:after="120" w:line="240" w:lineRule="auto"/>
      <w:ind w:left="0" w:leftChars="0" w:right="0" w:rightChars="0" w:firstLine="420" w:firstLineChars="100"/>
      <w:jc w:val="both"/>
      <w:textAlignment w:val="auto"/>
    </w:pPr>
    <w:rPr>
      <w:rFonts w:eastAsia="仿宋_GB2312"/>
      <w:szCs w:val="20"/>
    </w:rPr>
  </w:style>
  <w:style w:type="paragraph" w:styleId="16">
    <w:name w:val="Body Text"/>
    <w:basedOn w:val="1"/>
    <w:link w:val="73"/>
    <w:qFormat/>
    <w:uiPriority w:val="99"/>
    <w:pPr>
      <w:adjustRightInd w:val="0"/>
      <w:spacing w:after="60" w:line="360" w:lineRule="atLeast"/>
      <w:ind w:left="72" w:leftChars="30" w:right="30" w:rightChars="30"/>
      <w:jc w:val="center"/>
      <w:textAlignment w:val="baseline"/>
    </w:pPr>
    <w:rPr>
      <w:rFonts w:ascii="Times New Roman" w:hAnsi="Times New Roman"/>
    </w:rPr>
  </w:style>
  <w:style w:type="paragraph" w:styleId="17">
    <w:name w:val="Normal Indent"/>
    <w:basedOn w:val="1"/>
    <w:link w:val="88"/>
    <w:qFormat/>
    <w:uiPriority w:val="99"/>
    <w:pPr>
      <w:adjustRightInd w:val="0"/>
      <w:spacing w:line="360" w:lineRule="atLeast"/>
      <w:ind w:firstLine="482"/>
      <w:textAlignment w:val="baseline"/>
    </w:pPr>
    <w:rPr>
      <w:rFonts w:ascii="Times New Roman" w:hAnsi="Times New Roman"/>
      <w:kern w:val="0"/>
      <w:sz w:val="24"/>
      <w:szCs w:val="20"/>
    </w:rPr>
  </w:style>
  <w:style w:type="paragraph" w:styleId="18">
    <w:name w:val="caption"/>
    <w:basedOn w:val="1"/>
    <w:next w:val="1"/>
    <w:qFormat/>
    <w:uiPriority w:val="99"/>
    <w:rPr>
      <w:rFonts w:ascii="Cambria" w:hAnsi="Cambria" w:eastAsia="黑体"/>
      <w:sz w:val="20"/>
      <w:szCs w:val="20"/>
    </w:rPr>
  </w:style>
  <w:style w:type="paragraph" w:styleId="19">
    <w:name w:val="Document Map"/>
    <w:basedOn w:val="1"/>
    <w:link w:val="75"/>
    <w:qFormat/>
    <w:uiPriority w:val="99"/>
    <w:pPr>
      <w:shd w:val="clear" w:color="auto" w:fill="000080"/>
    </w:pPr>
    <w:rPr>
      <w:rFonts w:ascii="Times New Roman" w:hAnsi="Times New Roman"/>
      <w:kern w:val="0"/>
      <w:sz w:val="20"/>
      <w:szCs w:val="24"/>
      <w:shd w:val="clear" w:color="auto" w:fill="000080"/>
    </w:rPr>
  </w:style>
  <w:style w:type="paragraph" w:styleId="20">
    <w:name w:val="Body Text 3"/>
    <w:basedOn w:val="1"/>
    <w:link w:val="76"/>
    <w:qFormat/>
    <w:uiPriority w:val="99"/>
    <w:pPr>
      <w:adjustRightInd w:val="0"/>
      <w:spacing w:after="120" w:line="360" w:lineRule="atLeast"/>
      <w:jc w:val="left"/>
      <w:textAlignment w:val="baseline"/>
    </w:pPr>
    <w:rPr>
      <w:rFonts w:ascii="Times New Roman" w:hAnsi="Times New Roman"/>
      <w:kern w:val="0"/>
      <w:sz w:val="16"/>
      <w:szCs w:val="16"/>
    </w:rPr>
  </w:style>
  <w:style w:type="paragraph" w:styleId="21">
    <w:name w:val="List Bullet 3"/>
    <w:basedOn w:val="1"/>
    <w:qFormat/>
    <w:uiPriority w:val="99"/>
    <w:pPr>
      <w:numPr>
        <w:ilvl w:val="0"/>
        <w:numId w:val="1"/>
      </w:numPr>
      <w:tabs>
        <w:tab w:val="left" w:pos="420"/>
      </w:tabs>
      <w:adjustRightInd w:val="0"/>
      <w:spacing w:line="360" w:lineRule="atLeast"/>
      <w:jc w:val="left"/>
      <w:textAlignment w:val="baseline"/>
    </w:pPr>
    <w:rPr>
      <w:rFonts w:ascii="Times New Roman" w:hAnsi="Times New Roman"/>
      <w:kern w:val="0"/>
      <w:sz w:val="24"/>
      <w:szCs w:val="20"/>
    </w:rPr>
  </w:style>
  <w:style w:type="paragraph" w:styleId="22">
    <w:name w:val="Body Text Indent"/>
    <w:basedOn w:val="1"/>
    <w:link w:val="77"/>
    <w:qFormat/>
    <w:uiPriority w:val="99"/>
    <w:pPr>
      <w:ind w:firstLine="420"/>
    </w:pPr>
    <w:rPr>
      <w:rFonts w:ascii="Tahoma" w:hAnsi="Tahoma"/>
      <w:sz w:val="28"/>
      <w:szCs w:val="24"/>
    </w:rPr>
  </w:style>
  <w:style w:type="paragraph" w:styleId="23">
    <w:name w:val="List 2"/>
    <w:basedOn w:val="1"/>
    <w:qFormat/>
    <w:uiPriority w:val="99"/>
    <w:pPr>
      <w:adjustRightInd w:val="0"/>
      <w:spacing w:line="360" w:lineRule="atLeast"/>
      <w:ind w:left="100" w:leftChars="200" w:hanging="200" w:hangingChars="200"/>
      <w:jc w:val="left"/>
      <w:textAlignment w:val="baseline"/>
    </w:pPr>
    <w:rPr>
      <w:rFonts w:ascii="Times New Roman" w:hAnsi="Times New Roman"/>
      <w:kern w:val="0"/>
      <w:sz w:val="24"/>
      <w:szCs w:val="20"/>
    </w:rPr>
  </w:style>
  <w:style w:type="paragraph" w:styleId="24">
    <w:name w:val="List Continue"/>
    <w:basedOn w:val="1"/>
    <w:qFormat/>
    <w:uiPriority w:val="99"/>
    <w:pPr>
      <w:numPr>
        <w:ilvl w:val="0"/>
        <w:numId w:val="2"/>
      </w:numPr>
      <w:adjustRightInd w:val="0"/>
      <w:spacing w:after="120" w:line="360" w:lineRule="atLeast"/>
      <w:ind w:left="420" w:leftChars="200" w:firstLine="0"/>
      <w:jc w:val="left"/>
      <w:textAlignment w:val="baseline"/>
    </w:pPr>
    <w:rPr>
      <w:rFonts w:ascii="Times New Roman" w:hAnsi="Times New Roman"/>
      <w:kern w:val="0"/>
      <w:sz w:val="24"/>
      <w:szCs w:val="20"/>
    </w:rPr>
  </w:style>
  <w:style w:type="paragraph" w:styleId="25">
    <w:name w:val="Block Text"/>
    <w:basedOn w:val="1"/>
    <w:qFormat/>
    <w:uiPriority w:val="99"/>
    <w:pPr>
      <w:spacing w:after="120"/>
      <w:ind w:left="1440" w:leftChars="700" w:right="1440" w:rightChars="700"/>
    </w:pPr>
    <w:rPr>
      <w:rFonts w:ascii="Times New Roman" w:hAnsi="Times New Roman"/>
      <w:szCs w:val="24"/>
    </w:rPr>
  </w:style>
  <w:style w:type="paragraph" w:styleId="26">
    <w:name w:val="index 4"/>
    <w:basedOn w:val="1"/>
    <w:next w:val="1"/>
    <w:qFormat/>
    <w:uiPriority w:val="99"/>
    <w:pPr>
      <w:ind w:left="600" w:leftChars="600"/>
    </w:pPr>
    <w:rPr>
      <w:rFonts w:ascii="Times New Roman" w:hAnsi="Times New Roman"/>
      <w:szCs w:val="24"/>
    </w:rPr>
  </w:style>
  <w:style w:type="paragraph" w:styleId="27">
    <w:name w:val="toc 5"/>
    <w:basedOn w:val="1"/>
    <w:next w:val="1"/>
    <w:qFormat/>
    <w:uiPriority w:val="99"/>
    <w:pPr>
      <w:tabs>
        <w:tab w:val="right" w:leader="dot" w:pos="8296"/>
      </w:tabs>
      <w:ind w:left="1050" w:leftChars="500"/>
    </w:pPr>
  </w:style>
  <w:style w:type="paragraph" w:styleId="28">
    <w:name w:val="toc 3"/>
    <w:basedOn w:val="1"/>
    <w:next w:val="1"/>
    <w:qFormat/>
    <w:uiPriority w:val="99"/>
    <w:pPr>
      <w:ind w:left="840" w:leftChars="400"/>
    </w:pPr>
  </w:style>
  <w:style w:type="paragraph" w:styleId="29">
    <w:name w:val="Plain Text"/>
    <w:basedOn w:val="1"/>
    <w:link w:val="78"/>
    <w:qFormat/>
    <w:uiPriority w:val="99"/>
    <w:rPr>
      <w:rFonts w:ascii="宋体" w:hAnsi="Courier New"/>
      <w:szCs w:val="21"/>
    </w:rPr>
  </w:style>
  <w:style w:type="paragraph" w:styleId="30">
    <w:name w:val="toc 8"/>
    <w:basedOn w:val="1"/>
    <w:next w:val="1"/>
    <w:qFormat/>
    <w:uiPriority w:val="99"/>
    <w:pPr>
      <w:ind w:left="2940" w:leftChars="1400"/>
    </w:pPr>
  </w:style>
  <w:style w:type="paragraph" w:styleId="31">
    <w:name w:val="Date"/>
    <w:basedOn w:val="1"/>
    <w:next w:val="1"/>
    <w:link w:val="79"/>
    <w:qFormat/>
    <w:uiPriority w:val="99"/>
    <w:pPr>
      <w:ind w:left="100" w:leftChars="2500"/>
    </w:pPr>
    <w:rPr>
      <w:rFonts w:ascii="宋体" w:hAnsi="Times New Roman"/>
      <w:kern w:val="0"/>
      <w:sz w:val="28"/>
      <w:szCs w:val="20"/>
    </w:rPr>
  </w:style>
  <w:style w:type="paragraph" w:styleId="32">
    <w:name w:val="Body Text Indent 2"/>
    <w:basedOn w:val="1"/>
    <w:link w:val="80"/>
    <w:qFormat/>
    <w:uiPriority w:val="99"/>
    <w:pPr>
      <w:adjustRightInd w:val="0"/>
      <w:spacing w:after="120" w:line="480" w:lineRule="auto"/>
      <w:ind w:left="200" w:leftChars="200"/>
      <w:jc w:val="left"/>
    </w:pPr>
    <w:rPr>
      <w:rFonts w:ascii="Times New Roman" w:hAnsi="Times New Roman"/>
      <w:kern w:val="0"/>
      <w:sz w:val="24"/>
      <w:szCs w:val="20"/>
    </w:rPr>
  </w:style>
  <w:style w:type="paragraph" w:styleId="33">
    <w:name w:val="List Continue 5"/>
    <w:basedOn w:val="1"/>
    <w:qFormat/>
    <w:uiPriority w:val="99"/>
    <w:pPr>
      <w:adjustRightInd w:val="0"/>
      <w:spacing w:after="120" w:line="360" w:lineRule="atLeast"/>
      <w:ind w:left="2100" w:leftChars="1000"/>
      <w:jc w:val="left"/>
      <w:textAlignment w:val="baseline"/>
    </w:pPr>
    <w:rPr>
      <w:rFonts w:ascii="Times New Roman" w:hAnsi="Times New Roman"/>
      <w:kern w:val="0"/>
      <w:sz w:val="24"/>
      <w:szCs w:val="20"/>
    </w:rPr>
  </w:style>
  <w:style w:type="paragraph" w:styleId="34">
    <w:name w:val="Balloon Text"/>
    <w:basedOn w:val="1"/>
    <w:link w:val="81"/>
    <w:qFormat/>
    <w:uiPriority w:val="99"/>
    <w:rPr>
      <w:rFonts w:ascii="宋体" w:hAnsi="Times New Roman"/>
      <w:kern w:val="0"/>
      <w:sz w:val="18"/>
      <w:szCs w:val="18"/>
    </w:rPr>
  </w:style>
  <w:style w:type="paragraph" w:styleId="35">
    <w:name w:val="footer"/>
    <w:basedOn w:val="1"/>
    <w:link w:val="82"/>
    <w:qFormat/>
    <w:uiPriority w:val="99"/>
    <w:pPr>
      <w:tabs>
        <w:tab w:val="center" w:pos="4153"/>
        <w:tab w:val="right" w:pos="8306"/>
      </w:tabs>
      <w:snapToGrid w:val="0"/>
      <w:jc w:val="left"/>
    </w:pPr>
    <w:rPr>
      <w:sz w:val="18"/>
      <w:szCs w:val="18"/>
    </w:rPr>
  </w:style>
  <w:style w:type="paragraph" w:styleId="36">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99"/>
    <w:pPr>
      <w:tabs>
        <w:tab w:val="right" w:leader="dot" w:pos="8296"/>
      </w:tabs>
    </w:pPr>
    <w:rPr>
      <w:rFonts w:ascii="宋体" w:hAnsi="Times New Roman" w:eastAsia="楷体_GB2312" w:cs="TimesNewRomanPSMT"/>
      <w:b/>
      <w:kern w:val="0"/>
      <w:sz w:val="28"/>
      <w:szCs w:val="20"/>
    </w:rPr>
  </w:style>
  <w:style w:type="paragraph" w:styleId="38">
    <w:name w:val="toc 4"/>
    <w:basedOn w:val="1"/>
    <w:next w:val="1"/>
    <w:qFormat/>
    <w:uiPriority w:val="99"/>
    <w:pPr>
      <w:tabs>
        <w:tab w:val="left" w:pos="1890"/>
        <w:tab w:val="right" w:leader="dot" w:pos="8296"/>
      </w:tabs>
      <w:ind w:left="630" w:leftChars="300"/>
    </w:pPr>
  </w:style>
  <w:style w:type="paragraph" w:styleId="39">
    <w:name w:val="Subtitle"/>
    <w:basedOn w:val="1"/>
    <w:next w:val="1"/>
    <w:link w:val="84"/>
    <w:qFormat/>
    <w:uiPriority w:val="99"/>
    <w:pPr>
      <w:spacing w:before="240" w:after="60" w:line="312" w:lineRule="auto"/>
      <w:jc w:val="center"/>
      <w:outlineLvl w:val="1"/>
    </w:pPr>
    <w:rPr>
      <w:rFonts w:ascii="Cambria" w:hAnsi="Cambria"/>
      <w:b/>
      <w:bCs/>
      <w:kern w:val="28"/>
      <w:sz w:val="32"/>
      <w:szCs w:val="32"/>
    </w:rPr>
  </w:style>
  <w:style w:type="paragraph" w:styleId="40">
    <w:name w:val="List"/>
    <w:basedOn w:val="1"/>
    <w:qFormat/>
    <w:uiPriority w:val="99"/>
    <w:pPr>
      <w:adjustRightInd w:val="0"/>
      <w:spacing w:line="360" w:lineRule="atLeast"/>
      <w:ind w:left="200" w:hanging="200" w:hangingChars="200"/>
      <w:jc w:val="left"/>
      <w:textAlignment w:val="baseline"/>
    </w:pPr>
    <w:rPr>
      <w:rFonts w:ascii="Times New Roman" w:hAnsi="Times New Roman"/>
      <w:kern w:val="0"/>
      <w:sz w:val="24"/>
      <w:szCs w:val="20"/>
    </w:rPr>
  </w:style>
  <w:style w:type="paragraph" w:styleId="41">
    <w:name w:val="toc 6"/>
    <w:basedOn w:val="1"/>
    <w:next w:val="1"/>
    <w:qFormat/>
    <w:uiPriority w:val="99"/>
    <w:pPr>
      <w:ind w:left="2100" w:leftChars="1000"/>
    </w:pPr>
  </w:style>
  <w:style w:type="paragraph" w:styleId="42">
    <w:name w:val="List 5"/>
    <w:basedOn w:val="1"/>
    <w:qFormat/>
    <w:uiPriority w:val="99"/>
    <w:pPr>
      <w:adjustRightInd w:val="0"/>
      <w:spacing w:line="360" w:lineRule="atLeast"/>
      <w:ind w:left="100" w:leftChars="800" w:hanging="200" w:hangingChars="200"/>
      <w:jc w:val="left"/>
      <w:textAlignment w:val="baseline"/>
    </w:pPr>
    <w:rPr>
      <w:rFonts w:ascii="Times New Roman" w:hAnsi="Times New Roman"/>
      <w:kern w:val="0"/>
      <w:sz w:val="24"/>
      <w:szCs w:val="20"/>
    </w:rPr>
  </w:style>
  <w:style w:type="paragraph" w:styleId="43">
    <w:name w:val="Body Text Indent 3"/>
    <w:basedOn w:val="1"/>
    <w:link w:val="85"/>
    <w:qFormat/>
    <w:uiPriority w:val="99"/>
    <w:pPr>
      <w:adjustRightInd w:val="0"/>
      <w:spacing w:after="120" w:line="360" w:lineRule="atLeast"/>
      <w:ind w:left="420" w:leftChars="200"/>
      <w:jc w:val="left"/>
      <w:textAlignment w:val="baseline"/>
    </w:pPr>
    <w:rPr>
      <w:rFonts w:ascii="Times New Roman" w:hAnsi="Times New Roman"/>
      <w:kern w:val="0"/>
      <w:sz w:val="16"/>
      <w:szCs w:val="16"/>
    </w:rPr>
  </w:style>
  <w:style w:type="paragraph" w:styleId="44">
    <w:name w:val="toc 2"/>
    <w:basedOn w:val="1"/>
    <w:next w:val="1"/>
    <w:qFormat/>
    <w:uiPriority w:val="99"/>
    <w:pPr>
      <w:ind w:left="420" w:leftChars="200"/>
    </w:pPr>
    <w:rPr>
      <w:rFonts w:ascii="宋体" w:hAnsi="Times New Roman"/>
      <w:b/>
      <w:sz w:val="28"/>
      <w:szCs w:val="20"/>
    </w:rPr>
  </w:style>
  <w:style w:type="paragraph" w:styleId="45">
    <w:name w:val="toc 9"/>
    <w:basedOn w:val="1"/>
    <w:next w:val="1"/>
    <w:qFormat/>
    <w:uiPriority w:val="99"/>
    <w:pPr>
      <w:ind w:left="3360" w:leftChars="1600"/>
    </w:pPr>
  </w:style>
  <w:style w:type="paragraph" w:styleId="46">
    <w:name w:val="Body Text 2"/>
    <w:basedOn w:val="1"/>
    <w:link w:val="86"/>
    <w:qFormat/>
    <w:uiPriority w:val="99"/>
    <w:pPr>
      <w:adjustRightInd w:val="0"/>
      <w:spacing w:after="120" w:line="480" w:lineRule="auto"/>
      <w:jc w:val="left"/>
      <w:textAlignment w:val="baseline"/>
    </w:pPr>
    <w:rPr>
      <w:rFonts w:ascii="Times New Roman" w:hAnsi="Times New Roman"/>
      <w:kern w:val="0"/>
      <w:sz w:val="24"/>
      <w:szCs w:val="20"/>
    </w:rPr>
  </w:style>
  <w:style w:type="paragraph" w:styleId="47">
    <w:name w:val="List 4"/>
    <w:basedOn w:val="1"/>
    <w:qFormat/>
    <w:uiPriority w:val="99"/>
    <w:pPr>
      <w:adjustRightInd w:val="0"/>
      <w:spacing w:line="360" w:lineRule="atLeast"/>
      <w:ind w:left="100" w:leftChars="600" w:hanging="200" w:hangingChars="200"/>
      <w:jc w:val="left"/>
      <w:textAlignment w:val="baseline"/>
    </w:pPr>
    <w:rPr>
      <w:rFonts w:ascii="Times New Roman" w:hAnsi="Times New Roman"/>
      <w:kern w:val="0"/>
      <w:sz w:val="24"/>
      <w:szCs w:val="20"/>
    </w:rPr>
  </w:style>
  <w:style w:type="paragraph" w:styleId="48">
    <w:name w:val="List Continue 2"/>
    <w:basedOn w:val="1"/>
    <w:qFormat/>
    <w:uiPriority w:val="99"/>
    <w:pPr>
      <w:adjustRightInd w:val="0"/>
      <w:spacing w:after="120" w:line="360" w:lineRule="atLeast"/>
      <w:ind w:left="840" w:leftChars="400"/>
      <w:jc w:val="left"/>
      <w:textAlignment w:val="baseline"/>
    </w:pPr>
    <w:rPr>
      <w:rFonts w:ascii="Times New Roman" w:hAnsi="Times New Roman"/>
      <w:kern w:val="0"/>
      <w:sz w:val="24"/>
      <w:szCs w:val="20"/>
    </w:rPr>
  </w:style>
  <w:style w:type="paragraph" w:styleId="49">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paragraph" w:styleId="50">
    <w:name w:val="List Continue 3"/>
    <w:basedOn w:val="1"/>
    <w:qFormat/>
    <w:uiPriority w:val="99"/>
    <w:pPr>
      <w:adjustRightInd w:val="0"/>
      <w:spacing w:after="120" w:line="360" w:lineRule="atLeast"/>
      <w:ind w:left="1260" w:leftChars="600"/>
      <w:jc w:val="left"/>
      <w:textAlignment w:val="baseline"/>
    </w:pPr>
    <w:rPr>
      <w:rFonts w:ascii="Times New Roman" w:hAnsi="Times New Roman"/>
      <w:kern w:val="0"/>
      <w:sz w:val="24"/>
      <w:szCs w:val="20"/>
    </w:rPr>
  </w:style>
  <w:style w:type="paragraph" w:styleId="51">
    <w:name w:val="index 1"/>
    <w:basedOn w:val="1"/>
    <w:next w:val="1"/>
    <w:qFormat/>
    <w:uiPriority w:val="99"/>
  </w:style>
  <w:style w:type="paragraph" w:styleId="52">
    <w:name w:val="Title"/>
    <w:basedOn w:val="1"/>
    <w:next w:val="1"/>
    <w:link w:val="87"/>
    <w:qFormat/>
    <w:uiPriority w:val="99"/>
    <w:pPr>
      <w:spacing w:before="240" w:after="60"/>
      <w:jc w:val="center"/>
      <w:outlineLvl w:val="0"/>
    </w:pPr>
    <w:rPr>
      <w:rFonts w:ascii="Cambria" w:hAnsi="Cambria"/>
      <w:b/>
      <w:bCs/>
      <w:sz w:val="32"/>
      <w:szCs w:val="32"/>
    </w:rPr>
  </w:style>
  <w:style w:type="character" w:styleId="54">
    <w:name w:val="Strong"/>
    <w:basedOn w:val="53"/>
    <w:qFormat/>
    <w:uiPriority w:val="99"/>
    <w:rPr>
      <w:rFonts w:cs="Times New Roman"/>
      <w:b/>
    </w:rPr>
  </w:style>
  <w:style w:type="character" w:styleId="55">
    <w:name w:val="page number"/>
    <w:basedOn w:val="53"/>
    <w:qFormat/>
    <w:uiPriority w:val="99"/>
    <w:rPr>
      <w:rFonts w:cs="Times New Roman"/>
    </w:rPr>
  </w:style>
  <w:style w:type="character" w:styleId="56">
    <w:name w:val="FollowedHyperlink"/>
    <w:basedOn w:val="53"/>
    <w:qFormat/>
    <w:uiPriority w:val="99"/>
    <w:rPr>
      <w:rFonts w:cs="Times New Roman"/>
      <w:color w:val="800080"/>
      <w:u w:val="single"/>
    </w:rPr>
  </w:style>
  <w:style w:type="character" w:styleId="57">
    <w:name w:val="Emphasis"/>
    <w:basedOn w:val="53"/>
    <w:qFormat/>
    <w:uiPriority w:val="99"/>
    <w:rPr>
      <w:rFonts w:cs="Times New Roman"/>
      <w:i/>
    </w:rPr>
  </w:style>
  <w:style w:type="character" w:styleId="58">
    <w:name w:val="Hyperlink"/>
    <w:basedOn w:val="53"/>
    <w:qFormat/>
    <w:uiPriority w:val="99"/>
    <w:rPr>
      <w:rFonts w:cs="Times New Roman"/>
      <w:color w:val="0000FF"/>
      <w:u w:val="single"/>
    </w:rPr>
  </w:style>
  <w:style w:type="character" w:styleId="59">
    <w:name w:val="annotation reference"/>
    <w:basedOn w:val="53"/>
    <w:qFormat/>
    <w:uiPriority w:val="99"/>
    <w:rPr>
      <w:rFonts w:cs="Times New Roman"/>
      <w:sz w:val="21"/>
    </w:rPr>
  </w:style>
  <w:style w:type="table" w:styleId="61">
    <w:name w:val="Table Grid"/>
    <w:basedOn w:val="60"/>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62">
    <w:name w:val="Heading 1 Char"/>
    <w:basedOn w:val="53"/>
    <w:link w:val="2"/>
    <w:locked/>
    <w:uiPriority w:val="99"/>
    <w:rPr>
      <w:rFonts w:cs="Times New Roman"/>
      <w:b/>
      <w:kern w:val="44"/>
      <w:sz w:val="44"/>
    </w:rPr>
  </w:style>
  <w:style w:type="character" w:customStyle="1" w:styleId="63">
    <w:name w:val="Heading 2 Char"/>
    <w:basedOn w:val="53"/>
    <w:link w:val="3"/>
    <w:qFormat/>
    <w:locked/>
    <w:uiPriority w:val="99"/>
    <w:rPr>
      <w:rFonts w:ascii="Cambria" w:hAnsi="Cambria" w:eastAsia="宋体" w:cs="Times New Roman"/>
      <w:b/>
      <w:kern w:val="2"/>
      <w:sz w:val="32"/>
    </w:rPr>
  </w:style>
  <w:style w:type="character" w:customStyle="1" w:styleId="64">
    <w:name w:val="Heading 3 Char"/>
    <w:basedOn w:val="53"/>
    <w:link w:val="4"/>
    <w:qFormat/>
    <w:locked/>
    <w:uiPriority w:val="99"/>
    <w:rPr>
      <w:rFonts w:cs="Times New Roman"/>
      <w:b/>
      <w:kern w:val="2"/>
      <w:sz w:val="32"/>
    </w:rPr>
  </w:style>
  <w:style w:type="character" w:customStyle="1" w:styleId="65">
    <w:name w:val="Heading 4 Char"/>
    <w:basedOn w:val="53"/>
    <w:link w:val="5"/>
    <w:qFormat/>
    <w:locked/>
    <w:uiPriority w:val="99"/>
    <w:rPr>
      <w:rFonts w:ascii="Calibri Light" w:hAnsi="Calibri Light" w:eastAsia="宋体" w:cs="Times New Roman"/>
      <w:b/>
      <w:kern w:val="2"/>
      <w:sz w:val="28"/>
    </w:rPr>
  </w:style>
  <w:style w:type="character" w:customStyle="1" w:styleId="66">
    <w:name w:val="Heading 5 Char"/>
    <w:basedOn w:val="53"/>
    <w:link w:val="6"/>
    <w:qFormat/>
    <w:locked/>
    <w:uiPriority w:val="99"/>
    <w:rPr>
      <w:rFonts w:cs="Times New Roman"/>
      <w:b/>
      <w:bCs/>
      <w:kern w:val="2"/>
      <w:sz w:val="28"/>
      <w:szCs w:val="28"/>
    </w:rPr>
  </w:style>
  <w:style w:type="character" w:customStyle="1" w:styleId="67">
    <w:name w:val="Heading 6 Char"/>
    <w:basedOn w:val="53"/>
    <w:link w:val="7"/>
    <w:qFormat/>
    <w:locked/>
    <w:uiPriority w:val="99"/>
    <w:rPr>
      <w:rFonts w:ascii="Cambria" w:hAnsi="Cambria" w:eastAsia="宋体" w:cs="Times New Roman"/>
      <w:b/>
      <w:bCs/>
      <w:kern w:val="2"/>
      <w:sz w:val="24"/>
      <w:szCs w:val="24"/>
    </w:rPr>
  </w:style>
  <w:style w:type="character" w:customStyle="1" w:styleId="68">
    <w:name w:val="Heading 7 Char"/>
    <w:basedOn w:val="53"/>
    <w:link w:val="8"/>
    <w:qFormat/>
    <w:locked/>
    <w:uiPriority w:val="99"/>
    <w:rPr>
      <w:rFonts w:ascii="Calibri" w:hAnsi="Calibri" w:eastAsia="宋体" w:cs="Times New Roman"/>
      <w:b/>
      <w:bCs/>
      <w:kern w:val="2"/>
      <w:sz w:val="24"/>
      <w:szCs w:val="24"/>
    </w:rPr>
  </w:style>
  <w:style w:type="character" w:customStyle="1" w:styleId="69">
    <w:name w:val="Heading 8 Char"/>
    <w:basedOn w:val="53"/>
    <w:link w:val="9"/>
    <w:locked/>
    <w:uiPriority w:val="99"/>
    <w:rPr>
      <w:rFonts w:ascii="Cambria" w:hAnsi="Cambria" w:eastAsia="宋体" w:cs="Times New Roman"/>
      <w:kern w:val="2"/>
      <w:sz w:val="24"/>
      <w:szCs w:val="24"/>
    </w:rPr>
  </w:style>
  <w:style w:type="character" w:customStyle="1" w:styleId="70">
    <w:name w:val="Heading 9 Char"/>
    <w:basedOn w:val="53"/>
    <w:link w:val="10"/>
    <w:qFormat/>
    <w:locked/>
    <w:uiPriority w:val="99"/>
    <w:rPr>
      <w:rFonts w:ascii="Cambria" w:hAnsi="Cambria" w:eastAsia="宋体" w:cs="Times New Roman"/>
      <w:kern w:val="2"/>
      <w:sz w:val="21"/>
      <w:szCs w:val="21"/>
    </w:rPr>
  </w:style>
  <w:style w:type="character" w:customStyle="1" w:styleId="71">
    <w:name w:val="Comment Text Char"/>
    <w:basedOn w:val="53"/>
    <w:link w:val="13"/>
    <w:qFormat/>
    <w:locked/>
    <w:uiPriority w:val="99"/>
    <w:rPr>
      <w:rFonts w:cs="Times New Roman"/>
      <w:kern w:val="2"/>
      <w:sz w:val="22"/>
    </w:rPr>
  </w:style>
  <w:style w:type="character" w:customStyle="1" w:styleId="72">
    <w:name w:val="Comment Subject Char"/>
    <w:basedOn w:val="71"/>
    <w:link w:val="12"/>
    <w:qFormat/>
    <w:locked/>
    <w:uiPriority w:val="99"/>
    <w:rPr>
      <w:rFonts w:ascii="宋体" w:hAnsi="Times New Roman"/>
      <w:b/>
      <w:sz w:val="28"/>
    </w:rPr>
  </w:style>
  <w:style w:type="character" w:customStyle="1" w:styleId="73">
    <w:name w:val="Body Text Char"/>
    <w:basedOn w:val="53"/>
    <w:link w:val="16"/>
    <w:qFormat/>
    <w:locked/>
    <w:uiPriority w:val="99"/>
    <w:rPr>
      <w:rFonts w:ascii="Times New Roman" w:hAnsi="Times New Roman" w:cs="Times New Roman"/>
      <w:kern w:val="2"/>
      <w:sz w:val="22"/>
    </w:rPr>
  </w:style>
  <w:style w:type="character" w:customStyle="1" w:styleId="74">
    <w:name w:val="Body Text First Indent Char"/>
    <w:basedOn w:val="73"/>
    <w:link w:val="15"/>
    <w:qFormat/>
    <w:locked/>
    <w:uiPriority w:val="99"/>
    <w:rPr>
      <w:rFonts w:eastAsia="仿宋_GB2312"/>
      <w:szCs w:val="22"/>
    </w:rPr>
  </w:style>
  <w:style w:type="character" w:customStyle="1" w:styleId="75">
    <w:name w:val="Document Map Char"/>
    <w:basedOn w:val="53"/>
    <w:link w:val="19"/>
    <w:qFormat/>
    <w:locked/>
    <w:uiPriority w:val="99"/>
    <w:rPr>
      <w:rFonts w:ascii="Times New Roman" w:hAnsi="Times New Roman" w:cs="Times New Roman"/>
      <w:sz w:val="24"/>
      <w:shd w:val="clear" w:color="auto" w:fill="000080"/>
    </w:rPr>
  </w:style>
  <w:style w:type="character" w:customStyle="1" w:styleId="76">
    <w:name w:val="Body Text 3 Char"/>
    <w:basedOn w:val="53"/>
    <w:link w:val="20"/>
    <w:qFormat/>
    <w:locked/>
    <w:uiPriority w:val="99"/>
    <w:rPr>
      <w:rFonts w:ascii="Times New Roman" w:hAnsi="Times New Roman" w:eastAsia="宋体" w:cs="Times New Roman"/>
      <w:sz w:val="16"/>
      <w:szCs w:val="16"/>
    </w:rPr>
  </w:style>
  <w:style w:type="character" w:customStyle="1" w:styleId="77">
    <w:name w:val="Body Text Indent Char"/>
    <w:basedOn w:val="53"/>
    <w:link w:val="22"/>
    <w:qFormat/>
    <w:locked/>
    <w:uiPriority w:val="99"/>
    <w:rPr>
      <w:rFonts w:ascii="Tahoma" w:hAnsi="Tahoma" w:eastAsia="宋体" w:cs="Times New Roman"/>
      <w:kern w:val="2"/>
      <w:sz w:val="24"/>
      <w:szCs w:val="24"/>
    </w:rPr>
  </w:style>
  <w:style w:type="character" w:customStyle="1" w:styleId="78">
    <w:name w:val="Plain Text Char"/>
    <w:basedOn w:val="53"/>
    <w:link w:val="29"/>
    <w:qFormat/>
    <w:locked/>
    <w:uiPriority w:val="99"/>
    <w:rPr>
      <w:rFonts w:ascii="宋体" w:hAnsi="Courier New" w:eastAsia="宋体" w:cs="Times New Roman"/>
      <w:kern w:val="2"/>
      <w:sz w:val="21"/>
    </w:rPr>
  </w:style>
  <w:style w:type="character" w:customStyle="1" w:styleId="79">
    <w:name w:val="Date Char"/>
    <w:basedOn w:val="53"/>
    <w:link w:val="31"/>
    <w:qFormat/>
    <w:locked/>
    <w:uiPriority w:val="99"/>
    <w:rPr>
      <w:rFonts w:ascii="宋体" w:hAnsi="Times New Roman" w:cs="Times New Roman"/>
      <w:sz w:val="28"/>
    </w:rPr>
  </w:style>
  <w:style w:type="character" w:customStyle="1" w:styleId="80">
    <w:name w:val="Body Text Indent 2 Char"/>
    <w:basedOn w:val="53"/>
    <w:link w:val="32"/>
    <w:qFormat/>
    <w:locked/>
    <w:uiPriority w:val="99"/>
    <w:rPr>
      <w:rFonts w:ascii="Times New Roman" w:hAnsi="Times New Roman" w:eastAsia="宋体" w:cs="Times New Roman"/>
      <w:sz w:val="24"/>
    </w:rPr>
  </w:style>
  <w:style w:type="character" w:customStyle="1" w:styleId="81">
    <w:name w:val="Balloon Text Char"/>
    <w:basedOn w:val="53"/>
    <w:link w:val="34"/>
    <w:qFormat/>
    <w:locked/>
    <w:uiPriority w:val="99"/>
    <w:rPr>
      <w:rFonts w:ascii="宋体" w:hAnsi="Times New Roman" w:cs="Times New Roman"/>
      <w:sz w:val="18"/>
    </w:rPr>
  </w:style>
  <w:style w:type="character" w:customStyle="1" w:styleId="82">
    <w:name w:val="Footer Char"/>
    <w:basedOn w:val="53"/>
    <w:link w:val="35"/>
    <w:qFormat/>
    <w:locked/>
    <w:uiPriority w:val="99"/>
    <w:rPr>
      <w:rFonts w:cs="Times New Roman"/>
      <w:kern w:val="2"/>
      <w:sz w:val="18"/>
    </w:rPr>
  </w:style>
  <w:style w:type="character" w:customStyle="1" w:styleId="83">
    <w:name w:val="Header Char"/>
    <w:basedOn w:val="53"/>
    <w:link w:val="36"/>
    <w:qFormat/>
    <w:locked/>
    <w:uiPriority w:val="99"/>
    <w:rPr>
      <w:rFonts w:cs="Times New Roman"/>
      <w:kern w:val="2"/>
      <w:sz w:val="18"/>
    </w:rPr>
  </w:style>
  <w:style w:type="character" w:customStyle="1" w:styleId="84">
    <w:name w:val="Subtitle Char"/>
    <w:basedOn w:val="53"/>
    <w:link w:val="39"/>
    <w:qFormat/>
    <w:locked/>
    <w:uiPriority w:val="99"/>
    <w:rPr>
      <w:rFonts w:ascii="Cambria" w:hAnsi="Cambria" w:cs="Times New Roman"/>
      <w:b/>
      <w:kern w:val="28"/>
      <w:sz w:val="32"/>
    </w:rPr>
  </w:style>
  <w:style w:type="character" w:customStyle="1" w:styleId="85">
    <w:name w:val="Body Text Indent 3 Char"/>
    <w:basedOn w:val="53"/>
    <w:link w:val="43"/>
    <w:qFormat/>
    <w:locked/>
    <w:uiPriority w:val="99"/>
    <w:rPr>
      <w:rFonts w:ascii="Times New Roman" w:hAnsi="Times New Roman" w:eastAsia="宋体" w:cs="Times New Roman"/>
      <w:sz w:val="16"/>
      <w:szCs w:val="16"/>
    </w:rPr>
  </w:style>
  <w:style w:type="character" w:customStyle="1" w:styleId="86">
    <w:name w:val="Body Text 2 Char"/>
    <w:basedOn w:val="53"/>
    <w:link w:val="46"/>
    <w:qFormat/>
    <w:locked/>
    <w:uiPriority w:val="99"/>
    <w:rPr>
      <w:rFonts w:ascii="Times New Roman" w:hAnsi="Times New Roman" w:eastAsia="宋体" w:cs="Times New Roman"/>
      <w:sz w:val="24"/>
    </w:rPr>
  </w:style>
  <w:style w:type="character" w:customStyle="1" w:styleId="87">
    <w:name w:val="Title Char"/>
    <w:basedOn w:val="53"/>
    <w:link w:val="52"/>
    <w:qFormat/>
    <w:locked/>
    <w:uiPriority w:val="99"/>
    <w:rPr>
      <w:rFonts w:ascii="Cambria" w:hAnsi="Cambria" w:cs="Times New Roman"/>
      <w:b/>
      <w:kern w:val="2"/>
      <w:sz w:val="32"/>
    </w:rPr>
  </w:style>
  <w:style w:type="character" w:customStyle="1" w:styleId="88">
    <w:name w:val="Normal Indent Char"/>
    <w:link w:val="17"/>
    <w:qFormat/>
    <w:locked/>
    <w:uiPriority w:val="99"/>
    <w:rPr>
      <w:rFonts w:ascii="Times New Roman" w:hAnsi="Times New Roman" w:eastAsia="宋体"/>
      <w:sz w:val="24"/>
    </w:rPr>
  </w:style>
  <w:style w:type="paragraph" w:customStyle="1" w:styleId="89">
    <w:name w:val="样式 标题 2 + Times New Roman 四号 非加粗 段前: 5 磅 段后: 0 磅 行距: 固定值 20..."/>
    <w:basedOn w:val="3"/>
    <w:qFormat/>
    <w:uiPriority w:val="99"/>
    <w:pPr>
      <w:spacing w:before="100" w:after="0" w:line="400" w:lineRule="exact"/>
    </w:pPr>
    <w:rPr>
      <w:rFonts w:ascii="Times New Roman" w:hAnsi="Times New Roman" w:eastAsia="黑体" w:cs="宋体"/>
      <w:b w:val="0"/>
      <w:bCs w:val="0"/>
      <w:kern w:val="0"/>
      <w:sz w:val="28"/>
      <w:szCs w:val="20"/>
    </w:rPr>
  </w:style>
  <w:style w:type="character" w:customStyle="1" w:styleId="90">
    <w:name w:val="标题4 Char Char"/>
    <w:link w:val="91"/>
    <w:qFormat/>
    <w:locked/>
    <w:uiPriority w:val="99"/>
    <w:rPr>
      <w:rFonts w:ascii="Arial" w:hAnsi="Arial"/>
      <w:b/>
      <w:sz w:val="32"/>
    </w:rPr>
  </w:style>
  <w:style w:type="paragraph" w:customStyle="1" w:styleId="91">
    <w:name w:val="标题4"/>
    <w:basedOn w:val="3"/>
    <w:next w:val="26"/>
    <w:link w:val="90"/>
    <w:qFormat/>
    <w:uiPriority w:val="99"/>
    <w:rPr>
      <w:rFonts w:ascii="Arial" w:hAnsi="Arial"/>
      <w:bCs w:val="0"/>
      <w:kern w:val="0"/>
      <w:szCs w:val="20"/>
    </w:rPr>
  </w:style>
  <w:style w:type="character" w:customStyle="1" w:styleId="92">
    <w:name w:val="Intense Quote Char"/>
    <w:qFormat/>
    <w:locked/>
    <w:uiPriority w:val="99"/>
    <w:rPr>
      <w:b/>
      <w:i/>
      <w:color w:val="4F81BD"/>
      <w:kern w:val="2"/>
      <w:sz w:val="22"/>
    </w:rPr>
  </w:style>
  <w:style w:type="paragraph" w:styleId="93">
    <w:name w:val="Intense Quote"/>
    <w:basedOn w:val="1"/>
    <w:next w:val="1"/>
    <w:link w:val="94"/>
    <w:qFormat/>
    <w:uiPriority w:val="99"/>
    <w:pPr>
      <w:pBdr>
        <w:bottom w:val="single" w:color="4F81BD" w:sz="4" w:space="4"/>
      </w:pBdr>
      <w:spacing w:before="200" w:after="280"/>
      <w:ind w:left="936" w:right="936"/>
    </w:pPr>
    <w:rPr>
      <w:b/>
      <w:i/>
      <w:color w:val="4F81BD"/>
      <w:sz w:val="22"/>
      <w:szCs w:val="20"/>
    </w:rPr>
  </w:style>
  <w:style w:type="character" w:customStyle="1" w:styleId="94">
    <w:name w:val="Intense Quote Char1"/>
    <w:basedOn w:val="53"/>
    <w:link w:val="93"/>
    <w:qFormat/>
    <w:locked/>
    <w:uiPriority w:val="99"/>
    <w:rPr>
      <w:rFonts w:cs="Times New Roman"/>
      <w:b/>
      <w:bCs/>
      <w:i/>
      <w:iCs/>
      <w:color w:val="4F81BD"/>
    </w:rPr>
  </w:style>
  <w:style w:type="character" w:customStyle="1" w:styleId="95">
    <w:name w:val="书籍标题1"/>
    <w:qFormat/>
    <w:uiPriority w:val="99"/>
    <w:rPr>
      <w:b/>
      <w:smallCaps/>
      <w:spacing w:val="5"/>
    </w:rPr>
  </w:style>
  <w:style w:type="character" w:customStyle="1" w:styleId="96">
    <w:name w:val="明显强调1"/>
    <w:qFormat/>
    <w:uiPriority w:val="99"/>
    <w:rPr>
      <w:b/>
      <w:i/>
      <w:color w:val="4F81BD"/>
    </w:rPr>
  </w:style>
  <w:style w:type="character" w:customStyle="1" w:styleId="97">
    <w:name w:val="标题5 Char Char"/>
    <w:link w:val="98"/>
    <w:qFormat/>
    <w:locked/>
    <w:uiPriority w:val="99"/>
    <w:rPr>
      <w:rFonts w:ascii="Arial" w:hAnsi="Arial"/>
      <w:b/>
      <w:sz w:val="32"/>
    </w:rPr>
  </w:style>
  <w:style w:type="paragraph" w:customStyle="1" w:styleId="98">
    <w:name w:val="标题5"/>
    <w:basedOn w:val="4"/>
    <w:link w:val="97"/>
    <w:qFormat/>
    <w:uiPriority w:val="99"/>
    <w:pPr>
      <w:spacing w:line="413" w:lineRule="auto"/>
    </w:pPr>
    <w:rPr>
      <w:rFonts w:ascii="Arial" w:hAnsi="Arial"/>
      <w:bCs w:val="0"/>
      <w:kern w:val="0"/>
      <w:szCs w:val="20"/>
    </w:rPr>
  </w:style>
  <w:style w:type="character" w:customStyle="1" w:styleId="99">
    <w:name w:val="textcontents"/>
    <w:qFormat/>
    <w:uiPriority w:val="99"/>
  </w:style>
  <w:style w:type="character" w:customStyle="1" w:styleId="100">
    <w:name w:val="不明显强调1"/>
    <w:qFormat/>
    <w:uiPriority w:val="99"/>
    <w:rPr>
      <w:i/>
      <w:color w:val="808080"/>
    </w:rPr>
  </w:style>
  <w:style w:type="character" w:customStyle="1" w:styleId="101">
    <w:name w:val="不明显参考1"/>
    <w:qFormat/>
    <w:uiPriority w:val="99"/>
    <w:rPr>
      <w:smallCaps/>
      <w:color w:val="C0504D"/>
      <w:u w:val="single"/>
    </w:rPr>
  </w:style>
  <w:style w:type="character" w:customStyle="1" w:styleId="102">
    <w:name w:val="日期 Char1"/>
    <w:qFormat/>
    <w:uiPriority w:val="99"/>
    <w:rPr>
      <w:kern w:val="2"/>
      <w:sz w:val="22"/>
    </w:rPr>
  </w:style>
  <w:style w:type="character" w:customStyle="1" w:styleId="103">
    <w:name w:val="正文文本 Char1"/>
    <w:qFormat/>
    <w:uiPriority w:val="99"/>
    <w:rPr>
      <w:kern w:val="2"/>
      <w:sz w:val="22"/>
    </w:rPr>
  </w:style>
  <w:style w:type="character" w:customStyle="1" w:styleId="104">
    <w:name w:val="批注主题 Char1"/>
    <w:qFormat/>
    <w:uiPriority w:val="99"/>
    <w:rPr>
      <w:b/>
      <w:kern w:val="2"/>
      <w:sz w:val="22"/>
    </w:rPr>
  </w:style>
  <w:style w:type="character" w:customStyle="1" w:styleId="105">
    <w:name w:val="批注文字 Char Char"/>
    <w:qFormat/>
    <w:uiPriority w:val="99"/>
    <w:rPr>
      <w:rFonts w:ascii="宋体" w:hAnsi="Times New Roman" w:eastAsia="宋体"/>
      <w:sz w:val="20"/>
    </w:rPr>
  </w:style>
  <w:style w:type="character" w:customStyle="1" w:styleId="106">
    <w:name w:val="明显参考1"/>
    <w:qFormat/>
    <w:uiPriority w:val="99"/>
    <w:rPr>
      <w:b/>
      <w:smallCaps/>
      <w:color w:val="C0504D"/>
      <w:spacing w:val="5"/>
      <w:u w:val="single"/>
    </w:rPr>
  </w:style>
  <w:style w:type="character" w:customStyle="1" w:styleId="107">
    <w:name w:val="批注框文本 Char1"/>
    <w:qFormat/>
    <w:uiPriority w:val="99"/>
    <w:rPr>
      <w:kern w:val="2"/>
      <w:sz w:val="18"/>
    </w:rPr>
  </w:style>
  <w:style w:type="character" w:customStyle="1" w:styleId="108">
    <w:name w:val="Quote Char"/>
    <w:qFormat/>
    <w:locked/>
    <w:uiPriority w:val="99"/>
    <w:rPr>
      <w:i/>
      <w:color w:val="000000"/>
      <w:kern w:val="2"/>
      <w:sz w:val="22"/>
    </w:rPr>
  </w:style>
  <w:style w:type="paragraph" w:styleId="109">
    <w:name w:val="Quote"/>
    <w:basedOn w:val="1"/>
    <w:next w:val="1"/>
    <w:link w:val="110"/>
    <w:qFormat/>
    <w:uiPriority w:val="99"/>
    <w:rPr>
      <w:i/>
      <w:color w:val="000000"/>
      <w:sz w:val="22"/>
      <w:szCs w:val="20"/>
    </w:rPr>
  </w:style>
  <w:style w:type="character" w:customStyle="1" w:styleId="110">
    <w:name w:val="Quote Char1"/>
    <w:basedOn w:val="53"/>
    <w:link w:val="109"/>
    <w:qFormat/>
    <w:locked/>
    <w:uiPriority w:val="99"/>
    <w:rPr>
      <w:rFonts w:cs="Times New Roman"/>
      <w:i/>
      <w:iCs/>
      <w:color w:val="000000"/>
    </w:rPr>
  </w:style>
  <w:style w:type="character" w:customStyle="1" w:styleId="111">
    <w:name w:val="文档结构图 Char1"/>
    <w:uiPriority w:val="99"/>
    <w:rPr>
      <w:rFonts w:ascii="宋体"/>
      <w:kern w:val="2"/>
      <w:sz w:val="18"/>
    </w:rPr>
  </w:style>
  <w:style w:type="character" w:customStyle="1" w:styleId="112">
    <w:name w:val="批注文字 Char1"/>
    <w:basedOn w:val="53"/>
    <w:qFormat/>
    <w:uiPriority w:val="99"/>
    <w:rPr>
      <w:rFonts w:cs="Times New Roman"/>
      <w:kern w:val="2"/>
      <w:sz w:val="22"/>
      <w:szCs w:val="22"/>
    </w:rPr>
  </w:style>
  <w:style w:type="paragraph" w:styleId="11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14">
    <w:name w:val="副标题 Char1"/>
    <w:basedOn w:val="53"/>
    <w:qFormat/>
    <w:uiPriority w:val="99"/>
    <w:rPr>
      <w:rFonts w:ascii="Calibri Light" w:hAnsi="Calibri Light" w:eastAsia="宋体" w:cs="Times New Roman"/>
      <w:b/>
      <w:bCs/>
      <w:kern w:val="28"/>
      <w:sz w:val="32"/>
      <w:szCs w:val="32"/>
    </w:rPr>
  </w:style>
  <w:style w:type="character" w:customStyle="1" w:styleId="115">
    <w:name w:val="标题 Char1"/>
    <w:basedOn w:val="53"/>
    <w:qFormat/>
    <w:uiPriority w:val="99"/>
    <w:rPr>
      <w:rFonts w:ascii="Calibri Light" w:hAnsi="Calibri Light" w:eastAsia="宋体" w:cs="Times New Roman"/>
      <w:b/>
      <w:bCs/>
      <w:kern w:val="2"/>
      <w:sz w:val="32"/>
      <w:szCs w:val="32"/>
    </w:rPr>
  </w:style>
  <w:style w:type="character" w:customStyle="1" w:styleId="116">
    <w:name w:val="明显引用 Char1"/>
    <w:basedOn w:val="53"/>
    <w:semiHidden/>
    <w:qFormat/>
    <w:uiPriority w:val="99"/>
    <w:rPr>
      <w:rFonts w:cs="Times New Roman"/>
      <w:b/>
      <w:bCs/>
      <w:i/>
      <w:iCs/>
      <w:color w:val="5B9BD5"/>
      <w:kern w:val="2"/>
      <w:sz w:val="22"/>
      <w:szCs w:val="22"/>
    </w:rPr>
  </w:style>
  <w:style w:type="paragraph" w:styleId="117">
    <w:name w:val="List Paragraph"/>
    <w:basedOn w:val="1"/>
    <w:qFormat/>
    <w:uiPriority w:val="99"/>
    <w:pPr>
      <w:ind w:firstLine="420" w:firstLineChars="200"/>
    </w:pPr>
  </w:style>
  <w:style w:type="character" w:customStyle="1" w:styleId="118">
    <w:name w:val="文档结构图 Char2"/>
    <w:basedOn w:val="53"/>
    <w:uiPriority w:val="99"/>
    <w:rPr>
      <w:rFonts w:ascii="宋体" w:eastAsia="宋体" w:cs="Times New Roman"/>
      <w:kern w:val="2"/>
      <w:sz w:val="18"/>
      <w:szCs w:val="18"/>
    </w:rPr>
  </w:style>
  <w:style w:type="character" w:customStyle="1" w:styleId="119">
    <w:name w:val="引用 Char1"/>
    <w:basedOn w:val="53"/>
    <w:semiHidden/>
    <w:qFormat/>
    <w:uiPriority w:val="99"/>
    <w:rPr>
      <w:rFonts w:cs="Times New Roman"/>
      <w:i/>
      <w:iCs/>
      <w:color w:val="000000"/>
      <w:kern w:val="2"/>
      <w:sz w:val="22"/>
      <w:szCs w:val="22"/>
    </w:rPr>
  </w:style>
  <w:style w:type="paragraph" w:customStyle="1" w:styleId="120">
    <w:name w:val="修订1"/>
    <w:qFormat/>
    <w:uiPriority w:val="99"/>
    <w:rPr>
      <w:rFonts w:ascii="Times New Roman" w:hAnsi="Times New Roman" w:eastAsia="宋体" w:cs="Times New Roman"/>
      <w:kern w:val="2"/>
      <w:sz w:val="21"/>
      <w:szCs w:val="24"/>
      <w:lang w:val="en-US" w:eastAsia="zh-CN" w:bidi="ar-SA"/>
    </w:rPr>
  </w:style>
  <w:style w:type="character" w:customStyle="1" w:styleId="121">
    <w:name w:val="批注主题 Char2"/>
    <w:basedOn w:val="112"/>
    <w:qFormat/>
    <w:uiPriority w:val="99"/>
    <w:rPr>
      <w:b/>
      <w:bCs/>
    </w:rPr>
  </w:style>
  <w:style w:type="paragraph" w:customStyle="1" w:styleId="122">
    <w:name w:val="flNote"/>
    <w:basedOn w:val="1"/>
    <w:qFormat/>
    <w:uiPriority w:val="99"/>
    <w:pPr>
      <w:adjustRightInd w:val="0"/>
      <w:spacing w:before="320" w:after="160" w:line="360" w:lineRule="atLeast"/>
      <w:jc w:val="center"/>
      <w:textAlignment w:val="baseline"/>
    </w:pPr>
    <w:rPr>
      <w:rFonts w:ascii="Arial" w:hAnsi="Times New Roman" w:eastAsia="黑体"/>
      <w:kern w:val="0"/>
      <w:sz w:val="30"/>
      <w:szCs w:val="20"/>
    </w:rPr>
  </w:style>
  <w:style w:type="character" w:customStyle="1" w:styleId="123">
    <w:name w:val="日期 Char2"/>
    <w:basedOn w:val="53"/>
    <w:qFormat/>
    <w:uiPriority w:val="99"/>
    <w:rPr>
      <w:rFonts w:cs="Times New Roman"/>
      <w:kern w:val="2"/>
      <w:sz w:val="22"/>
      <w:szCs w:val="22"/>
    </w:rPr>
  </w:style>
  <w:style w:type="character" w:customStyle="1" w:styleId="124">
    <w:name w:val="批注框文本 Char2"/>
    <w:basedOn w:val="53"/>
    <w:qFormat/>
    <w:uiPriority w:val="99"/>
    <w:rPr>
      <w:rFonts w:cs="Times New Roman"/>
      <w:kern w:val="2"/>
      <w:sz w:val="18"/>
      <w:szCs w:val="18"/>
    </w:rPr>
  </w:style>
  <w:style w:type="paragraph" w:customStyle="1" w:styleId="125">
    <w:name w:val="空半行"/>
    <w:basedOn w:val="1"/>
    <w:qFormat/>
    <w:uiPriority w:val="99"/>
    <w:pPr>
      <w:adjustRightInd w:val="0"/>
      <w:spacing w:line="120" w:lineRule="exact"/>
      <w:textAlignment w:val="baseline"/>
    </w:pPr>
    <w:rPr>
      <w:rFonts w:ascii="Times New Roman" w:hAnsi="Times New Roman" w:eastAsia="仿宋_GB2312"/>
      <w:color w:val="FFFFFF"/>
      <w:kern w:val="0"/>
      <w:sz w:val="30"/>
      <w:szCs w:val="20"/>
    </w:rPr>
  </w:style>
  <w:style w:type="paragraph" w:customStyle="1" w:styleId="126">
    <w:name w:val="样式 标题 3 + (中文) 黑体 小四 非加粗 段前: 7.8 磅 段后: 0 磅 行距: 固定值 20 磅"/>
    <w:basedOn w:val="4"/>
    <w:uiPriority w:val="99"/>
    <w:pPr>
      <w:spacing w:before="0" w:after="0" w:line="400" w:lineRule="exact"/>
    </w:pPr>
    <w:rPr>
      <w:rFonts w:ascii="Times New Roman" w:hAnsi="Times New Roman" w:eastAsia="黑体" w:cs="宋体"/>
      <w:b w:val="0"/>
      <w:bCs w:val="0"/>
      <w:sz w:val="24"/>
      <w:szCs w:val="20"/>
    </w:rPr>
  </w:style>
  <w:style w:type="paragraph" w:customStyle="1" w:styleId="127">
    <w:name w:val="TOC 标题1"/>
    <w:basedOn w:val="2"/>
    <w:next w:val="1"/>
    <w:uiPriority w:val="99"/>
    <w:pPr>
      <w:spacing w:line="576" w:lineRule="auto"/>
      <w:outlineLvl w:val="9"/>
    </w:pPr>
  </w:style>
  <w:style w:type="character" w:customStyle="1" w:styleId="128">
    <w:name w:val="标题 2 Char1"/>
    <w:basedOn w:val="53"/>
    <w:qFormat/>
    <w:uiPriority w:val="99"/>
    <w:rPr>
      <w:rFonts w:ascii="Arial" w:hAnsi="Arial" w:eastAsia="黑体" w:cs="Times New Roman"/>
      <w:b/>
      <w:bCs/>
      <w:sz w:val="32"/>
      <w:szCs w:val="32"/>
    </w:rPr>
  </w:style>
  <w:style w:type="character" w:customStyle="1" w:styleId="129">
    <w:name w:val="px_10"/>
    <w:basedOn w:val="53"/>
    <w:uiPriority w:val="99"/>
    <w:rPr>
      <w:rFonts w:cs="Times New Roman"/>
    </w:rPr>
  </w:style>
  <w:style w:type="character" w:customStyle="1" w:styleId="130">
    <w:name w:val="纯文本 Char Char"/>
    <w:qFormat/>
    <w:uiPriority w:val="99"/>
    <w:rPr>
      <w:rFonts w:ascii="宋体" w:hAnsi="Courier New" w:eastAsia="宋体"/>
      <w:kern w:val="2"/>
      <w:sz w:val="21"/>
      <w:lang w:val="en-US" w:eastAsia="zh-CN"/>
    </w:rPr>
  </w:style>
  <w:style w:type="character" w:customStyle="1" w:styleId="131">
    <w:name w:val="页脚 Char1"/>
    <w:uiPriority w:val="99"/>
    <w:rPr>
      <w:sz w:val="18"/>
    </w:rPr>
  </w:style>
  <w:style w:type="character" w:customStyle="1" w:styleId="132">
    <w:name w:val="纯文本 Char"/>
    <w:basedOn w:val="53"/>
    <w:qFormat/>
    <w:uiPriority w:val="99"/>
    <w:rPr>
      <w:rFonts w:ascii="宋体" w:hAnsi="Courier New" w:eastAsia="宋体" w:cs="Courier New"/>
      <w:sz w:val="21"/>
      <w:szCs w:val="21"/>
    </w:rPr>
  </w:style>
  <w:style w:type="paragraph" w:customStyle="1" w:styleId="133">
    <w:name w:val="Default"/>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customStyle="1" w:styleId="134">
    <w:name w:val="列出段落1"/>
    <w:basedOn w:val="1"/>
    <w:uiPriority w:val="99"/>
    <w:pPr>
      <w:ind w:firstLine="420" w:firstLineChars="200"/>
    </w:pPr>
    <w:rPr>
      <w:rFonts w:ascii="Times New Roman" w:hAnsi="Times New Roman"/>
      <w:szCs w:val="20"/>
    </w:rPr>
  </w:style>
  <w:style w:type="paragraph" w:customStyle="1" w:styleId="135">
    <w:name w:val="样式 样式 标题 2 + 宋体 五号 非加粗 黑色 + 段前: 6 磅 段后: 0 磅 行距: 单倍行距"/>
    <w:basedOn w:val="136"/>
    <w:qFormat/>
    <w:uiPriority w:val="99"/>
    <w:pPr>
      <w:spacing w:before="120" w:after="0" w:line="240" w:lineRule="auto"/>
    </w:pPr>
    <w:rPr>
      <w:rFonts w:cs="宋体"/>
      <w:szCs w:val="20"/>
    </w:rPr>
  </w:style>
  <w:style w:type="paragraph" w:customStyle="1" w:styleId="136">
    <w:name w:val="样式 标题 2 + 宋体 五号 非加粗 黑色"/>
    <w:basedOn w:val="3"/>
    <w:qFormat/>
    <w:uiPriority w:val="99"/>
    <w:pPr>
      <w:spacing w:line="416" w:lineRule="atLeast"/>
      <w:ind w:left="709"/>
    </w:pPr>
    <w:rPr>
      <w:rFonts w:ascii="宋体" w:hAnsi="宋体"/>
      <w:b w:val="0"/>
      <w:bCs w:val="0"/>
      <w:color w:val="000000"/>
      <w:sz w:val="21"/>
    </w:rPr>
  </w:style>
  <w:style w:type="paragraph" w:customStyle="1" w:styleId="137">
    <w:name w:val="样式 宋体 五号 行距: 单倍行距"/>
    <w:basedOn w:val="1"/>
    <w:uiPriority w:val="99"/>
    <w:rPr>
      <w:rFonts w:ascii="宋体" w:hAnsi="宋体" w:cs="宋体"/>
      <w:szCs w:val="20"/>
    </w:rPr>
  </w:style>
  <w:style w:type="paragraph" w:customStyle="1" w:styleId="138">
    <w:name w:val="图标题"/>
    <w:basedOn w:val="1"/>
    <w:qFormat/>
    <w:uiPriority w:val="99"/>
    <w:pPr>
      <w:tabs>
        <w:tab w:val="left" w:pos="4260"/>
      </w:tabs>
      <w:adjustRightInd w:val="0"/>
      <w:spacing w:line="360" w:lineRule="atLeast"/>
      <w:ind w:left="4260" w:hanging="420"/>
      <w:jc w:val="left"/>
      <w:textAlignment w:val="baseline"/>
    </w:pPr>
    <w:rPr>
      <w:rFonts w:ascii="Times New Roman" w:hAnsi="Times New Roman"/>
      <w:kern w:val="0"/>
      <w:sz w:val="24"/>
      <w:szCs w:val="20"/>
    </w:rPr>
  </w:style>
  <w:style w:type="paragraph" w:customStyle="1" w:styleId="139">
    <w:name w:val="Char"/>
    <w:basedOn w:val="1"/>
    <w:qFormat/>
    <w:uiPriority w:val="99"/>
    <w:rPr>
      <w:rFonts w:ascii="Times New Roman" w:hAnsi="Times New Roman"/>
      <w:szCs w:val="20"/>
    </w:rPr>
  </w:style>
  <w:style w:type="paragraph" w:customStyle="1" w:styleId="140">
    <w:name w:val="样式 样式 样式 标题 2 + 宋体 五号 非加粗 黑色 + 段前: 6 磅 段后: 0 磅 行距: 单倍行距 + 段前: 12..."/>
    <w:basedOn w:val="135"/>
    <w:qFormat/>
    <w:uiPriority w:val="99"/>
    <w:pPr>
      <w:spacing w:before="240"/>
    </w:pPr>
  </w:style>
  <w:style w:type="paragraph" w:customStyle="1" w:styleId="141">
    <w:name w:val="xl87"/>
    <w:basedOn w:val="1"/>
    <w:qFormat/>
    <w:uiPriority w:val="99"/>
    <w:pPr>
      <w:widowControl/>
      <w:pBdr>
        <w:left w:val="single" w:color="auto" w:sz="8" w:space="0"/>
        <w:bottom w:val="single" w:color="auto" w:sz="8" w:space="0"/>
        <w:right w:val="single" w:color="auto" w:sz="8" w:space="0"/>
      </w:pBdr>
      <w:spacing w:before="100" w:beforeAutospacing="1" w:after="100" w:afterAutospacing="1"/>
      <w:jc w:val="left"/>
    </w:pPr>
    <w:rPr>
      <w:rFonts w:ascii="Arial" w:hAnsi="Arial" w:cs="Arial"/>
      <w:color w:val="FF0000"/>
      <w:kern w:val="0"/>
      <w:sz w:val="20"/>
      <w:szCs w:val="20"/>
    </w:rPr>
  </w:style>
  <w:style w:type="paragraph" w:customStyle="1" w:styleId="142">
    <w:name w:val="样式 标题 4 + 段前: 5 磅 段后: 5 磅 行距: 单倍行距"/>
    <w:basedOn w:val="5"/>
    <w:uiPriority w:val="99"/>
    <w:pPr>
      <w:spacing w:before="100" w:after="100" w:line="240" w:lineRule="auto"/>
    </w:pPr>
    <w:rPr>
      <w:rFonts w:ascii="Arial" w:hAnsi="Arial" w:eastAsia="黑体" w:cs="宋体"/>
      <w:szCs w:val="20"/>
    </w:rPr>
  </w:style>
  <w:style w:type="paragraph" w:customStyle="1" w:styleId="143">
    <w:name w:val="样式 标题 1 + 四号 居中 段前: 12 磅 段后: 12 磅 行距: 单倍行距"/>
    <w:basedOn w:val="2"/>
    <w:qFormat/>
    <w:uiPriority w:val="99"/>
    <w:pPr>
      <w:spacing w:before="240" w:after="240" w:line="240" w:lineRule="auto"/>
      <w:ind w:left="-420" w:firstLine="288"/>
      <w:jc w:val="center"/>
    </w:pPr>
    <w:rPr>
      <w:rFonts w:ascii="Times New Roman" w:hAnsi="Times New Roman" w:cs="宋体"/>
      <w:sz w:val="28"/>
      <w:szCs w:val="20"/>
    </w:rPr>
  </w:style>
  <w:style w:type="paragraph" w:customStyle="1" w:styleId="144">
    <w:name w:val="样式 标题 3h3H3sect1.2.3 + 五号 段前: 6 磅 段后: 6 磅 行距: 单倍行距"/>
    <w:basedOn w:val="4"/>
    <w:qFormat/>
    <w:uiPriority w:val="99"/>
    <w:pPr>
      <w:spacing w:before="120" w:after="120" w:line="240" w:lineRule="auto"/>
    </w:pPr>
    <w:rPr>
      <w:rFonts w:ascii="Times New Roman" w:hAnsi="Times New Roman" w:cs="宋体"/>
      <w:sz w:val="21"/>
      <w:szCs w:val="20"/>
    </w:rPr>
  </w:style>
  <w:style w:type="paragraph" w:customStyle="1" w:styleId="145">
    <w:name w:val="样式 样式 样式 样式 标题 2 + 宋体 五号 非加粗 黑色 + 段前: 6 磅 段后: 0 磅 行距: 单倍行距 + 段前:..."/>
    <w:basedOn w:val="140"/>
    <w:qFormat/>
    <w:uiPriority w:val="99"/>
    <w:rPr>
      <w:b/>
      <w:bCs/>
    </w:rPr>
  </w:style>
  <w:style w:type="paragraph" w:customStyle="1" w:styleId="146">
    <w:name w:val="样式1"/>
    <w:basedOn w:val="1"/>
    <w:qFormat/>
    <w:uiPriority w:val="99"/>
    <w:pPr>
      <w:tabs>
        <w:tab w:val="left" w:pos="709"/>
      </w:tabs>
      <w:ind w:left="709" w:hanging="709"/>
    </w:pPr>
    <w:rPr>
      <w:rFonts w:ascii="宋体" w:hAnsi="宋体"/>
      <w:szCs w:val="21"/>
    </w:rPr>
  </w:style>
  <w:style w:type="paragraph" w:customStyle="1" w:styleId="147">
    <w:name w:val="Char Char Char Char Char Char"/>
    <w:basedOn w:val="1"/>
    <w:qFormat/>
    <w:uiPriority w:val="99"/>
    <w:rPr>
      <w:rFonts w:ascii="Tahoma" w:hAnsi="Tahoma"/>
      <w:sz w:val="24"/>
      <w:szCs w:val="20"/>
    </w:rPr>
  </w:style>
  <w:style w:type="paragraph" w:customStyle="1" w:styleId="148">
    <w:name w:val="部分"/>
    <w:basedOn w:val="1"/>
    <w:link w:val="149"/>
    <w:qFormat/>
    <w:uiPriority w:val="99"/>
    <w:pPr>
      <w:shd w:val="clear" w:color="auto" w:fill="D0CECE"/>
      <w:spacing w:before="260" w:after="260" w:line="415" w:lineRule="auto"/>
      <w:ind w:left="425" w:hanging="425"/>
      <w:jc w:val="center"/>
    </w:pPr>
    <w:rPr>
      <w:b/>
      <w:sz w:val="36"/>
      <w:szCs w:val="32"/>
    </w:rPr>
  </w:style>
  <w:style w:type="character" w:customStyle="1" w:styleId="149">
    <w:name w:val="部分 Char"/>
    <w:basedOn w:val="53"/>
    <w:link w:val="148"/>
    <w:qFormat/>
    <w:locked/>
    <w:uiPriority w:val="99"/>
    <w:rPr>
      <w:rFonts w:cs="Times New Roman"/>
      <w:b/>
      <w:kern w:val="2"/>
      <w:sz w:val="32"/>
      <w:szCs w:val="32"/>
      <w:shd w:val="clear" w:color="auto" w:fill="D0CECE"/>
    </w:rPr>
  </w:style>
  <w:style w:type="paragraph" w:customStyle="1" w:styleId="150">
    <w:name w:val="正文内容"/>
    <w:basedOn w:val="1"/>
    <w:link w:val="151"/>
    <w:qFormat/>
    <w:uiPriority w:val="99"/>
    <w:pPr>
      <w:spacing w:line="400" w:lineRule="exact"/>
      <w:ind w:firstLine="420" w:firstLineChars="200"/>
      <w:jc w:val="left"/>
    </w:pPr>
  </w:style>
  <w:style w:type="character" w:customStyle="1" w:styleId="151">
    <w:name w:val="正文内容 Char"/>
    <w:basedOn w:val="53"/>
    <w:link w:val="150"/>
    <w:locked/>
    <w:uiPriority w:val="99"/>
    <w:rPr>
      <w:rFonts w:cs="Times New Roman"/>
      <w:kern w:val="2"/>
      <w:sz w:val="22"/>
      <w:szCs w:val="22"/>
    </w:rPr>
  </w:style>
  <w:style w:type="paragraph" w:customStyle="1" w:styleId="152">
    <w:name w:val="正文字缩2字"/>
    <w:basedOn w:val="1"/>
    <w:qFormat/>
    <w:uiPriority w:val="99"/>
    <w:pPr>
      <w:spacing w:before="60" w:after="60" w:line="360" w:lineRule="auto"/>
      <w:ind w:left="200" w:leftChars="200" w:firstLine="200" w:firstLineChars="200"/>
    </w:pPr>
    <w:rPr>
      <w:rFonts w:ascii="Times New Roman" w:hAnsi="Times New Roman"/>
      <w:sz w:val="24"/>
      <w:szCs w:val="24"/>
    </w:rPr>
  </w:style>
  <w:style w:type="character" w:customStyle="1" w:styleId="153">
    <w:name w:val="样式1 Char"/>
    <w:qFormat/>
    <w:uiPriority w:val="99"/>
    <w:rPr>
      <w:rFonts w:ascii="宋体" w:hAnsi="宋体" w:eastAsia="宋体"/>
      <w:sz w:val="21"/>
      <w:lang w:val="en-US" w:eastAsia="zh-CN"/>
    </w:rPr>
  </w:style>
  <w:style w:type="character" w:customStyle="1" w:styleId="154">
    <w:name w:val="h3 Char"/>
    <w:uiPriority w:val="99"/>
    <w:rPr>
      <w:rFonts w:eastAsia="宋体"/>
      <w:b/>
      <w:sz w:val="32"/>
      <w:lang w:val="en-US" w:eastAsia="zh-CN"/>
    </w:rPr>
  </w:style>
  <w:style w:type="character" w:customStyle="1" w:styleId="155">
    <w:name w:val="para1"/>
    <w:qFormat/>
    <w:uiPriority w:val="99"/>
    <w:rPr>
      <w:rFonts w:ascii="Arial" w:hAnsi="Arial"/>
      <w:sz w:val="18"/>
    </w:rPr>
  </w:style>
  <w:style w:type="character" w:customStyle="1" w:styleId="156">
    <w:name w:val="样式 粉红"/>
    <w:uiPriority w:val="99"/>
    <w:rPr>
      <w:color w:val="auto"/>
      <w:u w:val="none"/>
    </w:rPr>
  </w:style>
  <w:style w:type="character" w:customStyle="1" w:styleId="157">
    <w:name w:val="小标题 Char"/>
    <w:qFormat/>
    <w:uiPriority w:val="99"/>
    <w:rPr>
      <w:rFonts w:ascii="Tahoma" w:hAnsi="Tahoma" w:eastAsia="仿宋_GB2312"/>
      <w:b/>
      <w:kern w:val="2"/>
      <w:sz w:val="24"/>
      <w:lang w:val="en-US" w:eastAsia="zh-CN"/>
    </w:rPr>
  </w:style>
  <w:style w:type="character" w:customStyle="1" w:styleId="158">
    <w:name w:val="H2 Char"/>
    <w:qFormat/>
    <w:uiPriority w:val="99"/>
    <w:rPr>
      <w:rFonts w:ascii="Arial" w:hAnsi="Arial" w:eastAsia="黑体"/>
      <w:b/>
      <w:sz w:val="32"/>
      <w:lang w:val="en-US" w:eastAsia="zh-CN"/>
    </w:rPr>
  </w:style>
  <w:style w:type="character" w:customStyle="1" w:styleId="159">
    <w:name w:val="页码1"/>
    <w:basedOn w:val="53"/>
    <w:uiPriority w:val="99"/>
    <w:rPr>
      <w:rFonts w:cs="Times New Roman"/>
    </w:rPr>
  </w:style>
  <w:style w:type="character" w:customStyle="1" w:styleId="160">
    <w:name w:val="h4 Char"/>
    <w:qFormat/>
    <w:uiPriority w:val="99"/>
    <w:rPr>
      <w:rFonts w:ascii="Arial" w:hAnsi="Arial" w:eastAsia="黑体"/>
      <w:b/>
      <w:sz w:val="28"/>
      <w:lang w:val="en-US" w:eastAsia="zh-CN"/>
    </w:rPr>
  </w:style>
  <w:style w:type="character" w:customStyle="1" w:styleId="161">
    <w:name w:val="text"/>
    <w:basedOn w:val="53"/>
    <w:qFormat/>
    <w:uiPriority w:val="99"/>
    <w:rPr>
      <w:rFonts w:cs="Times New Roman"/>
    </w:rPr>
  </w:style>
  <w:style w:type="character" w:customStyle="1" w:styleId="162">
    <w:name w:val="h1 Char"/>
    <w:uiPriority w:val="99"/>
    <w:rPr>
      <w:rFonts w:eastAsia="宋体"/>
      <w:b/>
      <w:kern w:val="44"/>
      <w:sz w:val="44"/>
      <w:lang w:val="en-US" w:eastAsia="zh-CN"/>
    </w:rPr>
  </w:style>
  <w:style w:type="character" w:customStyle="1" w:styleId="163">
    <w:name w:val="Char Char"/>
    <w:qFormat/>
    <w:uiPriority w:val="99"/>
    <w:rPr>
      <w:rFonts w:ascii="宋体" w:hAnsi="宋体" w:eastAsia="宋体"/>
      <w:kern w:val="2"/>
      <w:sz w:val="24"/>
      <w:lang w:val="en-US" w:eastAsia="zh-CN"/>
    </w:rPr>
  </w:style>
  <w:style w:type="character" w:customStyle="1" w:styleId="164">
    <w:name w:val="标题 4 Char Char Char Char Char Char Char Char Char Char Char Char Char Char"/>
    <w:qFormat/>
    <w:uiPriority w:val="99"/>
    <w:rPr>
      <w:rFonts w:ascii="Arial" w:hAnsi="Arial" w:eastAsia="黑体"/>
      <w:kern w:val="2"/>
      <w:sz w:val="28"/>
      <w:lang w:val="en-US" w:eastAsia="zh-CN"/>
    </w:rPr>
  </w:style>
  <w:style w:type="paragraph" w:customStyle="1" w:styleId="165">
    <w:name w:val="小标题下列表"/>
    <w:basedOn w:val="16"/>
    <w:uiPriority w:val="99"/>
    <w:pPr>
      <w:numPr>
        <w:ilvl w:val="1"/>
        <w:numId w:val="3"/>
      </w:numPr>
      <w:tabs>
        <w:tab w:val="left" w:pos="420"/>
      </w:tabs>
      <w:adjustRightInd/>
      <w:spacing w:after="0" w:line="240" w:lineRule="auto"/>
      <w:ind w:left="0" w:leftChars="0" w:right="0" w:rightChars="0" w:firstLine="0"/>
      <w:jc w:val="both"/>
      <w:textAlignment w:val="auto"/>
    </w:pPr>
    <w:rPr>
      <w:rFonts w:ascii="Tahoma" w:hAnsi="Tahoma" w:eastAsia="仿宋_GB2312"/>
      <w:sz w:val="24"/>
      <w:szCs w:val="24"/>
    </w:rPr>
  </w:style>
  <w:style w:type="paragraph" w:customStyle="1" w:styleId="166">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18"/>
      <w:szCs w:val="18"/>
    </w:rPr>
  </w:style>
  <w:style w:type="paragraph" w:customStyle="1" w:styleId="167">
    <w:name w:val="xl3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00"/>
      <w:kern w:val="0"/>
      <w:sz w:val="18"/>
      <w:szCs w:val="18"/>
    </w:rPr>
  </w:style>
  <w:style w:type="paragraph" w:customStyle="1" w:styleId="168">
    <w:name w:val="xl57"/>
    <w:basedOn w:val="1"/>
    <w:qFormat/>
    <w:uiPriority w:val="99"/>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center"/>
      <w:textAlignment w:val="center"/>
    </w:pPr>
    <w:rPr>
      <w:rFonts w:ascii="宋体" w:hAnsi="宋体"/>
      <w:b/>
      <w:bCs/>
      <w:kern w:val="0"/>
      <w:sz w:val="18"/>
      <w:szCs w:val="18"/>
    </w:rPr>
  </w:style>
  <w:style w:type="paragraph" w:customStyle="1" w:styleId="169">
    <w:name w:val="xl77"/>
    <w:basedOn w:val="1"/>
    <w:qFormat/>
    <w:uiPriority w:val="99"/>
    <w:pPr>
      <w:widowControl/>
      <w:spacing w:before="100" w:beforeAutospacing="1" w:after="100" w:afterAutospacing="1"/>
      <w:jc w:val="center"/>
      <w:textAlignment w:val="center"/>
    </w:pPr>
    <w:rPr>
      <w:rFonts w:ascii="华文新魏" w:hAnsi="宋体" w:eastAsia="华文新魏"/>
      <w:b/>
      <w:bCs/>
      <w:color w:val="000000"/>
      <w:kern w:val="0"/>
      <w:sz w:val="40"/>
      <w:szCs w:val="40"/>
    </w:rPr>
  </w:style>
  <w:style w:type="paragraph" w:customStyle="1" w:styleId="170">
    <w:name w:val="Char2"/>
    <w:basedOn w:val="1"/>
    <w:uiPriority w:val="99"/>
    <w:rPr>
      <w:rFonts w:ascii="Times New Roman" w:hAnsi="Times New Roman"/>
      <w:szCs w:val="24"/>
    </w:rPr>
  </w:style>
  <w:style w:type="paragraph" w:customStyle="1" w:styleId="171">
    <w:name w:val="Default Text"/>
    <w:basedOn w:val="1"/>
    <w:qFormat/>
    <w:uiPriority w:val="99"/>
    <w:pPr>
      <w:widowControl/>
      <w:overflowPunct w:val="0"/>
      <w:autoSpaceDE w:val="0"/>
      <w:autoSpaceDN w:val="0"/>
      <w:adjustRightInd w:val="0"/>
      <w:jc w:val="left"/>
      <w:textAlignment w:val="baseline"/>
    </w:pPr>
    <w:rPr>
      <w:rFonts w:ascii="Times New Roman" w:hAnsi="Times New Roman" w:eastAsia="仿宋_GB2312"/>
      <w:kern w:val="0"/>
      <w:sz w:val="24"/>
      <w:szCs w:val="20"/>
      <w:lang w:val="en-GB"/>
    </w:rPr>
  </w:style>
  <w:style w:type="paragraph" w:customStyle="1" w:styleId="172">
    <w:name w:val="文本正文"/>
    <w:basedOn w:val="1"/>
    <w:qFormat/>
    <w:uiPriority w:val="99"/>
    <w:pPr>
      <w:spacing w:line="360" w:lineRule="auto"/>
      <w:ind w:firstLine="200" w:firstLineChars="200"/>
    </w:pPr>
    <w:rPr>
      <w:rFonts w:ascii="Tahoma" w:hAnsi="Tahoma" w:cs="Arial"/>
      <w:sz w:val="24"/>
      <w:szCs w:val="20"/>
    </w:rPr>
  </w:style>
  <w:style w:type="paragraph" w:customStyle="1" w:styleId="173">
    <w:name w:val="xl46"/>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174">
    <w:name w:val="g11"/>
    <w:basedOn w:val="1"/>
    <w:qFormat/>
    <w:uiPriority w:val="99"/>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175">
    <w:name w:val="xl4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18"/>
      <w:szCs w:val="18"/>
    </w:rPr>
  </w:style>
  <w:style w:type="paragraph" w:customStyle="1" w:styleId="176">
    <w:name w:val="xl5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18"/>
      <w:szCs w:val="18"/>
    </w:rPr>
  </w:style>
  <w:style w:type="paragraph" w:customStyle="1" w:styleId="177">
    <w:name w:val="xl41"/>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178">
    <w:name w:val="Body Text 21"/>
    <w:basedOn w:val="1"/>
    <w:uiPriority w:val="99"/>
    <w:pPr>
      <w:adjustRightInd w:val="0"/>
      <w:spacing w:before="240" w:line="400" w:lineRule="exact"/>
      <w:ind w:firstLine="357"/>
      <w:textAlignment w:val="baseline"/>
    </w:pPr>
    <w:rPr>
      <w:rFonts w:ascii="Times New Roman" w:hAnsi="Times New Roman"/>
      <w:sz w:val="28"/>
      <w:szCs w:val="20"/>
    </w:rPr>
  </w:style>
  <w:style w:type="paragraph" w:customStyle="1" w:styleId="179">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18"/>
      <w:szCs w:val="18"/>
    </w:rPr>
  </w:style>
  <w:style w:type="paragraph" w:customStyle="1" w:styleId="180">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18"/>
      <w:szCs w:val="18"/>
    </w:rPr>
  </w:style>
  <w:style w:type="paragraph" w:customStyle="1" w:styleId="181">
    <w:name w:val="xl37"/>
    <w:basedOn w:val="1"/>
    <w:qFormat/>
    <w:uiPriority w:val="99"/>
    <w:pPr>
      <w:widowControl/>
      <w:numPr>
        <w:ilvl w:val="1"/>
        <w:numId w:val="4"/>
      </w:numPr>
      <w:pBdr>
        <w:top w:val="single" w:color="auto" w:sz="4" w:space="0"/>
        <w:left w:val="single" w:color="auto" w:sz="4" w:space="0"/>
        <w:bottom w:val="single" w:color="auto" w:sz="4" w:space="0"/>
        <w:right w:val="single" w:color="auto" w:sz="4" w:space="0"/>
      </w:pBdr>
      <w:shd w:val="clear" w:color="auto" w:fill="FFFFFF"/>
      <w:tabs>
        <w:tab w:val="clear" w:pos="840"/>
      </w:tabs>
      <w:spacing w:before="100" w:beforeAutospacing="1" w:after="100" w:afterAutospacing="1"/>
      <w:ind w:left="0" w:firstLine="0"/>
      <w:jc w:val="left"/>
      <w:textAlignment w:val="center"/>
    </w:pPr>
    <w:rPr>
      <w:rFonts w:ascii="Times New Roman" w:hAnsi="Times New Roman"/>
      <w:color w:val="000000"/>
      <w:kern w:val="0"/>
      <w:sz w:val="18"/>
      <w:szCs w:val="18"/>
    </w:rPr>
  </w:style>
  <w:style w:type="paragraph" w:customStyle="1" w:styleId="182">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kern w:val="0"/>
      <w:sz w:val="18"/>
      <w:szCs w:val="18"/>
    </w:rPr>
  </w:style>
  <w:style w:type="paragraph" w:customStyle="1" w:styleId="183">
    <w:name w:val="xl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184">
    <w:name w:val="样式"/>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185">
    <w:name w:val="样式 宋体 五号 两端对齐 行距: 单倍行距"/>
    <w:basedOn w:val="1"/>
    <w:qFormat/>
    <w:uiPriority w:val="99"/>
    <w:pPr>
      <w:adjustRightInd w:val="0"/>
    </w:pPr>
    <w:rPr>
      <w:rFonts w:ascii="宋体" w:hAnsi="宋体"/>
      <w:kern w:val="0"/>
      <w:szCs w:val="20"/>
    </w:rPr>
  </w:style>
  <w:style w:type="paragraph" w:customStyle="1" w:styleId="186">
    <w:name w:val="样式2"/>
    <w:basedOn w:val="1"/>
    <w:qFormat/>
    <w:uiPriority w:val="99"/>
    <w:pPr>
      <w:numPr>
        <w:ilvl w:val="1"/>
        <w:numId w:val="5"/>
      </w:numPr>
      <w:tabs>
        <w:tab w:val="left" w:pos="840"/>
      </w:tabs>
      <w:adjustRightInd w:val="0"/>
    </w:pPr>
    <w:rPr>
      <w:rFonts w:ascii="宋体" w:hAnsi="宋体"/>
      <w:kern w:val="0"/>
      <w:szCs w:val="21"/>
    </w:rPr>
  </w:style>
  <w:style w:type="paragraph" w:customStyle="1" w:styleId="187">
    <w:name w:val="项目符号"/>
    <w:basedOn w:val="172"/>
    <w:qFormat/>
    <w:uiPriority w:val="99"/>
    <w:pPr>
      <w:ind w:firstLine="0" w:firstLineChars="0"/>
    </w:pPr>
  </w:style>
  <w:style w:type="paragraph" w:customStyle="1" w:styleId="18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18"/>
      <w:szCs w:val="18"/>
    </w:rPr>
  </w:style>
  <w:style w:type="paragraph" w:customStyle="1" w:styleId="189">
    <w:name w:val="xl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333399"/>
      <w:kern w:val="0"/>
      <w:sz w:val="18"/>
      <w:szCs w:val="18"/>
    </w:rPr>
  </w:style>
  <w:style w:type="paragraph" w:customStyle="1" w:styleId="190">
    <w:name w:val="PMtextBullet"/>
    <w:basedOn w:val="191"/>
    <w:qFormat/>
    <w:uiPriority w:val="99"/>
    <w:pPr>
      <w:tabs>
        <w:tab w:val="left" w:pos="2520"/>
      </w:tabs>
      <w:spacing w:after="200"/>
      <w:ind w:left="2520" w:hanging="709"/>
    </w:pPr>
  </w:style>
  <w:style w:type="paragraph" w:customStyle="1" w:styleId="191">
    <w:name w:val="PMstyle"/>
    <w:qFormat/>
    <w:uiPriority w:val="99"/>
    <w:rPr>
      <w:rFonts w:ascii="Tahoma" w:hAnsi="Tahoma" w:eastAsia="宋体" w:cs="Times New Roman"/>
      <w:kern w:val="0"/>
      <w:sz w:val="22"/>
      <w:szCs w:val="20"/>
      <w:lang w:val="en-US" w:eastAsia="zh-CN" w:bidi="ar-SA"/>
    </w:rPr>
  </w:style>
  <w:style w:type="paragraph" w:customStyle="1" w:styleId="192">
    <w:name w:val="Body Text Indent 21"/>
    <w:basedOn w:val="1"/>
    <w:qFormat/>
    <w:uiPriority w:val="99"/>
    <w:pPr>
      <w:adjustRightInd w:val="0"/>
      <w:ind w:left="720" w:hanging="720"/>
      <w:textAlignment w:val="baseline"/>
    </w:pPr>
    <w:rPr>
      <w:rFonts w:ascii="Times New Roman" w:hAnsi="Times New Roman"/>
      <w:b/>
      <w:sz w:val="28"/>
      <w:szCs w:val="20"/>
    </w:rPr>
  </w:style>
  <w:style w:type="paragraph" w:customStyle="1" w:styleId="193">
    <w:name w:val="g3"/>
    <w:basedOn w:val="1"/>
    <w:qFormat/>
    <w:uiPriority w:val="99"/>
    <w:pPr>
      <w:widowControl/>
      <w:numPr>
        <w:ilvl w:val="3"/>
        <w:numId w:val="6"/>
      </w:numPr>
      <w:tabs>
        <w:tab w:val="clear" w:pos="2356"/>
      </w:tabs>
      <w:spacing w:before="100" w:beforeAutospacing="1" w:after="100" w:afterAutospacing="1" w:line="675" w:lineRule="atLeast"/>
      <w:ind w:left="0" w:firstLine="0"/>
      <w:jc w:val="left"/>
    </w:pPr>
    <w:rPr>
      <w:rFonts w:ascii="华文中宋" w:hAnsi="华文中宋" w:eastAsia="华文中宋" w:cs="宋体"/>
      <w:kern w:val="0"/>
      <w:sz w:val="32"/>
      <w:szCs w:val="32"/>
    </w:rPr>
  </w:style>
  <w:style w:type="paragraph" w:customStyle="1" w:styleId="194">
    <w:name w:val="font6"/>
    <w:basedOn w:val="1"/>
    <w:qFormat/>
    <w:uiPriority w:val="99"/>
    <w:pPr>
      <w:widowControl/>
      <w:spacing w:before="100" w:beforeAutospacing="1" w:after="100" w:afterAutospacing="1"/>
      <w:jc w:val="left"/>
    </w:pPr>
    <w:rPr>
      <w:rFonts w:ascii="宋体" w:hAnsi="宋体"/>
      <w:b/>
      <w:bCs/>
      <w:kern w:val="0"/>
      <w:sz w:val="18"/>
      <w:szCs w:val="18"/>
    </w:rPr>
  </w:style>
  <w:style w:type="paragraph" w:customStyle="1" w:styleId="195">
    <w:name w:val="样式 标题 2 + 宋体 五号 行距: 单倍行距"/>
    <w:basedOn w:val="3"/>
    <w:qFormat/>
    <w:uiPriority w:val="99"/>
    <w:pPr>
      <w:adjustRightInd w:val="0"/>
      <w:spacing w:line="240" w:lineRule="auto"/>
      <w:jc w:val="left"/>
    </w:pPr>
    <w:rPr>
      <w:rFonts w:ascii="宋体" w:hAnsi="宋体"/>
      <w:kern w:val="0"/>
      <w:sz w:val="21"/>
      <w:szCs w:val="20"/>
    </w:rPr>
  </w:style>
  <w:style w:type="paragraph" w:customStyle="1" w:styleId="196">
    <w:name w:val="xl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197">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FF99CC"/>
      <w:spacing w:before="100" w:beforeAutospacing="1" w:after="100" w:afterAutospacing="1"/>
      <w:jc w:val="center"/>
      <w:textAlignment w:val="center"/>
    </w:pPr>
    <w:rPr>
      <w:rFonts w:ascii="宋体" w:hAnsi="宋体"/>
      <w:b/>
      <w:bCs/>
      <w:kern w:val="0"/>
      <w:sz w:val="18"/>
      <w:szCs w:val="18"/>
    </w:rPr>
  </w:style>
  <w:style w:type="paragraph" w:customStyle="1" w:styleId="198">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199">
    <w:name w:val="样式 宋体 五号 两端对齐 行距: 单倍行距1"/>
    <w:basedOn w:val="1"/>
    <w:qFormat/>
    <w:uiPriority w:val="99"/>
    <w:pPr>
      <w:adjustRightInd w:val="0"/>
      <w:textAlignment w:val="baseline"/>
    </w:pPr>
    <w:rPr>
      <w:rFonts w:ascii="宋体" w:hAnsi="宋体" w:cs="宋体"/>
      <w:kern w:val="0"/>
      <w:szCs w:val="20"/>
    </w:rPr>
  </w:style>
  <w:style w:type="paragraph" w:customStyle="1" w:styleId="200">
    <w:name w:val="样式 样式 标题 4 + 段前: 5 磅 段后: 5 磅 行距: 单倍行距 + 五号"/>
    <w:basedOn w:val="142"/>
    <w:qFormat/>
    <w:uiPriority w:val="99"/>
    <w:pPr>
      <w:numPr>
        <w:ilvl w:val="3"/>
        <w:numId w:val="7"/>
      </w:numPr>
      <w:tabs>
        <w:tab w:val="left" w:pos="1080"/>
      </w:tabs>
      <w:adjustRightInd w:val="0"/>
      <w:jc w:val="left"/>
      <w:textAlignment w:val="baseline"/>
    </w:pPr>
    <w:rPr>
      <w:kern w:val="0"/>
      <w:sz w:val="21"/>
    </w:rPr>
  </w:style>
  <w:style w:type="paragraph" w:customStyle="1" w:styleId="201">
    <w:name w:val="font8"/>
    <w:basedOn w:val="1"/>
    <w:qFormat/>
    <w:uiPriority w:val="99"/>
    <w:pPr>
      <w:widowControl/>
      <w:spacing w:before="100" w:beforeAutospacing="1" w:after="100" w:afterAutospacing="1"/>
      <w:jc w:val="left"/>
    </w:pPr>
    <w:rPr>
      <w:rFonts w:ascii="Times New Roman" w:hAnsi="Times New Roman"/>
      <w:color w:val="000000"/>
      <w:kern w:val="0"/>
      <w:sz w:val="18"/>
      <w:szCs w:val="18"/>
    </w:rPr>
  </w:style>
  <w:style w:type="paragraph" w:customStyle="1" w:styleId="202">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18"/>
      <w:szCs w:val="18"/>
    </w:rPr>
  </w:style>
  <w:style w:type="paragraph" w:customStyle="1" w:styleId="203">
    <w:name w:val="文档正文"/>
    <w:basedOn w:val="1"/>
    <w:qFormat/>
    <w:uiPriority w:val="99"/>
    <w:pPr>
      <w:adjustRightInd w:val="0"/>
      <w:spacing w:line="312" w:lineRule="atLeast"/>
      <w:ind w:firstLine="567"/>
    </w:pPr>
    <w:rPr>
      <w:rFonts w:ascii="Tahoma" w:hAnsi="Tahoma"/>
      <w:kern w:val="0"/>
      <w:sz w:val="28"/>
      <w:szCs w:val="20"/>
    </w:rPr>
  </w:style>
  <w:style w:type="paragraph" w:customStyle="1" w:styleId="204">
    <w:name w:val="xl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18"/>
      <w:szCs w:val="18"/>
    </w:rPr>
  </w:style>
  <w:style w:type="paragraph" w:customStyle="1" w:styleId="205">
    <w:name w:val="font10"/>
    <w:basedOn w:val="1"/>
    <w:qFormat/>
    <w:uiPriority w:val="99"/>
    <w:pPr>
      <w:widowControl/>
      <w:spacing w:before="100" w:beforeAutospacing="1" w:after="100" w:afterAutospacing="1"/>
      <w:jc w:val="left"/>
    </w:pPr>
    <w:rPr>
      <w:rFonts w:ascii="宋体" w:hAnsi="宋体"/>
      <w:b/>
      <w:bCs/>
      <w:color w:val="000000"/>
      <w:kern w:val="0"/>
      <w:sz w:val="18"/>
      <w:szCs w:val="18"/>
    </w:rPr>
  </w:style>
  <w:style w:type="paragraph" w:customStyle="1" w:styleId="206">
    <w:name w:val="普通文字"/>
    <w:basedOn w:val="1"/>
    <w:qFormat/>
    <w:uiPriority w:val="99"/>
    <w:pPr>
      <w:widowControl/>
      <w:spacing w:line="351" w:lineRule="atLeast"/>
      <w:ind w:firstLine="419"/>
      <w:textAlignment w:val="baseline"/>
    </w:pPr>
    <w:rPr>
      <w:rFonts w:ascii="宋体" w:hAnsi="Times New Roman"/>
      <w:color w:val="000000"/>
      <w:kern w:val="0"/>
      <w:szCs w:val="20"/>
      <w:u w:color="000000"/>
    </w:rPr>
  </w:style>
  <w:style w:type="paragraph" w:customStyle="1" w:styleId="207">
    <w:name w:val="表格"/>
    <w:basedOn w:val="1"/>
    <w:qFormat/>
    <w:uiPriority w:val="99"/>
    <w:pPr>
      <w:spacing w:line="320" w:lineRule="exact"/>
      <w:jc w:val="center"/>
    </w:pPr>
    <w:rPr>
      <w:rFonts w:ascii="Times New Roman" w:hAnsi="Times New Roman"/>
      <w:bCs/>
      <w:szCs w:val="21"/>
    </w:rPr>
  </w:style>
  <w:style w:type="paragraph" w:customStyle="1" w:styleId="208">
    <w:name w:val="font9"/>
    <w:basedOn w:val="1"/>
    <w:qFormat/>
    <w:uiPriority w:val="99"/>
    <w:pPr>
      <w:widowControl/>
      <w:spacing w:before="100" w:beforeAutospacing="1" w:after="100" w:afterAutospacing="1"/>
      <w:jc w:val="left"/>
    </w:pPr>
    <w:rPr>
      <w:rFonts w:ascii="宋体" w:hAnsi="宋体"/>
      <w:color w:val="000000"/>
      <w:kern w:val="0"/>
      <w:sz w:val="18"/>
      <w:szCs w:val="18"/>
    </w:rPr>
  </w:style>
  <w:style w:type="paragraph" w:customStyle="1" w:styleId="209">
    <w:name w:val="样式 标题 5 + 段前: 5 磅 段后: 5 磅 行距: 单倍行距"/>
    <w:basedOn w:val="6"/>
    <w:qFormat/>
    <w:uiPriority w:val="99"/>
    <w:pPr>
      <w:numPr>
        <w:ilvl w:val="4"/>
        <w:numId w:val="7"/>
      </w:numPr>
      <w:tabs>
        <w:tab w:val="left" w:pos="1080"/>
      </w:tabs>
      <w:adjustRightInd w:val="0"/>
      <w:spacing w:before="100" w:after="100" w:line="240" w:lineRule="auto"/>
      <w:jc w:val="left"/>
      <w:textAlignment w:val="baseline"/>
    </w:pPr>
    <w:rPr>
      <w:rFonts w:ascii="Times New Roman" w:hAnsi="Times New Roman" w:cs="宋体"/>
      <w:kern w:val="0"/>
      <w:szCs w:val="20"/>
    </w:rPr>
  </w:style>
  <w:style w:type="paragraph" w:customStyle="1" w:styleId="210">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11">
    <w:name w:val="g2"/>
    <w:basedOn w:val="1"/>
    <w:qFormat/>
    <w:uiPriority w:val="99"/>
    <w:pPr>
      <w:widowControl/>
      <w:spacing w:before="100" w:beforeAutospacing="1" w:after="100" w:afterAutospacing="1"/>
      <w:jc w:val="left"/>
    </w:pPr>
    <w:rPr>
      <w:rFonts w:ascii="仿宋_GB2312" w:hAnsi="宋体" w:eastAsia="仿宋_GB2312" w:cs="宋体"/>
      <w:kern w:val="0"/>
      <w:sz w:val="33"/>
      <w:szCs w:val="33"/>
    </w:rPr>
  </w:style>
  <w:style w:type="paragraph" w:customStyle="1" w:styleId="212">
    <w:name w:val="xl5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b/>
      <w:bCs/>
      <w:color w:val="000000"/>
      <w:kern w:val="0"/>
      <w:sz w:val="18"/>
      <w:szCs w:val="18"/>
    </w:rPr>
  </w:style>
  <w:style w:type="paragraph" w:customStyle="1" w:styleId="213">
    <w:name w:val="font7"/>
    <w:basedOn w:val="1"/>
    <w:qFormat/>
    <w:uiPriority w:val="99"/>
    <w:pPr>
      <w:widowControl/>
      <w:spacing w:before="100" w:beforeAutospacing="1" w:after="100" w:afterAutospacing="1"/>
      <w:jc w:val="left"/>
    </w:pPr>
    <w:rPr>
      <w:rFonts w:ascii="Times New Roman" w:hAnsi="Times New Roman"/>
      <w:b/>
      <w:bCs/>
      <w:kern w:val="0"/>
      <w:sz w:val="18"/>
      <w:szCs w:val="18"/>
    </w:rPr>
  </w:style>
  <w:style w:type="paragraph" w:customStyle="1" w:styleId="214">
    <w:name w:val="样式 样式 标题 5 + 段前: 5 磅 段后: 5 磅 行距: 单倍行距 + 五号"/>
    <w:basedOn w:val="209"/>
    <w:qFormat/>
    <w:uiPriority w:val="99"/>
    <w:rPr>
      <w:sz w:val="21"/>
    </w:rPr>
  </w:style>
  <w:style w:type="paragraph" w:customStyle="1" w:styleId="215">
    <w:name w:val="xl5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olor w:val="000000"/>
      <w:kern w:val="0"/>
      <w:sz w:val="18"/>
      <w:szCs w:val="18"/>
    </w:rPr>
  </w:style>
  <w:style w:type="paragraph" w:customStyle="1" w:styleId="216">
    <w:name w:val="font11"/>
    <w:basedOn w:val="1"/>
    <w:qFormat/>
    <w:uiPriority w:val="99"/>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217">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218">
    <w:name w:val="表正文"/>
    <w:basedOn w:val="1"/>
    <w:qFormat/>
    <w:uiPriority w:val="99"/>
    <w:pPr>
      <w:adjustRightInd w:val="0"/>
      <w:spacing w:after="120" w:line="360" w:lineRule="atLeast"/>
      <w:jc w:val="left"/>
    </w:pPr>
    <w:rPr>
      <w:rFonts w:ascii="Times New Roman" w:hAnsi="Times New Roman"/>
      <w:kern w:val="0"/>
      <w:sz w:val="16"/>
      <w:szCs w:val="16"/>
    </w:rPr>
  </w:style>
  <w:style w:type="paragraph" w:customStyle="1" w:styleId="219">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18"/>
      <w:szCs w:val="18"/>
    </w:rPr>
  </w:style>
  <w:style w:type="paragraph" w:customStyle="1" w:styleId="220">
    <w:name w:val="正文+宋体"/>
    <w:basedOn w:val="1"/>
    <w:qFormat/>
    <w:uiPriority w:val="99"/>
    <w:pPr>
      <w:spacing w:afterLines="50" w:line="360" w:lineRule="auto"/>
    </w:pPr>
    <w:rPr>
      <w:rFonts w:ascii="Arial" w:hAnsi="Arial" w:cs="Arial"/>
      <w:color w:val="000000"/>
      <w:szCs w:val="21"/>
    </w:rPr>
  </w:style>
  <w:style w:type="paragraph" w:customStyle="1" w:styleId="221">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olor w:val="000000"/>
      <w:kern w:val="0"/>
      <w:sz w:val="18"/>
      <w:szCs w:val="18"/>
    </w:rPr>
  </w:style>
  <w:style w:type="paragraph" w:customStyle="1" w:styleId="222">
    <w:name w:val="Char Char Char Char"/>
    <w:basedOn w:val="23"/>
    <w:next w:val="206"/>
    <w:qFormat/>
    <w:uiPriority w:val="99"/>
    <w:pPr>
      <w:shd w:val="clear" w:color="auto" w:fill="000080"/>
      <w:spacing w:line="436" w:lineRule="exact"/>
      <w:ind w:left="357" w:leftChars="0" w:firstLine="0" w:firstLineChars="0"/>
      <w:textAlignment w:val="auto"/>
      <w:outlineLvl w:val="3"/>
    </w:pPr>
    <w:rPr>
      <w:rFonts w:ascii="Tahoma" w:hAnsi="Tahoma"/>
      <w:b/>
      <w:kern w:val="2"/>
      <w:szCs w:val="24"/>
    </w:rPr>
  </w:style>
  <w:style w:type="paragraph" w:customStyle="1" w:styleId="223">
    <w:name w:val="Char Char Char"/>
    <w:basedOn w:val="1"/>
    <w:qFormat/>
    <w:uiPriority w:val="99"/>
    <w:rPr>
      <w:rFonts w:ascii="Tahoma" w:hAnsi="Tahoma"/>
      <w:sz w:val="24"/>
      <w:szCs w:val="20"/>
    </w:rPr>
  </w:style>
  <w:style w:type="paragraph" w:customStyle="1" w:styleId="224">
    <w:name w:val="正文行"/>
    <w:basedOn w:val="1"/>
    <w:qFormat/>
    <w:uiPriority w:val="99"/>
    <w:pPr>
      <w:spacing w:line="360" w:lineRule="auto"/>
    </w:pPr>
    <w:rPr>
      <w:rFonts w:ascii="Tahoma" w:hAnsi="Tahoma"/>
      <w:sz w:val="24"/>
      <w:szCs w:val="24"/>
    </w:rPr>
  </w:style>
  <w:style w:type="paragraph" w:customStyle="1" w:styleId="22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00"/>
      <w:kern w:val="0"/>
      <w:sz w:val="18"/>
      <w:szCs w:val="18"/>
    </w:rPr>
  </w:style>
  <w:style w:type="paragraph" w:customStyle="1" w:styleId="226">
    <w:name w:val="Char3"/>
    <w:basedOn w:val="1"/>
    <w:qFormat/>
    <w:uiPriority w:val="99"/>
    <w:rPr>
      <w:rFonts w:ascii="Tahoma" w:hAnsi="Tahoma"/>
      <w:sz w:val="24"/>
      <w:szCs w:val="20"/>
    </w:rPr>
  </w:style>
  <w:style w:type="paragraph" w:customStyle="1" w:styleId="227">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000000"/>
      <w:kern w:val="0"/>
      <w:sz w:val="18"/>
      <w:szCs w:val="18"/>
    </w:rPr>
  </w:style>
  <w:style w:type="paragraph" w:customStyle="1" w:styleId="228">
    <w:name w:val="日期1"/>
    <w:basedOn w:val="1"/>
    <w:next w:val="1"/>
    <w:qFormat/>
    <w:uiPriority w:val="99"/>
    <w:pPr>
      <w:overflowPunct w:val="0"/>
      <w:autoSpaceDE w:val="0"/>
      <w:autoSpaceDN w:val="0"/>
      <w:adjustRightInd w:val="0"/>
    </w:pPr>
    <w:rPr>
      <w:rFonts w:ascii="宋体" w:hAnsi="Times New Roman"/>
      <w:sz w:val="28"/>
      <w:szCs w:val="20"/>
    </w:rPr>
  </w:style>
  <w:style w:type="paragraph" w:customStyle="1" w:styleId="229">
    <w:name w:val="PMletterText"/>
    <w:basedOn w:val="191"/>
    <w:qFormat/>
    <w:uiPriority w:val="99"/>
    <w:pPr>
      <w:numPr>
        <w:ilvl w:val="0"/>
        <w:numId w:val="8"/>
      </w:numPr>
      <w:tabs>
        <w:tab w:val="clear" w:pos="709"/>
      </w:tabs>
      <w:spacing w:before="240"/>
      <w:ind w:left="720" w:firstLine="0"/>
    </w:pPr>
  </w:style>
  <w:style w:type="paragraph" w:customStyle="1" w:styleId="230">
    <w:name w:val="xl2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18"/>
      <w:szCs w:val="18"/>
    </w:rPr>
  </w:style>
  <w:style w:type="paragraph" w:customStyle="1" w:styleId="231">
    <w:name w:val="WW-日期"/>
    <w:basedOn w:val="1"/>
    <w:next w:val="1"/>
    <w:qFormat/>
    <w:uiPriority w:val="99"/>
    <w:pPr>
      <w:suppressAutoHyphens/>
      <w:ind w:left="100"/>
    </w:pPr>
    <w:rPr>
      <w:rFonts w:ascii="仿宋_GB2312" w:hAnsi="仿宋_GB2312" w:eastAsia="仿宋_GB2312"/>
      <w:color w:val="000000"/>
      <w:kern w:val="1"/>
      <w:sz w:val="24"/>
      <w:szCs w:val="24"/>
      <w:lang w:eastAsia="ar-SA"/>
    </w:rPr>
  </w:style>
  <w:style w:type="paragraph" w:customStyle="1" w:styleId="232">
    <w:name w:val="标题单位"/>
    <w:basedOn w:val="1"/>
    <w:next w:val="1"/>
    <w:qFormat/>
    <w:uiPriority w:val="99"/>
    <w:pPr>
      <w:spacing w:line="360" w:lineRule="auto"/>
      <w:jc w:val="center"/>
    </w:pPr>
    <w:rPr>
      <w:rFonts w:ascii="Tahoma" w:hAnsi="Tahoma" w:eastAsia="黑体"/>
      <w:sz w:val="32"/>
      <w:szCs w:val="32"/>
    </w:rPr>
  </w:style>
  <w:style w:type="paragraph" w:customStyle="1" w:styleId="233">
    <w:name w:val="xl49"/>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18"/>
      <w:szCs w:val="18"/>
    </w:rPr>
  </w:style>
  <w:style w:type="paragraph" w:customStyle="1" w:styleId="234">
    <w:name w:val="xl45"/>
    <w:basedOn w:val="1"/>
    <w:uiPriority w:val="99"/>
    <w:pPr>
      <w:widowControl/>
      <w:pBdr>
        <w:bottom w:val="single" w:color="auto" w:sz="4" w:space="0"/>
      </w:pBdr>
      <w:spacing w:before="100" w:beforeAutospacing="1" w:after="100" w:afterAutospacing="1"/>
      <w:jc w:val="center"/>
      <w:textAlignment w:val="center"/>
    </w:pPr>
    <w:rPr>
      <w:rFonts w:ascii="华文新魏" w:hAnsi="宋体" w:eastAsia="华文新魏"/>
      <w:color w:val="000000"/>
      <w:kern w:val="0"/>
      <w:sz w:val="40"/>
      <w:szCs w:val="40"/>
    </w:rPr>
  </w:style>
  <w:style w:type="paragraph" w:customStyle="1" w:styleId="235">
    <w:name w:val="PMletterTextBullet"/>
    <w:basedOn w:val="229"/>
    <w:uiPriority w:val="99"/>
    <w:pPr>
      <w:tabs>
        <w:tab w:val="left" w:pos="1800"/>
      </w:tabs>
      <w:ind w:left="1800" w:firstLine="288"/>
    </w:pPr>
  </w:style>
  <w:style w:type="paragraph" w:customStyle="1" w:styleId="236">
    <w:name w:val="xl28"/>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color w:val="000000"/>
      <w:kern w:val="0"/>
      <w:sz w:val="18"/>
      <w:szCs w:val="18"/>
    </w:rPr>
  </w:style>
  <w:style w:type="paragraph" w:customStyle="1" w:styleId="237">
    <w:name w:val="缺省文本"/>
    <w:basedOn w:val="1"/>
    <w:uiPriority w:val="99"/>
    <w:pPr>
      <w:widowControl/>
      <w:overflowPunct w:val="0"/>
      <w:autoSpaceDE w:val="0"/>
      <w:autoSpaceDN w:val="0"/>
      <w:adjustRightInd w:val="0"/>
      <w:spacing w:line="360" w:lineRule="auto"/>
      <w:ind w:firstLine="720"/>
      <w:textAlignment w:val="baseline"/>
    </w:pPr>
    <w:rPr>
      <w:rFonts w:ascii="宋体" w:hAnsi="Times New Roman" w:eastAsia="仿宋_GB2312"/>
      <w:kern w:val="0"/>
      <w:sz w:val="28"/>
      <w:szCs w:val="20"/>
    </w:rPr>
  </w:style>
  <w:style w:type="paragraph" w:customStyle="1" w:styleId="238">
    <w:name w:val="表样式"/>
    <w:basedOn w:val="1"/>
    <w:uiPriority w:val="99"/>
    <w:pPr>
      <w:tabs>
        <w:tab w:val="center" w:pos="4153"/>
        <w:tab w:val="right" w:pos="8306"/>
      </w:tabs>
      <w:autoSpaceDE w:val="0"/>
      <w:autoSpaceDN w:val="0"/>
      <w:adjustRightInd w:val="0"/>
      <w:spacing w:line="360" w:lineRule="auto"/>
      <w:ind w:left="181"/>
      <w:jc w:val="left"/>
    </w:pPr>
    <w:rPr>
      <w:rFonts w:ascii="宋体" w:hAnsi="Times New Roman"/>
      <w:kern w:val="0"/>
      <w:szCs w:val="20"/>
    </w:rPr>
  </w:style>
  <w:style w:type="paragraph" w:customStyle="1" w:styleId="239">
    <w:name w:val="小标题"/>
    <w:basedOn w:val="16"/>
    <w:uiPriority w:val="99"/>
    <w:pPr>
      <w:adjustRightInd/>
      <w:spacing w:after="0" w:line="240" w:lineRule="auto"/>
      <w:ind w:left="100" w:leftChars="100" w:right="0" w:rightChars="0"/>
      <w:jc w:val="both"/>
      <w:textAlignment w:val="auto"/>
    </w:pPr>
    <w:rPr>
      <w:rFonts w:ascii="Tahoma" w:hAnsi="Tahoma" w:eastAsia="仿宋_GB2312" w:cs="Century"/>
      <w:b/>
      <w:bCs/>
      <w:sz w:val="24"/>
      <w:szCs w:val="24"/>
    </w:rPr>
  </w:style>
  <w:style w:type="paragraph" w:customStyle="1" w:styleId="240">
    <w:name w:val="金安桥正文"/>
    <w:basedOn w:val="22"/>
    <w:uiPriority w:val="99"/>
    <w:pPr>
      <w:adjustRightInd w:val="0"/>
      <w:spacing w:line="300" w:lineRule="auto"/>
      <w:ind w:firstLine="200" w:firstLineChars="200"/>
      <w:jc w:val="left"/>
    </w:pPr>
    <w:rPr>
      <w:kern w:val="0"/>
      <w:sz w:val="24"/>
      <w:szCs w:val="20"/>
    </w:rPr>
  </w:style>
  <w:style w:type="paragraph" w:customStyle="1" w:styleId="241">
    <w:name w:val="xl35"/>
    <w:basedOn w:val="1"/>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b/>
      <w:bCs/>
      <w:color w:val="000000"/>
      <w:kern w:val="0"/>
      <w:sz w:val="18"/>
      <w:szCs w:val="18"/>
    </w:rPr>
  </w:style>
  <w:style w:type="paragraph" w:customStyle="1" w:styleId="242">
    <w:name w:val="3"/>
    <w:basedOn w:val="1"/>
    <w:next w:val="20"/>
    <w:uiPriority w:val="99"/>
    <w:rPr>
      <w:rFonts w:ascii="宋体" w:hAnsi="Times New Roman"/>
      <w:sz w:val="24"/>
      <w:szCs w:val="20"/>
    </w:rPr>
  </w:style>
  <w:style w:type="character" w:customStyle="1" w:styleId="243">
    <w:name w:val="apple-style-span"/>
    <w:uiPriority w:val="99"/>
  </w:style>
  <w:style w:type="paragraph" w:customStyle="1" w:styleId="244">
    <w:name w:val="列出段落2"/>
    <w:basedOn w:val="1"/>
    <w:uiPriority w:val="99"/>
    <w:pPr>
      <w:ind w:firstLine="420" w:firstLineChars="200"/>
    </w:pPr>
  </w:style>
  <w:style w:type="paragraph" w:customStyle="1" w:styleId="245">
    <w:name w:val="2"/>
    <w:basedOn w:val="1"/>
    <w:next w:val="22"/>
    <w:uiPriority w:val="99"/>
    <w:pPr>
      <w:ind w:left="432"/>
    </w:pPr>
    <w:rPr>
      <w:rFonts w:ascii="Times New Roman" w:hAnsi="Times New Roman"/>
      <w:szCs w:val="20"/>
    </w:rPr>
  </w:style>
  <w:style w:type="paragraph" w:customStyle="1" w:styleId="246">
    <w:name w:val="样式 标题 1 + 黑体 三号 非加粗 居中 段前: 6 磅 段后: 6 磅 行距: 固定值 20 磅"/>
    <w:basedOn w:val="2"/>
    <w:uiPriority w:val="99"/>
    <w:pPr>
      <w:spacing w:before="120" w:after="120" w:line="400" w:lineRule="exact"/>
      <w:jc w:val="center"/>
    </w:pPr>
    <w:rPr>
      <w:rFonts w:ascii="黑体" w:hAnsi="黑体" w:eastAsia="黑体" w:cs="宋体"/>
      <w:b w:val="0"/>
      <w:bCs w:val="0"/>
      <w:sz w:val="32"/>
      <w:szCs w:val="20"/>
    </w:rPr>
  </w:style>
  <w:style w:type="paragraph" w:customStyle="1" w:styleId="247">
    <w:name w:val="Char1"/>
    <w:basedOn w:val="1"/>
    <w:uiPriority w:val="99"/>
    <w:rPr>
      <w:rFonts w:ascii="Tahoma" w:hAnsi="Tahoma"/>
      <w:sz w:val="24"/>
      <w:szCs w:val="20"/>
    </w:rPr>
  </w:style>
  <w:style w:type="paragraph" w:customStyle="1" w:styleId="248">
    <w:name w:val="1"/>
    <w:basedOn w:val="1"/>
    <w:uiPriority w:val="99"/>
    <w:rPr>
      <w:rFonts w:ascii="Times New Roman" w:hAnsi="Times New Roman"/>
      <w:szCs w:val="24"/>
    </w:rPr>
  </w:style>
  <w:style w:type="character" w:customStyle="1" w:styleId="249">
    <w:name w:val="font161"/>
    <w:uiPriority w:val="99"/>
    <w:rPr>
      <w:b/>
      <w:sz w:val="32"/>
    </w:rPr>
  </w:style>
  <w:style w:type="paragraph" w:customStyle="1" w:styleId="250">
    <w:name w:val="6'"/>
    <w:basedOn w:val="1"/>
    <w:uiPriority w:val="99"/>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251">
    <w:name w:val="表格文字"/>
    <w:basedOn w:val="1"/>
    <w:uiPriority w:val="99"/>
    <w:pPr>
      <w:adjustRightInd w:val="0"/>
      <w:spacing w:line="420" w:lineRule="atLeast"/>
      <w:jc w:val="left"/>
      <w:textAlignment w:val="baseline"/>
    </w:pPr>
    <w:rPr>
      <w:rFonts w:ascii="Times New Roman" w:hAnsi="Times New Roman"/>
      <w:kern w:val="0"/>
      <w:szCs w:val="20"/>
    </w:rPr>
  </w:style>
  <w:style w:type="paragraph" w:customStyle="1" w:styleId="252">
    <w:name w:val="XW正文"/>
    <w:basedOn w:val="22"/>
    <w:uiPriority w:val="99"/>
    <w:pPr>
      <w:adjustRightInd w:val="0"/>
      <w:snapToGrid w:val="0"/>
      <w:spacing w:line="300" w:lineRule="auto"/>
      <w:ind w:firstLine="520" w:firstLineChars="200"/>
      <w:jc w:val="left"/>
    </w:pPr>
    <w:rPr>
      <w:rFonts w:ascii="Times New Roman" w:hAnsi="Times New Roman"/>
      <w:kern w:val="0"/>
      <w:sz w:val="21"/>
    </w:rPr>
  </w:style>
  <w:style w:type="paragraph" w:customStyle="1" w:styleId="253">
    <w:name w:val="xl24"/>
    <w:basedOn w:val="1"/>
    <w:uiPriority w:val="99"/>
    <w:pPr>
      <w:widowControl/>
      <w:spacing w:before="100" w:after="100"/>
      <w:jc w:val="center"/>
      <w:textAlignment w:val="center"/>
    </w:pPr>
    <w:rPr>
      <w:rFonts w:ascii="宋体" w:hAnsi="宋体"/>
      <w:kern w:val="0"/>
      <w:sz w:val="24"/>
      <w:szCs w:val="20"/>
    </w:rPr>
  </w:style>
  <w:style w:type="character" w:customStyle="1" w:styleId="254">
    <w:name w:val="Char Char1"/>
    <w:uiPriority w:val="99"/>
    <w:rPr>
      <w:rFonts w:eastAsia="宋体"/>
      <w:kern w:val="2"/>
      <w:sz w:val="24"/>
      <w:lang w:val="en-US" w:eastAsia="zh-CN"/>
    </w:rPr>
  </w:style>
  <w:style w:type="paragraph" w:customStyle="1" w:styleId="255">
    <w:name w:val="p17"/>
    <w:basedOn w:val="1"/>
    <w:uiPriority w:val="99"/>
    <w:pPr>
      <w:widowControl/>
    </w:pPr>
    <w:rPr>
      <w:rFonts w:ascii="Times New Roman" w:hAnsi="Times New Roman"/>
      <w:kern w:val="0"/>
      <w:szCs w:val="21"/>
    </w:rPr>
  </w:style>
  <w:style w:type="paragraph" w:customStyle="1" w:styleId="256">
    <w:name w:val="msonormal"/>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257">
    <w:name w:val="xl66"/>
    <w:basedOn w:val="1"/>
    <w:uiPriority w:val="99"/>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258">
    <w:name w:val="xl67"/>
    <w:basedOn w:val="1"/>
    <w:uiPriority w:val="99"/>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59">
    <w:name w:val="xl68"/>
    <w:basedOn w:val="1"/>
    <w:qFormat/>
    <w:uiPriority w:val="99"/>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260">
    <w:name w:val="xl69"/>
    <w:basedOn w:val="1"/>
    <w:uiPriority w:val="99"/>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61">
    <w:name w:val="xl70"/>
    <w:basedOn w:val="1"/>
    <w:uiPriority w:val="99"/>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262">
    <w:name w:val="xl71"/>
    <w:basedOn w:val="1"/>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63">
    <w:name w:val="xl72"/>
    <w:basedOn w:val="1"/>
    <w:uiPriority w:val="99"/>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64">
    <w:name w:val="xl73"/>
    <w:basedOn w:val="1"/>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265">
    <w:name w:val="xl74"/>
    <w:basedOn w:val="1"/>
    <w:uiPriority w:val="99"/>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266">
    <w:name w:val="xl75"/>
    <w:basedOn w:val="1"/>
    <w:qFormat/>
    <w:uiPriority w:val="99"/>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267">
    <w:name w:val="xl76"/>
    <w:basedOn w:val="1"/>
    <w:qFormat/>
    <w:uiPriority w:val="99"/>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68">
    <w:name w:val="xl78"/>
    <w:basedOn w:val="1"/>
    <w:qFormat/>
    <w:uiPriority w:val="99"/>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269">
    <w:name w:val="xl79"/>
    <w:basedOn w:val="1"/>
    <w:qFormat/>
    <w:uiPriority w:val="99"/>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270">
    <w:name w:val="xl80"/>
    <w:basedOn w:val="1"/>
    <w:uiPriority w:val="99"/>
    <w:pPr>
      <w:widowControl/>
      <w:pBdr>
        <w:top w:val="single" w:color="000000" w:sz="4" w:space="0"/>
        <w:left w:val="single" w:color="000000" w:sz="4" w:space="0"/>
        <w:bottom w:val="single" w:color="000000" w:sz="4" w:space="0"/>
      </w:pBdr>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271">
    <w:name w:val="xl81"/>
    <w:basedOn w:val="1"/>
    <w:qFormat/>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72">
    <w:name w:val="xl82"/>
    <w:basedOn w:val="1"/>
    <w:uiPriority w:val="99"/>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73">
    <w:name w:val="xl83"/>
    <w:basedOn w:val="1"/>
    <w:qFormat/>
    <w:uiPriority w:val="99"/>
    <w:pPr>
      <w:widowControl/>
      <w:shd w:val="clear" w:color="FFFFFF" w:fill="FFFFFF"/>
      <w:spacing w:before="100" w:beforeAutospacing="1" w:after="100" w:afterAutospacing="1"/>
      <w:jc w:val="center"/>
      <w:textAlignment w:val="center"/>
    </w:pPr>
    <w:rPr>
      <w:rFonts w:ascii="宋体" w:hAnsi="宋体" w:cs="宋体"/>
      <w:b/>
      <w:bCs/>
      <w:kern w:val="0"/>
      <w:sz w:val="40"/>
      <w:szCs w:val="40"/>
    </w:rPr>
  </w:style>
  <w:style w:type="paragraph" w:customStyle="1" w:styleId="274">
    <w:name w:val="xl84"/>
    <w:basedOn w:val="1"/>
    <w:qFormat/>
    <w:uiPriority w:val="99"/>
    <w:pPr>
      <w:widowControl/>
      <w:shd w:val="clear" w:color="FFFFFF" w:fill="FFFFFF"/>
      <w:spacing w:before="100" w:beforeAutospacing="1" w:after="100" w:afterAutospacing="1"/>
      <w:jc w:val="left"/>
      <w:textAlignment w:val="center"/>
    </w:pPr>
    <w:rPr>
      <w:rFonts w:ascii="宋体" w:hAnsi="宋体" w:cs="宋体"/>
      <w:kern w:val="0"/>
      <w:sz w:val="24"/>
      <w:szCs w:val="24"/>
    </w:rPr>
  </w:style>
  <w:style w:type="paragraph" w:customStyle="1" w:styleId="275">
    <w:name w:val="xl85"/>
    <w:basedOn w:val="1"/>
    <w:uiPriority w:val="99"/>
    <w:pPr>
      <w:widowControl/>
      <w:shd w:val="clear" w:color="FFFFFF" w:fill="FFFFFF"/>
      <w:spacing w:before="100" w:beforeAutospacing="1" w:after="100" w:afterAutospacing="1"/>
      <w:jc w:val="right"/>
      <w:textAlignment w:val="center"/>
    </w:pPr>
    <w:rPr>
      <w:rFonts w:ascii="宋体" w:hAnsi="宋体" w:cs="宋体"/>
      <w:kern w:val="0"/>
      <w:sz w:val="24"/>
      <w:szCs w:val="24"/>
    </w:rPr>
  </w:style>
  <w:style w:type="paragraph" w:customStyle="1" w:styleId="276">
    <w:name w:val="xl86"/>
    <w:basedOn w:val="1"/>
    <w:qFormat/>
    <w:uiPriority w:val="99"/>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szCs w:val="24"/>
    </w:rPr>
  </w:style>
  <w:style w:type="paragraph" w:customStyle="1" w:styleId="277">
    <w:name w:val="xl88"/>
    <w:basedOn w:val="1"/>
    <w:uiPriority w:val="99"/>
    <w:pPr>
      <w:widowControl/>
      <w:shd w:val="clear" w:color="FFFFFF" w:fill="FFFFFF"/>
      <w:spacing w:before="100" w:beforeAutospacing="1" w:after="100" w:afterAutospacing="1"/>
      <w:jc w:val="left"/>
    </w:pPr>
    <w:rPr>
      <w:rFonts w:ascii="宋体" w:hAnsi="宋体" w:cs="宋体"/>
      <w:kern w:val="0"/>
      <w:sz w:val="24"/>
      <w:szCs w:val="24"/>
    </w:rPr>
  </w:style>
  <w:style w:type="paragraph" w:customStyle="1" w:styleId="278">
    <w:name w:val="xl89"/>
    <w:basedOn w:val="1"/>
    <w:uiPriority w:val="99"/>
    <w:pPr>
      <w:widowControl/>
      <w:pBdr>
        <w:top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szCs w:val="24"/>
    </w:rPr>
  </w:style>
  <w:style w:type="character" w:customStyle="1" w:styleId="279">
    <w:name w:val="页脚 Char2"/>
    <w:qFormat/>
    <w:uiPriority w:val="99"/>
    <w:rPr>
      <w:kern w:val="2"/>
      <w:sz w:val="18"/>
    </w:rPr>
  </w:style>
  <w:style w:type="character" w:customStyle="1" w:styleId="280">
    <w:name w:val="批注主题 Char3"/>
    <w:uiPriority w:val="99"/>
    <w:rPr>
      <w:rFonts w:ascii="宋体" w:hAnsi="Times New Roman"/>
      <w:b/>
      <w:sz w:val="28"/>
    </w:rPr>
  </w:style>
  <w:style w:type="character" w:customStyle="1" w:styleId="281">
    <w:name w:val="批注文字 Char2"/>
    <w:qFormat/>
    <w:uiPriority w:val="99"/>
    <w:rPr>
      <w:kern w:val="2"/>
      <w:sz w:val="22"/>
    </w:rPr>
  </w:style>
  <w:style w:type="character" w:customStyle="1" w:styleId="282">
    <w:name w:val="文档结构图 Char3"/>
    <w:qFormat/>
    <w:uiPriority w:val="99"/>
    <w:rPr>
      <w:rFonts w:ascii="Times New Roman" w:hAnsi="Times New Roman"/>
      <w:sz w:val="24"/>
      <w:shd w:val="clear" w:color="auto" w:fill="000080"/>
    </w:rPr>
  </w:style>
  <w:style w:type="paragraph" w:customStyle="1" w:styleId="283">
    <w:name w:val="修订11"/>
    <w:semiHidden/>
    <w:qFormat/>
    <w:uiPriority w:val="99"/>
    <w:rPr>
      <w:rFonts w:ascii="Times New Roman" w:hAnsi="Times New Roman" w:eastAsia="宋体" w:cs="Times New Roman"/>
      <w:kern w:val="2"/>
      <w:sz w:val="21"/>
      <w:szCs w:val="20"/>
      <w:lang w:val="en-US" w:eastAsia="zh-CN" w:bidi="ar-SA"/>
    </w:rPr>
  </w:style>
  <w:style w:type="paragraph" w:customStyle="1" w:styleId="284">
    <w:name w:val="修订2"/>
    <w:semiHidden/>
    <w:qFormat/>
    <w:uiPriority w:val="99"/>
    <w:rPr>
      <w:rFonts w:ascii="Times New Roman" w:hAnsi="Times New Roman" w:eastAsia="宋体" w:cs="Times New Roman"/>
      <w:kern w:val="2"/>
      <w:sz w:val="21"/>
      <w:szCs w:val="20"/>
      <w:lang w:val="en-US" w:eastAsia="zh-CN" w:bidi="ar-SA"/>
    </w:rPr>
  </w:style>
  <w:style w:type="character" w:customStyle="1" w:styleId="285">
    <w:name w:val="日期 字符1"/>
    <w:uiPriority w:val="99"/>
    <w:rPr>
      <w:rFonts w:ascii="Tahoma" w:hAnsi="Tahoma" w:eastAsia="黑体"/>
      <w:kern w:val="2"/>
      <w:sz w:val="24"/>
    </w:rPr>
  </w:style>
  <w:style w:type="table" w:customStyle="1" w:styleId="286">
    <w:name w:val="网格型浅色1"/>
    <w:qFormat/>
    <w:uiPriority w:val="99"/>
    <w:rPr>
      <w:rFonts w:ascii="Times New Roman" w:hAnsi="Times New Roman"/>
      <w:kern w:val="0"/>
      <w:sz w:val="20"/>
      <w:szCs w:val="20"/>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85</Pages>
  <Words>7459</Words>
  <Lines>0</Lines>
  <Paragraphs>0</Paragraphs>
  <TotalTime>12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2018-04-24T03:00:00Z</dcterms:created>
  <dc:creator>邱锐</dc:creator>
  <cp:lastModifiedBy>ChenhoY</cp:lastModifiedBy>
  <dcterms:modified xsi:type="dcterms:W3CDTF">2018-07-07T08:10:53Z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