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bookmarkStart w:id="106" w:name="_GoBack"/>
      <w:bookmarkEnd w:id="106"/>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b/>
          <w:bCs/>
          <w:kern w:val="2"/>
          <w:sz w:val="72"/>
          <w:szCs w:val="72"/>
        </w:rPr>
      </w:pPr>
      <w:r>
        <w:rPr>
          <w:rFonts w:hint="eastAsia"/>
          <w:b/>
          <w:bCs/>
          <w:kern w:val="2"/>
          <w:sz w:val="72"/>
          <w:szCs w:val="72"/>
        </w:rPr>
        <w:t>竞争性磋商文件</w:t>
      </w: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ind w:firstLine="482"/>
        <w:rPr>
          <w:rFonts w:ascii="Times New Roman" w:hAnsi="Times New Roman" w:cs="Times New Roman"/>
          <w:b/>
          <w:bCs/>
          <w:sz w:val="24"/>
          <w:szCs w:val="24"/>
        </w:rPr>
      </w:pPr>
      <w:r>
        <w:rPr>
          <w:rFonts w:hint="eastAsia" w:ascii="Times New Roman" w:hAnsi="Times New Roman" w:cs="Times New Roman"/>
          <w:b/>
          <w:bCs/>
          <w:sz w:val="24"/>
          <w:szCs w:val="24"/>
        </w:rPr>
        <w:t>项目编号：</w:t>
      </w:r>
      <w:bookmarkStart w:id="0" w:name="项目编号"/>
      <w:r>
        <w:rPr>
          <w:rFonts w:ascii="Times New Roman" w:hAnsi="Times New Roman" w:cs="Times New Roman"/>
          <w:b/>
          <w:bCs/>
          <w:sz w:val="24"/>
          <w:szCs w:val="24"/>
        </w:rPr>
        <w:t>JC-20</w:t>
      </w:r>
      <w:bookmarkEnd w:id="0"/>
      <w:r>
        <w:rPr>
          <w:rFonts w:ascii="Times New Roman" w:hAnsi="Times New Roman" w:cs="Times New Roman"/>
          <w:b/>
          <w:bCs/>
          <w:sz w:val="24"/>
          <w:szCs w:val="24"/>
        </w:rPr>
        <w:t>170</w:t>
      </w:r>
      <w:r>
        <w:rPr>
          <w:rFonts w:hint="eastAsia" w:ascii="Times New Roman" w:hAnsi="Times New Roman" w:cs="Times New Roman"/>
          <w:b/>
          <w:bCs/>
          <w:sz w:val="24"/>
          <w:szCs w:val="24"/>
          <w:lang w:val="en-US" w:eastAsia="zh-CN"/>
        </w:rPr>
        <w:t>15</w:t>
      </w:r>
    </w:p>
    <w:p>
      <w:pPr>
        <w:pStyle w:val="114"/>
        <w:ind w:firstLine="482"/>
        <w:rPr>
          <w:rFonts w:ascii="Times New Roman" w:hAnsi="Times New Roman" w:cs="Times New Roman"/>
          <w:b/>
          <w:bCs/>
          <w:sz w:val="24"/>
          <w:szCs w:val="24"/>
        </w:rPr>
      </w:pPr>
      <w:r>
        <w:rPr>
          <w:rFonts w:hint="eastAsia" w:ascii="Times New Roman" w:hAnsi="Times New Roman" w:cs="Times New Roman"/>
          <w:b/>
          <w:bCs/>
          <w:sz w:val="24"/>
          <w:szCs w:val="24"/>
        </w:rPr>
        <w:t>项目名称：</w:t>
      </w:r>
      <w:bookmarkStart w:id="1" w:name="项目名称"/>
      <w:r>
        <w:rPr>
          <w:rFonts w:hint="eastAsia" w:ascii="Times New Roman" w:hAnsi="Times New Roman" w:cs="Times New Roman"/>
          <w:b/>
          <w:bCs/>
          <w:sz w:val="24"/>
          <w:szCs w:val="24"/>
        </w:rPr>
        <w:t>中央财经大学后勤服务产业集团内部控制体系建设采购项目</w:t>
      </w:r>
      <w:bookmarkEnd w:id="1"/>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rPr>
          <w:rFonts w:ascii="Times New Roman" w:hAnsi="Times New Roman" w:cs="Times New Roman"/>
        </w:rPr>
      </w:pPr>
    </w:p>
    <w:p>
      <w:pPr>
        <w:pStyle w:val="114"/>
        <w:ind w:firstLine="0" w:firstLineChars="0"/>
        <w:jc w:val="center"/>
        <w:rPr>
          <w:rFonts w:ascii="Times New Roman" w:hAnsi="Times New Roman" w:cs="Times New Roman"/>
        </w:rPr>
      </w:pPr>
      <w:r>
        <w:rPr>
          <w:rFonts w:ascii="Times New Roman" w:hAnsi="Times New Roman" w:cs="Times New Roman"/>
        </w:rPr>
        <w:t>中央财经大学</w:t>
      </w:r>
    </w:p>
    <w:p>
      <w:pPr>
        <w:pStyle w:val="114"/>
        <w:ind w:firstLine="0" w:firstLineChars="0"/>
        <w:jc w:val="center"/>
        <w:rPr>
          <w:rFonts w:ascii="Times New Roman" w:hAnsi="Times New Roman" w:cs="Times New Roman"/>
        </w:rPr>
      </w:pPr>
      <w:r>
        <w:rPr>
          <w:rFonts w:ascii="Times New Roman" w:hAnsi="Times New Roman" w:cs="Times New Roman"/>
        </w:rPr>
        <w:t>招标与采购事务中心</w:t>
      </w:r>
    </w:p>
    <w:p>
      <w:pPr>
        <w:pStyle w:val="114"/>
        <w:ind w:firstLine="0" w:firstLineChars="0"/>
        <w:jc w:val="center"/>
        <w:rPr>
          <w:rFonts w:ascii="Times New Roman" w:hAnsi="Times New Roman" w:cs="Times New Roman"/>
        </w:rPr>
        <w:sectPr>
          <w:footerReference r:id="rId7" w:type="first"/>
          <w:headerReference r:id="rId5" w:type="default"/>
          <w:footerReference r:id="rId6" w:type="default"/>
          <w:type w:val="continuous"/>
          <w:pgSz w:w="11909" w:h="16834"/>
          <w:pgMar w:top="1418" w:right="1418" w:bottom="1418" w:left="1559" w:header="851" w:footer="851" w:gutter="0"/>
          <w:pgNumType w:start="0"/>
          <w:cols w:space="720" w:num="1"/>
          <w:titlePg/>
        </w:sectPr>
      </w:pPr>
      <w:r>
        <w:rPr>
          <w:rFonts w:ascii="Times New Roman" w:hAnsi="Times New Roman" w:cs="Times New Roman"/>
        </w:rPr>
        <w:t>二○一</w:t>
      </w:r>
      <w:r>
        <w:rPr>
          <w:rFonts w:hint="eastAsia" w:ascii="Times New Roman" w:hAnsi="Times New Roman" w:cs="Times New Roman"/>
        </w:rPr>
        <w:t>八</w:t>
      </w:r>
      <w:r>
        <w:rPr>
          <w:rFonts w:ascii="Times New Roman" w:hAnsi="Times New Roman" w:cs="Times New Roman"/>
        </w:rPr>
        <w:t>年</w:t>
      </w:r>
    </w:p>
    <w:sdt>
      <w:sdtPr>
        <w:rPr>
          <w:rFonts w:ascii="Times New Roman" w:hAnsi="Times New Roman" w:eastAsia="宋体" w:cs="Times New Roman"/>
          <w:color w:val="auto"/>
          <w:kern w:val="2"/>
          <w:sz w:val="24"/>
          <w:szCs w:val="20"/>
          <w:lang w:val="zh-CN"/>
        </w:rPr>
        <w:id w:val="-699088415"/>
      </w:sdtPr>
      <w:sdtEndPr>
        <w:rPr>
          <w:rFonts w:ascii="Times New Roman" w:hAnsi="Times New Roman" w:eastAsia="宋体" w:cs="Times New Roman"/>
          <w:b/>
          <w:bCs/>
          <w:color w:val="auto"/>
          <w:kern w:val="0"/>
          <w:sz w:val="24"/>
          <w:szCs w:val="20"/>
          <w:lang w:val="zh-CN"/>
        </w:rPr>
      </w:sdtEndPr>
      <w:sdtContent>
        <w:p>
          <w:pPr>
            <w:pStyle w:val="117"/>
            <w:jc w:val="center"/>
            <w:rPr>
              <w:rFonts w:ascii="Times New Roman" w:hAnsi="Times New Roman" w:eastAsia="宋体" w:cs="Times New Roman"/>
              <w:color w:val="auto"/>
              <w:kern w:val="2"/>
              <w:lang w:val="zh-CN"/>
            </w:rPr>
          </w:pPr>
          <w:bookmarkStart w:id="2" w:name="_Toc119738559"/>
          <w:bookmarkStart w:id="3" w:name="_Toc118599100"/>
          <w:bookmarkStart w:id="4" w:name="_Toc118717296"/>
          <w:r>
            <w:rPr>
              <w:rFonts w:ascii="Times New Roman" w:hAnsi="Times New Roman" w:eastAsia="宋体" w:cs="Times New Roman"/>
              <w:color w:val="auto"/>
              <w:kern w:val="2"/>
              <w:lang w:val="zh-CN"/>
            </w:rPr>
            <w:t>目录</w:t>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"_Toc477459638" </w:instrText>
          </w:r>
          <w:r>
            <w:fldChar w:fldCharType="separate"/>
          </w:r>
          <w:r>
            <w:rPr>
              <w:rStyle w:val="44"/>
              <w:rFonts w:hint="eastAsia" w:eastAsiaTheme="majorEastAsia"/>
            </w:rPr>
            <w:t>第一部分响应邀请</w:t>
          </w:r>
          <w:r>
            <w:tab/>
          </w:r>
          <w:r>
            <w:fldChar w:fldCharType="begin"/>
          </w:r>
          <w:r>
            <w:instrText xml:space="preserve"> PAGEREF _Toc477459638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"_Toc477459639" </w:instrText>
          </w:r>
          <w:r>
            <w:fldChar w:fldCharType="separate"/>
          </w:r>
          <w:r>
            <w:rPr>
              <w:rStyle w:val="44"/>
              <w:rFonts w:hint="eastAsia" w:eastAsiaTheme="majorEastAsia"/>
            </w:rPr>
            <w:t>第二部分响应人须知前附表</w:t>
          </w:r>
          <w:r>
            <w:tab/>
          </w:r>
          <w:r>
            <w:fldChar w:fldCharType="begin"/>
          </w:r>
          <w:r>
            <w:instrText xml:space="preserve"> PAGEREF _Toc477459639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"_Toc477459640" </w:instrText>
          </w:r>
          <w:r>
            <w:fldChar w:fldCharType="separate"/>
          </w:r>
          <w:r>
            <w:rPr>
              <w:rStyle w:val="44"/>
              <w:rFonts w:hint="eastAsia" w:eastAsiaTheme="majorEastAsia"/>
            </w:rPr>
            <w:t>第三部分响应人须知</w:t>
          </w:r>
          <w:r>
            <w:tab/>
          </w:r>
          <w:r>
            <w:fldChar w:fldCharType="begin"/>
          </w:r>
          <w:r>
            <w:instrText xml:space="preserve"> PAGEREF _Toc477459640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"_Toc477459641" </w:instrText>
          </w:r>
          <w:r>
            <w:fldChar w:fldCharType="separate"/>
          </w:r>
          <w:r>
            <w:rPr>
              <w:rStyle w:val="44"/>
              <w:rFonts w:hint="eastAsia"/>
            </w:rPr>
            <w:t>一、</w:t>
          </w:r>
          <w:r>
            <w:rPr>
              <w:rFonts w:asciiTheme="minorHAnsi" w:hAnsiTheme="minorHAnsi" w:eastAsiaTheme="minorEastAsia" w:cstheme="minorBidi"/>
              <w:i w:val="0"/>
              <w:iCs w:val="0"/>
              <w:szCs w:val="22"/>
            </w:rPr>
            <w:tab/>
          </w:r>
          <w:r>
            <w:rPr>
              <w:rStyle w:val="44"/>
              <w:rFonts w:hint="eastAsia"/>
            </w:rPr>
            <w:t>总则</w:t>
          </w:r>
          <w:r>
            <w:tab/>
          </w:r>
          <w:r>
            <w:fldChar w:fldCharType="begin"/>
          </w:r>
          <w:r>
            <w:instrText xml:space="preserve"> PAGEREF _Toc477459641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"_Toc477459642" </w:instrText>
          </w:r>
          <w:r>
            <w:fldChar w:fldCharType="separate"/>
          </w:r>
          <w:r>
            <w:rPr>
              <w:rStyle w:val="44"/>
              <w:rFonts w:hint="eastAsia"/>
            </w:rPr>
            <w:t>二、</w:t>
          </w:r>
          <w:r>
            <w:rPr>
              <w:rFonts w:asciiTheme="minorHAnsi" w:hAnsiTheme="minorHAnsi" w:eastAsiaTheme="minorEastAsia" w:cstheme="minorBidi"/>
              <w:i w:val="0"/>
              <w:iCs w:val="0"/>
              <w:szCs w:val="22"/>
            </w:rPr>
            <w:tab/>
          </w:r>
          <w:r>
            <w:rPr>
              <w:rStyle w:val="44"/>
              <w:rFonts w:hint="eastAsia"/>
            </w:rPr>
            <w:t>磋商文件</w:t>
          </w:r>
          <w:r>
            <w:tab/>
          </w:r>
          <w:r>
            <w:fldChar w:fldCharType="begin"/>
          </w:r>
          <w:r>
            <w:instrText xml:space="preserve"> PAGEREF _Toc477459642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"_Toc477459643" </w:instrText>
          </w:r>
          <w:r>
            <w:fldChar w:fldCharType="separate"/>
          </w:r>
          <w:r>
            <w:rPr>
              <w:rStyle w:val="44"/>
              <w:rFonts w:hint="eastAsia"/>
            </w:rPr>
            <w:t>三、</w:t>
          </w:r>
          <w:r>
            <w:rPr>
              <w:rFonts w:asciiTheme="minorHAnsi" w:hAnsiTheme="minorHAnsi" w:eastAsiaTheme="minorEastAsia" w:cstheme="minorBidi"/>
              <w:i w:val="0"/>
              <w:iCs w:val="0"/>
              <w:szCs w:val="22"/>
            </w:rPr>
            <w:tab/>
          </w:r>
          <w:r>
            <w:rPr>
              <w:rStyle w:val="44"/>
              <w:rFonts w:hint="eastAsia"/>
            </w:rPr>
            <w:t>响应文件</w:t>
          </w:r>
          <w:r>
            <w:tab/>
          </w:r>
          <w:r>
            <w:fldChar w:fldCharType="begin"/>
          </w:r>
          <w:r>
            <w:instrText xml:space="preserve"> PAGEREF _Toc477459643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"_Toc477459644" </w:instrText>
          </w:r>
          <w:r>
            <w:fldChar w:fldCharType="separate"/>
          </w:r>
          <w:r>
            <w:rPr>
              <w:rStyle w:val="44"/>
              <w:rFonts w:hint="eastAsia"/>
            </w:rPr>
            <w:t>四、</w:t>
          </w:r>
          <w:r>
            <w:rPr>
              <w:rFonts w:asciiTheme="minorHAnsi" w:hAnsiTheme="minorHAnsi" w:eastAsiaTheme="minorEastAsia" w:cstheme="minorBidi"/>
              <w:i w:val="0"/>
              <w:iCs w:val="0"/>
              <w:szCs w:val="22"/>
            </w:rPr>
            <w:tab/>
          </w:r>
          <w:r>
            <w:rPr>
              <w:rStyle w:val="44"/>
              <w:rFonts w:hint="eastAsia"/>
            </w:rPr>
            <w:t>响应文件的递交</w:t>
          </w:r>
          <w:r>
            <w:tab/>
          </w:r>
          <w:r>
            <w:fldChar w:fldCharType="begin"/>
          </w:r>
          <w:r>
            <w:instrText xml:space="preserve"> PAGEREF _Toc477459644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"_Toc477459645" </w:instrText>
          </w:r>
          <w:r>
            <w:fldChar w:fldCharType="separate"/>
          </w:r>
          <w:r>
            <w:rPr>
              <w:rStyle w:val="44"/>
              <w:rFonts w:hint="eastAsia"/>
            </w:rPr>
            <w:t>五、</w:t>
          </w:r>
          <w:r>
            <w:rPr>
              <w:rFonts w:asciiTheme="minorHAnsi" w:hAnsiTheme="minorHAnsi" w:eastAsiaTheme="minorEastAsia" w:cstheme="minorBidi"/>
              <w:i w:val="0"/>
              <w:iCs w:val="0"/>
              <w:szCs w:val="22"/>
            </w:rPr>
            <w:tab/>
          </w:r>
          <w:r>
            <w:rPr>
              <w:rStyle w:val="44"/>
              <w:rFonts w:hint="eastAsia"/>
            </w:rPr>
            <w:t>评标步骤和要求</w:t>
          </w:r>
          <w:r>
            <w:tab/>
          </w:r>
          <w:r>
            <w:fldChar w:fldCharType="begin"/>
          </w:r>
          <w:r>
            <w:instrText xml:space="preserve"> PAGEREF _Toc477459645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"_Toc477459646" </w:instrText>
          </w:r>
          <w:r>
            <w:fldChar w:fldCharType="separate"/>
          </w:r>
          <w:r>
            <w:rPr>
              <w:rStyle w:val="44"/>
              <w:rFonts w:hint="eastAsia"/>
            </w:rPr>
            <w:t>六、</w:t>
          </w:r>
          <w:r>
            <w:rPr>
              <w:rFonts w:asciiTheme="minorHAnsi" w:hAnsiTheme="minorHAnsi" w:eastAsiaTheme="minorEastAsia" w:cstheme="minorBidi"/>
              <w:i w:val="0"/>
              <w:iCs w:val="0"/>
              <w:szCs w:val="22"/>
            </w:rPr>
            <w:tab/>
          </w:r>
          <w:r>
            <w:rPr>
              <w:rStyle w:val="44"/>
              <w:rFonts w:hint="eastAsia"/>
            </w:rPr>
            <w:t>签订合同</w:t>
          </w:r>
          <w:r>
            <w:tab/>
          </w:r>
          <w:r>
            <w:fldChar w:fldCharType="begin"/>
          </w:r>
          <w:r>
            <w:instrText xml:space="preserve"> PAGEREF _Toc477459646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"_Toc477459647" </w:instrText>
          </w:r>
          <w:r>
            <w:fldChar w:fldCharType="separate"/>
          </w:r>
          <w:r>
            <w:rPr>
              <w:rStyle w:val="44"/>
              <w:rFonts w:hint="eastAsia"/>
            </w:rPr>
            <w:t>七、</w:t>
          </w:r>
          <w:r>
            <w:rPr>
              <w:rFonts w:asciiTheme="minorHAnsi" w:hAnsiTheme="minorHAnsi" w:eastAsiaTheme="minorEastAsia" w:cstheme="minorBidi"/>
              <w:i w:val="0"/>
              <w:iCs w:val="0"/>
              <w:szCs w:val="22"/>
            </w:rPr>
            <w:tab/>
          </w:r>
          <w:r>
            <w:rPr>
              <w:rStyle w:val="44"/>
              <w:rFonts w:hint="eastAsia"/>
            </w:rPr>
            <w:t>成交管理费</w:t>
          </w:r>
          <w:r>
            <w:tab/>
          </w:r>
          <w:r>
            <w:fldChar w:fldCharType="begin"/>
          </w:r>
          <w:r>
            <w:instrText xml:space="preserve"> PAGEREF _Toc477459647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"_Toc477459648" </w:instrText>
          </w:r>
          <w:r>
            <w:fldChar w:fldCharType="separate"/>
          </w:r>
          <w:r>
            <w:rPr>
              <w:rStyle w:val="44"/>
              <w:rFonts w:hint="eastAsia"/>
            </w:rPr>
            <w:t>八、</w:t>
          </w:r>
          <w:r>
            <w:rPr>
              <w:rFonts w:asciiTheme="minorHAnsi" w:hAnsiTheme="minorHAnsi" w:eastAsiaTheme="minorEastAsia" w:cstheme="minorBidi"/>
              <w:i w:val="0"/>
              <w:iCs w:val="0"/>
              <w:szCs w:val="22"/>
            </w:rPr>
            <w:tab/>
          </w:r>
          <w:r>
            <w:rPr>
              <w:rStyle w:val="44"/>
              <w:rFonts w:hint="eastAsia"/>
            </w:rPr>
            <w:t>处罚、询问和质疑</w:t>
          </w:r>
          <w:r>
            <w:tab/>
          </w:r>
          <w:r>
            <w:fldChar w:fldCharType="begin"/>
          </w:r>
          <w:r>
            <w:instrText xml:space="preserve"> PAGEREF _Toc477459648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"_Toc477459649" </w:instrText>
          </w:r>
          <w:r>
            <w:fldChar w:fldCharType="separate"/>
          </w:r>
          <w:r>
            <w:rPr>
              <w:rStyle w:val="44"/>
              <w:rFonts w:hint="eastAsia"/>
            </w:rPr>
            <w:t>九、</w:t>
          </w:r>
          <w:r>
            <w:rPr>
              <w:rFonts w:asciiTheme="minorHAnsi" w:hAnsiTheme="minorHAnsi" w:eastAsiaTheme="minorEastAsia" w:cstheme="minorBidi"/>
              <w:i w:val="0"/>
              <w:iCs w:val="0"/>
              <w:szCs w:val="22"/>
            </w:rPr>
            <w:tab/>
          </w:r>
          <w:r>
            <w:rPr>
              <w:rStyle w:val="44"/>
              <w:rFonts w:hint="eastAsia"/>
            </w:rPr>
            <w:t>保密和披露</w:t>
          </w:r>
          <w:r>
            <w:tab/>
          </w:r>
          <w:r>
            <w:fldChar w:fldCharType="begin"/>
          </w:r>
          <w:r>
            <w:instrText xml:space="preserve"> PAGEREF _Toc477459649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"_Toc477459650" </w:instrText>
          </w:r>
          <w:r>
            <w:fldChar w:fldCharType="separate"/>
          </w:r>
          <w:r>
            <w:rPr>
              <w:rStyle w:val="44"/>
              <w:rFonts w:hint="eastAsia" w:eastAsiaTheme="majorEastAsia"/>
            </w:rPr>
            <w:t>第四部分评标标准和评标办法</w:t>
          </w:r>
          <w:r>
            <w:tab/>
          </w:r>
          <w:r>
            <w:fldChar w:fldCharType="begin"/>
          </w:r>
          <w:r>
            <w:instrText xml:space="preserve"> PAGEREF _Toc477459650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"_Toc477459651" </w:instrText>
          </w:r>
          <w:r>
            <w:fldChar w:fldCharType="separate"/>
          </w:r>
          <w:r>
            <w:rPr>
              <w:rStyle w:val="44"/>
              <w:rFonts w:hint="eastAsia" w:eastAsiaTheme="majorEastAsia"/>
            </w:rPr>
            <w:t>第五部分磋商货物、服务的具体需求</w:t>
          </w:r>
          <w:r>
            <w:tab/>
          </w:r>
          <w:r>
            <w:fldChar w:fldCharType="begin"/>
          </w:r>
          <w:r>
            <w:instrText xml:space="preserve"> PAGEREF _Toc477459651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"_Toc477459652" </w:instrText>
          </w:r>
          <w:r>
            <w:fldChar w:fldCharType="separate"/>
          </w:r>
          <w:r>
            <w:rPr>
              <w:rStyle w:val="44"/>
              <w:rFonts w:hint="eastAsia" w:eastAsiaTheme="majorEastAsia"/>
            </w:rPr>
            <w:t>第六部分响应文件格式</w:t>
          </w:r>
          <w:r>
            <w:tab/>
          </w:r>
          <w:r>
            <w:fldChar w:fldCharType="begin"/>
          </w:r>
          <w:r>
            <w:instrText xml:space="preserve"> PAGEREF _Toc477459652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"_Toc477459653" </w:instrText>
          </w:r>
          <w:r>
            <w:fldChar w:fldCharType="separate"/>
          </w:r>
          <w:r>
            <w:rPr>
              <w:rStyle w:val="44"/>
              <w:rFonts w:hint="eastAsia"/>
            </w:rPr>
            <w:t>一、</w:t>
          </w:r>
          <w:r>
            <w:rPr>
              <w:rFonts w:asciiTheme="minorHAnsi" w:hAnsiTheme="minorHAnsi" w:eastAsiaTheme="minorEastAsia" w:cstheme="minorBidi"/>
              <w:i w:val="0"/>
              <w:iCs w:val="0"/>
              <w:szCs w:val="22"/>
            </w:rPr>
            <w:tab/>
          </w:r>
          <w:r>
            <w:rPr>
              <w:rStyle w:val="44"/>
              <w:rFonts w:hint="eastAsia"/>
            </w:rPr>
            <w:t>响应人提交文件须知</w:t>
          </w:r>
          <w:r>
            <w:tab/>
          </w:r>
          <w:r>
            <w:fldChar w:fldCharType="begin"/>
          </w:r>
          <w:r>
            <w:instrText xml:space="preserve"> PAGEREF _Toc477459653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"_Toc477459654" </w:instrText>
          </w:r>
          <w:r>
            <w:fldChar w:fldCharType="separate"/>
          </w:r>
          <w:r>
            <w:rPr>
              <w:rStyle w:val="44"/>
              <w:rFonts w:hint="eastAsia"/>
            </w:rPr>
            <w:t>二、</w:t>
          </w:r>
          <w:r>
            <w:rPr>
              <w:rFonts w:asciiTheme="minorHAnsi" w:hAnsiTheme="minorHAnsi" w:eastAsiaTheme="minorEastAsia" w:cstheme="minorBidi"/>
              <w:i w:val="0"/>
              <w:iCs w:val="0"/>
              <w:szCs w:val="22"/>
            </w:rPr>
            <w:tab/>
          </w:r>
          <w:r>
            <w:rPr>
              <w:rStyle w:val="44"/>
              <w:rFonts w:hint="eastAsia"/>
            </w:rPr>
            <w:t>响应文件顺序</w:t>
          </w:r>
          <w:r>
            <w:tab/>
          </w:r>
          <w:r>
            <w:fldChar w:fldCharType="begin"/>
          </w:r>
          <w:r>
            <w:instrText xml:space="preserve"> PAGEREF _Toc477459654 \h </w:instrText>
          </w:r>
          <w:r>
            <w:fldChar w:fldCharType="separate"/>
          </w:r>
          <w:r>
            <w:t>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"_Toc477459655" </w:instrText>
          </w:r>
          <w:r>
            <w:fldChar w:fldCharType="separate"/>
          </w:r>
          <w:r>
            <w:rPr>
              <w:rStyle w:val="44"/>
              <w:rFonts w:hint="eastAsia"/>
            </w:rPr>
            <w:t>附件1</w:t>
          </w:r>
          <w:r>
            <w:rPr>
              <w:rFonts w:asciiTheme="minorHAnsi" w:hAnsiTheme="minorHAnsi" w:eastAsiaTheme="minorEastAsia" w:cstheme="minorBidi"/>
              <w:i w:val="0"/>
              <w:iCs w:val="0"/>
              <w:szCs w:val="22"/>
            </w:rPr>
            <w:tab/>
          </w:r>
          <w:r>
            <w:rPr>
              <w:rStyle w:val="44"/>
              <w:rFonts w:hint="eastAsia"/>
            </w:rPr>
            <w:t>响应确认函</w:t>
          </w:r>
          <w:r>
            <w:tab/>
          </w:r>
          <w:r>
            <w:fldChar w:fldCharType="begin"/>
          </w:r>
          <w:r>
            <w:instrText xml:space="preserve"> PAGEREF _Toc477459655 \h </w:instrText>
          </w:r>
          <w:r>
            <w:fldChar w:fldCharType="separate"/>
          </w:r>
          <w:r>
            <w:t>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"_Toc477459656" </w:instrText>
          </w:r>
          <w:r>
            <w:fldChar w:fldCharType="separate"/>
          </w:r>
          <w:r>
            <w:rPr>
              <w:rStyle w:val="44"/>
              <w:rFonts w:hint="eastAsia"/>
            </w:rPr>
            <w:t>附件2</w:t>
          </w:r>
          <w:r>
            <w:rPr>
              <w:rFonts w:asciiTheme="minorHAnsi" w:hAnsiTheme="minorHAnsi" w:eastAsiaTheme="minorEastAsia" w:cstheme="minorBidi"/>
              <w:i w:val="0"/>
              <w:iCs w:val="0"/>
              <w:szCs w:val="22"/>
            </w:rPr>
            <w:tab/>
          </w:r>
          <w:r>
            <w:rPr>
              <w:rStyle w:val="44"/>
              <w:rFonts w:hint="eastAsia"/>
            </w:rPr>
            <w:t>响应函</w:t>
          </w:r>
          <w:r>
            <w:tab/>
          </w:r>
          <w:r>
            <w:fldChar w:fldCharType="begin"/>
          </w:r>
          <w:r>
            <w:instrText xml:space="preserve"> PAGEREF _Toc477459656 \h </w:instrText>
          </w:r>
          <w:r>
            <w:fldChar w:fldCharType="separate"/>
          </w:r>
          <w:r>
            <w:t>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"_Toc477459657" </w:instrText>
          </w:r>
          <w:r>
            <w:fldChar w:fldCharType="separate"/>
          </w:r>
          <w:r>
            <w:rPr>
              <w:rStyle w:val="44"/>
              <w:rFonts w:hint="eastAsia"/>
            </w:rPr>
            <w:t>附件3</w:t>
          </w:r>
          <w:r>
            <w:rPr>
              <w:rFonts w:asciiTheme="minorHAnsi" w:hAnsiTheme="minorHAnsi" w:eastAsiaTheme="minorEastAsia" w:cstheme="minorBidi"/>
              <w:i w:val="0"/>
              <w:iCs w:val="0"/>
              <w:szCs w:val="22"/>
            </w:rPr>
            <w:tab/>
          </w:r>
          <w:r>
            <w:rPr>
              <w:rStyle w:val="44"/>
              <w:rFonts w:hint="eastAsia"/>
            </w:rPr>
            <w:t>法定代表人授权委托书</w:t>
          </w:r>
          <w:r>
            <w:tab/>
          </w:r>
          <w:r>
            <w:fldChar w:fldCharType="begin"/>
          </w:r>
          <w:r>
            <w:instrText xml:space="preserve"> PAGEREF _Toc477459657 \h </w:instrText>
          </w:r>
          <w:r>
            <w:fldChar w:fldCharType="separate"/>
          </w:r>
          <w:r>
            <w:t>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"_Toc477459658" </w:instrText>
          </w:r>
          <w:r>
            <w:fldChar w:fldCharType="separate"/>
          </w:r>
          <w:r>
            <w:rPr>
              <w:rStyle w:val="44"/>
              <w:rFonts w:hint="eastAsia"/>
            </w:rPr>
            <w:t>附件4</w:t>
          </w:r>
          <w:r>
            <w:rPr>
              <w:rFonts w:asciiTheme="minorHAnsi" w:hAnsiTheme="minorHAnsi" w:eastAsiaTheme="minorEastAsia" w:cstheme="minorBidi"/>
              <w:i w:val="0"/>
              <w:iCs w:val="0"/>
              <w:szCs w:val="22"/>
            </w:rPr>
            <w:tab/>
          </w:r>
          <w:r>
            <w:rPr>
              <w:rStyle w:val="44"/>
              <w:rFonts w:hint="eastAsia"/>
            </w:rPr>
            <w:t>商务条款偏离表</w:t>
          </w:r>
          <w:r>
            <w:tab/>
          </w:r>
          <w:r>
            <w:fldChar w:fldCharType="begin"/>
          </w:r>
          <w:r>
            <w:instrText xml:space="preserve"> PAGEREF _Toc477459658 \h </w:instrText>
          </w:r>
          <w:r>
            <w:fldChar w:fldCharType="separate"/>
          </w:r>
          <w:r>
            <w:t>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"_Toc477459659" </w:instrText>
          </w:r>
          <w:r>
            <w:fldChar w:fldCharType="separate"/>
          </w:r>
          <w:r>
            <w:rPr>
              <w:rStyle w:val="44"/>
              <w:rFonts w:hint="eastAsia"/>
            </w:rPr>
            <w:t>附件5</w:t>
          </w:r>
          <w:r>
            <w:rPr>
              <w:rFonts w:asciiTheme="minorHAnsi" w:hAnsiTheme="minorHAnsi" w:eastAsiaTheme="minorEastAsia" w:cstheme="minorBidi"/>
              <w:i w:val="0"/>
              <w:iCs w:val="0"/>
              <w:szCs w:val="22"/>
            </w:rPr>
            <w:tab/>
          </w:r>
          <w:r>
            <w:rPr>
              <w:rStyle w:val="44"/>
              <w:rFonts w:hint="eastAsia"/>
            </w:rPr>
            <w:t>报价一览表</w:t>
          </w:r>
          <w:r>
            <w:tab/>
          </w:r>
          <w:r>
            <w:fldChar w:fldCharType="begin"/>
          </w:r>
          <w:r>
            <w:instrText xml:space="preserve"> PAGEREF _Toc477459659 \h </w:instrText>
          </w:r>
          <w:r>
            <w:fldChar w:fldCharType="separate"/>
          </w:r>
          <w:r>
            <w:t>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"_Toc477459660" </w:instrText>
          </w:r>
          <w:r>
            <w:fldChar w:fldCharType="separate"/>
          </w:r>
          <w:r>
            <w:rPr>
              <w:rStyle w:val="44"/>
              <w:rFonts w:hint="eastAsia"/>
            </w:rPr>
            <w:t>附件6</w:t>
          </w:r>
          <w:r>
            <w:rPr>
              <w:rFonts w:asciiTheme="minorHAnsi" w:hAnsiTheme="minorHAnsi" w:eastAsiaTheme="minorEastAsia" w:cstheme="minorBidi"/>
              <w:i w:val="0"/>
              <w:iCs w:val="0"/>
              <w:szCs w:val="22"/>
            </w:rPr>
            <w:tab/>
          </w:r>
          <w:r>
            <w:rPr>
              <w:rStyle w:val="44"/>
              <w:rFonts w:hint="eastAsia"/>
            </w:rPr>
            <w:t>响应人货物、服务项目偏离表</w:t>
          </w:r>
          <w:r>
            <w:tab/>
          </w:r>
          <w:r>
            <w:fldChar w:fldCharType="begin"/>
          </w:r>
          <w:r>
            <w:instrText xml:space="preserve"> PAGEREF _Toc477459660 \h </w:instrText>
          </w:r>
          <w:r>
            <w:fldChar w:fldCharType="separate"/>
          </w:r>
          <w:r>
            <w:t>1</w:t>
          </w:r>
          <w:r>
            <w:fldChar w:fldCharType="end"/>
          </w:r>
          <w:r>
            <w:fldChar w:fldCharType="end"/>
          </w:r>
        </w:p>
        <w:p>
          <w:r>
            <w:rPr>
              <w:b/>
              <w:bCs/>
              <w:lang w:val="zh-CN"/>
            </w:rPr>
            <w:fldChar w:fldCharType="end"/>
          </w:r>
        </w:p>
      </w:sdtContent>
    </w:sdt>
    <w:p>
      <w:pPr>
        <w:pStyle w:val="3"/>
        <w:adjustRightInd/>
        <w:spacing w:line="415" w:lineRule="auto"/>
        <w:ind w:left="420" w:hanging="420"/>
        <w:jc w:val="center"/>
        <w:textAlignment w:val="auto"/>
        <w:rPr>
          <w:rFonts w:ascii="Times New Roman" w:hAnsi="Times New Roman" w:eastAsiaTheme="majorEastAsia"/>
          <w:kern w:val="2"/>
        </w:rPr>
        <w:sectPr>
          <w:footerReference r:id="rId8" w:type="default"/>
          <w:type w:val="continuous"/>
          <w:pgSz w:w="11909" w:h="16834"/>
          <w:pgMar w:top="1418" w:right="1418" w:bottom="1418" w:left="1559" w:header="851" w:footer="851" w:gutter="0"/>
          <w:cols w:space="720" w:num="1"/>
          <w:titlePg/>
        </w:sectPr>
      </w:pPr>
      <w:bookmarkStart w:id="5" w:name="_Toc477456197"/>
    </w:p>
    <w:p>
      <w:pPr>
        <w:pStyle w:val="3"/>
        <w:adjustRightInd/>
        <w:spacing w:line="415" w:lineRule="auto"/>
        <w:ind w:left="420" w:hanging="420"/>
        <w:jc w:val="center"/>
        <w:textAlignment w:val="auto"/>
        <w:rPr>
          <w:rFonts w:ascii="Times New Roman" w:hAnsi="Times New Roman" w:eastAsiaTheme="majorEastAsia"/>
          <w:kern w:val="2"/>
        </w:rPr>
      </w:pPr>
      <w:bookmarkStart w:id="6" w:name="_Toc477459638"/>
      <w:r>
        <w:rPr>
          <w:rFonts w:ascii="Times New Roman" w:hAnsi="Times New Roman" w:eastAsiaTheme="majorEastAsia"/>
          <w:kern w:val="2"/>
        </w:rPr>
        <w:t>第一部分</w:t>
      </w:r>
      <w:bookmarkStart w:id="7" w:name="响应邀请"/>
      <w:r>
        <w:rPr>
          <w:rFonts w:ascii="Times New Roman" w:hAnsi="Times New Roman" w:eastAsiaTheme="majorEastAsia"/>
          <w:kern w:val="2"/>
        </w:rPr>
        <w:t>响应邀请</w:t>
      </w:r>
      <w:bookmarkEnd w:id="2"/>
      <w:bookmarkEnd w:id="3"/>
      <w:bookmarkEnd w:id="4"/>
      <w:bookmarkEnd w:id="5"/>
      <w:bookmarkEnd w:id="6"/>
      <w:bookmarkEnd w:id="7"/>
    </w:p>
    <w:p>
      <w:pPr>
        <w:autoSpaceDE w:val="0"/>
        <w:autoSpaceDN w:val="0"/>
        <w:spacing w:line="400" w:lineRule="exact"/>
        <w:ind w:firstLine="420" w:firstLineChars="200"/>
        <w:rPr>
          <w:rFonts w:eastAsiaTheme="minorEastAsia"/>
          <w:color w:val="000000"/>
          <w:sz w:val="21"/>
          <w:szCs w:val="21"/>
        </w:rPr>
      </w:pPr>
      <w:r>
        <w:rPr>
          <w:rFonts w:eastAsiaTheme="minorEastAsia"/>
          <w:sz w:val="21"/>
          <w:szCs w:val="21"/>
        </w:rPr>
        <w:t>根据关于印发《政府采购竞争性磋商采购方式管理暂行办法》的通知（财库〔2014〕214号）要求，中央财经大学招标与采购事务中心就以下所述项目</w:t>
      </w:r>
      <w:r>
        <w:rPr>
          <w:rFonts w:eastAsiaTheme="minorEastAsia"/>
          <w:bCs/>
          <w:sz w:val="21"/>
          <w:szCs w:val="21"/>
        </w:rPr>
        <w:t>相</w:t>
      </w:r>
      <w:r>
        <w:rPr>
          <w:rFonts w:eastAsiaTheme="minorEastAsia"/>
          <w:sz w:val="21"/>
          <w:szCs w:val="21"/>
        </w:rPr>
        <w:t>关服务进行国内竞争性磋商，现邀请有供应能力的供应商前来响应</w:t>
      </w:r>
      <w:r>
        <w:rPr>
          <w:rFonts w:eastAsiaTheme="minorEastAsia"/>
          <w:color w:val="000000"/>
          <w:sz w:val="21"/>
          <w:szCs w:val="21"/>
        </w:rPr>
        <w:t>。</w:t>
      </w:r>
    </w:p>
    <w:p>
      <w:pPr>
        <w:pStyle w:val="114"/>
        <w:numPr>
          <w:ilvl w:val="0"/>
          <w:numId w:val="8"/>
        </w:numPr>
        <w:ind w:left="420" w:firstLineChars="0"/>
        <w:rPr>
          <w:rFonts w:ascii="Times New Roman" w:hAnsi="Times New Roman" w:cs="Times New Roman"/>
        </w:rPr>
      </w:pPr>
      <w:r>
        <w:rPr>
          <w:rFonts w:ascii="Times New Roman" w:hAnsi="Times New Roman" w:cs="Times New Roman"/>
        </w:rPr>
        <w:t>磋商内容：</w:t>
      </w:r>
    </w:p>
    <w:p>
      <w:pPr>
        <w:pStyle w:val="114"/>
        <w:numPr>
          <w:ilvl w:val="0"/>
          <w:numId w:val="9"/>
        </w:numPr>
        <w:ind w:firstLineChars="0"/>
        <w:rPr>
          <w:rFonts w:ascii="Times New Roman" w:hAnsi="Times New Roman" w:cs="Times New Roman"/>
        </w:rPr>
      </w:pPr>
      <w:r>
        <w:rPr>
          <w:rFonts w:ascii="Times New Roman" w:hAnsi="Times New Roman" w:cs="Times New Roman"/>
        </w:rPr>
        <w:t>采购项目名称：中央财经大学</w:t>
      </w:r>
      <w:r>
        <w:rPr>
          <w:rFonts w:hint="eastAsia" w:ascii="Times New Roman" w:hAnsi="Times New Roman" w:cs="Times New Roman"/>
        </w:rPr>
        <w:t>后勤服务产业集团内部控制系统建设采购项目</w:t>
      </w:r>
    </w:p>
    <w:p>
      <w:pPr>
        <w:pStyle w:val="114"/>
        <w:numPr>
          <w:ilvl w:val="0"/>
          <w:numId w:val="9"/>
        </w:numPr>
        <w:ind w:firstLineChars="0"/>
        <w:rPr>
          <w:rFonts w:ascii="Times New Roman" w:hAnsi="Times New Roman" w:cs="Times New Roman"/>
        </w:rPr>
      </w:pPr>
      <w:r>
        <w:rPr>
          <w:rFonts w:ascii="Times New Roman" w:hAnsi="Times New Roman" w:cs="Times New Roman"/>
        </w:rPr>
        <w:t>采购项目编号：JC-</w:t>
      </w:r>
      <w:r>
        <w:rPr>
          <w:rFonts w:hint="eastAsia" w:ascii="Times New Roman" w:hAnsi="Times New Roman" w:cs="Times New Roman"/>
        </w:rPr>
        <w:t>20170</w:t>
      </w:r>
      <w:r>
        <w:rPr>
          <w:rFonts w:hint="eastAsia" w:ascii="Times New Roman" w:hAnsi="Times New Roman" w:cs="Times New Roman"/>
          <w:lang w:val="en-US" w:eastAsia="zh-CN"/>
        </w:rPr>
        <w:t>15</w:t>
      </w:r>
    </w:p>
    <w:p>
      <w:pPr>
        <w:pStyle w:val="114"/>
        <w:numPr>
          <w:ilvl w:val="0"/>
          <w:numId w:val="9"/>
        </w:numPr>
        <w:ind w:firstLineChars="0"/>
        <w:rPr>
          <w:rFonts w:ascii="Times New Roman" w:hAnsi="Times New Roman" w:cs="Times New Roman"/>
        </w:rPr>
      </w:pPr>
      <w:r>
        <w:rPr>
          <w:rFonts w:ascii="Times New Roman" w:hAnsi="Times New Roman" w:cs="Times New Roman"/>
        </w:rPr>
        <w:t>采购项目性质：竞争性磋商</w:t>
      </w:r>
    </w:p>
    <w:p>
      <w:pPr>
        <w:pStyle w:val="114"/>
        <w:numPr>
          <w:ilvl w:val="0"/>
          <w:numId w:val="9"/>
        </w:numPr>
        <w:ind w:firstLineChars="0"/>
        <w:rPr>
          <w:rFonts w:ascii="Times New Roman" w:hAnsi="Times New Roman" w:cs="Times New Roman"/>
        </w:rPr>
      </w:pPr>
      <w:r>
        <w:rPr>
          <w:rFonts w:ascii="Times New Roman" w:hAnsi="Times New Roman" w:cs="Times New Roman"/>
        </w:rPr>
        <w:t>简要规格描述或项目基本情况介绍</w:t>
      </w:r>
    </w:p>
    <w:p>
      <w:pPr>
        <w:pStyle w:val="114"/>
        <w:rPr>
          <w:rFonts w:ascii="Times New Roman" w:hAnsi="Times New Roman" w:cs="Times New Roman"/>
        </w:rPr>
      </w:pPr>
      <w:r>
        <w:rPr>
          <w:rFonts w:ascii="Times New Roman" w:hAnsi="Times New Roman" w:cs="Times New Roman"/>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114"/>
        <w:rPr>
          <w:rFonts w:ascii="Times New Roman" w:hAnsi="Times New Roman" w:cs="Times New Roman"/>
        </w:rPr>
      </w:pPr>
      <w:r>
        <w:rPr>
          <w:rFonts w:ascii="Times New Roman" w:hAnsi="Times New Roman" w:cs="Times New Roman"/>
        </w:rPr>
        <w:t>履约时间：合同签订后</w:t>
      </w:r>
      <w:r>
        <w:rPr>
          <w:rFonts w:hint="eastAsia" w:ascii="Times New Roman" w:hAnsi="Times New Roman" w:cs="Times New Roman"/>
        </w:rPr>
        <w:t>30</w:t>
      </w:r>
      <w:r>
        <w:rPr>
          <w:rFonts w:ascii="Times New Roman" w:hAnsi="Times New Roman" w:cs="Times New Roman"/>
        </w:rPr>
        <w:t>个工作日。</w:t>
      </w:r>
    </w:p>
    <w:p>
      <w:pPr>
        <w:pStyle w:val="114"/>
        <w:rPr>
          <w:rFonts w:ascii="Times New Roman" w:hAnsi="Times New Roman" w:cs="Times New Roman"/>
        </w:rPr>
      </w:pPr>
      <w:r>
        <w:rPr>
          <w:rFonts w:ascii="Times New Roman" w:hAnsi="Times New Roman" w:cs="Times New Roman"/>
        </w:rPr>
        <w:t>履约地点：中央财经大学学院南路校区。</w:t>
      </w:r>
    </w:p>
    <w:p>
      <w:pPr>
        <w:pStyle w:val="114"/>
        <w:numPr>
          <w:ilvl w:val="0"/>
          <w:numId w:val="9"/>
        </w:numPr>
        <w:ind w:firstLineChars="0"/>
        <w:rPr>
          <w:rFonts w:ascii="Times New Roman" w:hAnsi="Times New Roman" w:cs="Times New Roman"/>
        </w:rPr>
      </w:pPr>
      <w:r>
        <w:rPr>
          <w:rFonts w:ascii="Times New Roman" w:hAnsi="Times New Roman" w:cs="Times New Roman"/>
        </w:rPr>
        <w:t>需要落实的政府采购政策</w:t>
      </w:r>
    </w:p>
    <w:p>
      <w:pPr>
        <w:pStyle w:val="114"/>
        <w:numPr>
          <w:ilvl w:val="0"/>
          <w:numId w:val="9"/>
        </w:numPr>
        <w:ind w:firstLine="0" w:firstLineChars="0"/>
        <w:rPr>
          <w:rFonts w:ascii="Times New Roman" w:hAnsi="Times New Roman" w:cs="Times New Roman"/>
        </w:rPr>
      </w:pPr>
      <w:r>
        <w:rPr>
          <w:rFonts w:ascii="Times New Roman" w:hAnsi="Times New Roman" w:cs="Times New Roman"/>
        </w:rPr>
        <w:t>详见《中央财经大学</w:t>
      </w:r>
      <w:r>
        <w:rPr>
          <w:rFonts w:hint="eastAsia" w:ascii="Times New Roman" w:hAnsi="Times New Roman" w:cs="Times New Roman"/>
        </w:rPr>
        <w:t>后勤服务产业集团内部控制系统建设采购项目</w:t>
      </w:r>
      <w:r>
        <w:rPr>
          <w:rFonts w:ascii="Times New Roman" w:hAnsi="Times New Roman" w:cs="Times New Roman"/>
        </w:rPr>
        <w:t>竞争性磋商文件》。</w:t>
      </w:r>
    </w:p>
    <w:p>
      <w:pPr>
        <w:pStyle w:val="114"/>
        <w:numPr>
          <w:ilvl w:val="0"/>
          <w:numId w:val="8"/>
        </w:numPr>
        <w:ind w:left="420" w:firstLineChars="0"/>
        <w:rPr>
          <w:rFonts w:ascii="Times New Roman" w:hAnsi="Times New Roman" w:cs="Times New Roman"/>
        </w:rPr>
      </w:pPr>
      <w:r>
        <w:rPr>
          <w:rFonts w:ascii="Times New Roman" w:hAnsi="Times New Roman" w:cs="Times New Roman"/>
        </w:rPr>
        <w:t>项目预算金额：</w:t>
      </w:r>
      <w:bookmarkStart w:id="8" w:name="预算"/>
      <w:r>
        <w:rPr>
          <w:rFonts w:hint="eastAsia" w:ascii="Times New Roman" w:hAnsi="Times New Roman" w:cs="Times New Roman"/>
        </w:rPr>
        <w:t>35万</w:t>
      </w:r>
      <w:r>
        <w:rPr>
          <w:rFonts w:ascii="Times New Roman" w:hAnsi="Times New Roman" w:cs="Times New Roman"/>
        </w:rPr>
        <w:t>元</w:t>
      </w:r>
      <w:bookmarkEnd w:id="8"/>
    </w:p>
    <w:p>
      <w:pPr>
        <w:pStyle w:val="114"/>
        <w:numPr>
          <w:ilvl w:val="0"/>
          <w:numId w:val="8"/>
        </w:numPr>
        <w:ind w:left="420" w:firstLineChars="0"/>
        <w:rPr>
          <w:rFonts w:ascii="Times New Roman" w:hAnsi="Times New Roman" w:cs="Times New Roman"/>
        </w:rPr>
      </w:pPr>
      <w:r>
        <w:rPr>
          <w:rFonts w:ascii="Times New Roman" w:hAnsi="Times New Roman" w:cs="Times New Roman"/>
        </w:rPr>
        <w:t>响应人资格要求：</w:t>
      </w:r>
    </w:p>
    <w:p>
      <w:pPr>
        <w:pStyle w:val="114"/>
        <w:rPr>
          <w:rFonts w:ascii="Times New Roman" w:hAnsi="Times New Roman" w:cs="Times New Roman"/>
        </w:rPr>
      </w:pPr>
      <w:r>
        <w:rPr>
          <w:rFonts w:ascii="Times New Roman" w:hAnsi="Times New Roman" w:cs="Times New Roman"/>
        </w:rPr>
        <w:t>见本文件第</w:t>
      </w:r>
      <w:r>
        <w:fldChar w:fldCharType="begin"/>
      </w:r>
      <w:r>
        <w:instrText xml:space="preserve"> REF 二 \h  \* MERGEFORMAT </w:instrText>
      </w:r>
      <w:r>
        <w:fldChar w:fldCharType="separate"/>
      </w:r>
      <w:r>
        <w:rPr>
          <w:rFonts w:ascii="Times New Roman" w:hAnsi="Times New Roman" w:cs="Times New Roman" w:eastAsiaTheme="majorEastAsia"/>
        </w:rPr>
        <w:t>二</w:t>
      </w:r>
      <w:r>
        <w:rPr>
          <w:rFonts w:ascii="Times New Roman" w:hAnsi="Times New Roman" w:cs="Times New Roman" w:eastAsiaTheme="majorEastAsia"/>
        </w:rPr>
        <w:fldChar w:fldCharType="end"/>
      </w:r>
      <w:r>
        <w:rPr>
          <w:rFonts w:ascii="Times New Roman" w:hAnsi="Times New Roman" w:cs="Times New Roman"/>
        </w:rPr>
        <w:t>部分“</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”中的“</w:t>
      </w:r>
      <w:r>
        <w:fldChar w:fldCharType="begin"/>
      </w:r>
      <w:r>
        <w:instrText xml:space="preserve"> REF 响应人（或响应产品）资质要求 \h  \* MERGEFORMAT </w:instrText>
      </w:r>
      <w:r>
        <w:fldChar w:fldCharType="separate"/>
      </w:r>
      <w:r>
        <w:rPr>
          <w:rFonts w:ascii="Times New Roman" w:hAnsi="Times New Roman" w:cs="Times New Roman"/>
        </w:rPr>
        <w:t>响应人（或响应产品）资质要求</w:t>
      </w:r>
      <w:r>
        <w:rPr>
          <w:rFonts w:ascii="Times New Roman" w:hAnsi="Times New Roman" w:cs="Times New Roman"/>
        </w:rPr>
        <w:fldChar w:fldCharType="end"/>
      </w:r>
      <w:r>
        <w:rPr>
          <w:rFonts w:ascii="Times New Roman" w:hAnsi="Times New Roman" w:cs="Times New Roman"/>
        </w:rPr>
        <w:t>”。</w:t>
      </w:r>
    </w:p>
    <w:p>
      <w:pPr>
        <w:pStyle w:val="114"/>
        <w:numPr>
          <w:ilvl w:val="0"/>
          <w:numId w:val="8"/>
        </w:numPr>
        <w:ind w:left="420" w:firstLineChars="0"/>
        <w:rPr>
          <w:rFonts w:ascii="Times New Roman" w:hAnsi="Times New Roman" w:cs="Times New Roman"/>
        </w:rPr>
      </w:pPr>
      <w:bookmarkStart w:id="9" w:name="_Toc116879910"/>
      <w:r>
        <w:rPr>
          <w:rFonts w:ascii="Times New Roman" w:hAnsi="Times New Roman" w:cs="Times New Roman"/>
        </w:rPr>
        <w:t>磋商文件领取时间、地点和办法</w:t>
      </w:r>
      <w:bookmarkEnd w:id="9"/>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14"/>
        <w:numPr>
          <w:ilvl w:val="0"/>
          <w:numId w:val="8"/>
        </w:numPr>
        <w:ind w:left="420" w:firstLineChars="0"/>
        <w:rPr>
          <w:rFonts w:ascii="Times New Roman" w:hAnsi="Times New Roman" w:cs="Times New Roman"/>
        </w:rPr>
      </w:pPr>
      <w:r>
        <w:rPr>
          <w:rFonts w:ascii="Times New Roman" w:hAnsi="Times New Roman" w:cs="Times New Roman"/>
        </w:rPr>
        <w:t>磋商文件接收时间及地点</w:t>
      </w:r>
    </w:p>
    <w:p>
      <w:pPr>
        <w:pStyle w:val="102"/>
        <w:spacing w:before="0" w:after="0" w:line="400" w:lineRule="exact"/>
        <w:ind w:left="0" w:leftChars="0" w:firstLine="420"/>
        <w:rPr>
          <w:rFonts w:eastAsiaTheme="minorEastAsia"/>
          <w:color w:val="000000"/>
          <w:sz w:val="21"/>
          <w:szCs w:val="21"/>
        </w:rPr>
      </w:pPr>
      <w:bookmarkStart w:id="10" w:name="磋商时间"/>
      <w:r>
        <w:rPr>
          <w:rFonts w:hint="eastAsia" w:eastAsiaTheme="minorEastAsia"/>
          <w:color w:val="000000"/>
          <w:sz w:val="21"/>
          <w:szCs w:val="21"/>
        </w:rPr>
        <w:t>2018</w:t>
      </w:r>
      <w:r>
        <w:rPr>
          <w:rFonts w:eastAsiaTheme="minorEastAsia"/>
          <w:color w:val="000000"/>
          <w:sz w:val="21"/>
          <w:szCs w:val="21"/>
        </w:rPr>
        <w:t>年</w:t>
      </w:r>
      <w:r>
        <w:rPr>
          <w:rFonts w:hint="eastAsia" w:eastAsiaTheme="minorEastAsia"/>
          <w:color w:val="000000"/>
          <w:sz w:val="21"/>
          <w:szCs w:val="21"/>
        </w:rPr>
        <w:t>1</w:t>
      </w:r>
      <w:r>
        <w:rPr>
          <w:rFonts w:eastAsiaTheme="minorEastAsia"/>
          <w:color w:val="000000"/>
          <w:sz w:val="21"/>
          <w:szCs w:val="21"/>
        </w:rPr>
        <w:t>月</w:t>
      </w:r>
      <w:r>
        <w:rPr>
          <w:rFonts w:hint="eastAsia" w:eastAsiaTheme="minorEastAsia"/>
          <w:color w:val="000000"/>
          <w:sz w:val="21"/>
          <w:szCs w:val="21"/>
        </w:rPr>
        <w:t xml:space="preserve">16 </w:t>
      </w:r>
      <w:r>
        <w:rPr>
          <w:rFonts w:eastAsiaTheme="minorEastAsia"/>
          <w:color w:val="000000"/>
          <w:sz w:val="21"/>
          <w:szCs w:val="21"/>
        </w:rPr>
        <w:t>日</w:t>
      </w:r>
      <w:bookmarkEnd w:id="10"/>
      <w:r>
        <w:rPr>
          <w:rFonts w:eastAsiaTheme="minorEastAsia"/>
          <w:color w:val="000000"/>
          <w:sz w:val="21"/>
          <w:szCs w:val="21"/>
        </w:rPr>
        <w:t>上午8:</w:t>
      </w:r>
      <w:r>
        <w:rPr>
          <w:rFonts w:hint="eastAsia" w:eastAsiaTheme="minorEastAsia"/>
          <w:color w:val="000000"/>
          <w:sz w:val="21"/>
          <w:szCs w:val="21"/>
          <w:lang w:val="en-US" w:eastAsia="zh-CN"/>
        </w:rPr>
        <w:t>3</w:t>
      </w:r>
      <w:r>
        <w:rPr>
          <w:rFonts w:eastAsiaTheme="minorEastAsia"/>
          <w:color w:val="000000"/>
          <w:sz w:val="21"/>
          <w:szCs w:val="21"/>
        </w:rPr>
        <w:t>0至8:</w:t>
      </w:r>
      <w:r>
        <w:rPr>
          <w:rFonts w:hint="eastAsia" w:eastAsiaTheme="minorEastAsia"/>
          <w:color w:val="000000"/>
          <w:sz w:val="21"/>
          <w:szCs w:val="21"/>
          <w:lang w:val="en-US" w:eastAsia="zh-CN"/>
        </w:rPr>
        <w:t>5</w:t>
      </w:r>
      <w:r>
        <w:rPr>
          <w:rFonts w:eastAsiaTheme="minorEastAsia"/>
          <w:color w:val="000000"/>
          <w:sz w:val="21"/>
          <w:szCs w:val="21"/>
        </w:rPr>
        <w:t>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14"/>
        <w:numPr>
          <w:ilvl w:val="0"/>
          <w:numId w:val="8"/>
        </w:numPr>
        <w:ind w:left="420" w:firstLineChars="0"/>
        <w:rPr>
          <w:rFonts w:ascii="Times New Roman" w:hAnsi="Times New Roman" w:cs="Times New Roman"/>
        </w:rPr>
      </w:pPr>
      <w:r>
        <w:rPr>
          <w:rFonts w:ascii="Times New Roman" w:hAnsi="Times New Roman" w:cs="Times New Roman"/>
        </w:rPr>
        <w:t>磋商文件开启时间及地点</w:t>
      </w:r>
    </w:p>
    <w:p>
      <w:pPr>
        <w:pStyle w:val="102"/>
        <w:spacing w:before="0" w:after="0" w:line="400" w:lineRule="exact"/>
        <w:ind w:left="0" w:leftChars="0" w:firstLine="480"/>
        <w:rPr>
          <w:rFonts w:eastAsiaTheme="minorEastAsia"/>
          <w:color w:val="000000"/>
          <w:sz w:val="21"/>
          <w:szCs w:val="21"/>
        </w:rPr>
      </w:pPr>
      <w:r>
        <w:rPr>
          <w:rFonts w:hint="eastAsia"/>
        </w:rPr>
        <w:t>2018</w:t>
      </w:r>
      <w:r>
        <w:fldChar w:fldCharType="begin"/>
      </w:r>
      <w:r>
        <w:instrText xml:space="preserve"> REF 磋商时间 \h  \* MERGEFORMAT </w:instrText>
      </w:r>
      <w:r>
        <w:fldChar w:fldCharType="separate"/>
      </w:r>
      <w:r>
        <w:rPr>
          <w:rFonts w:eastAsiaTheme="minorEastAsia"/>
          <w:color w:val="000000"/>
          <w:sz w:val="21"/>
          <w:szCs w:val="21"/>
        </w:rPr>
        <w:t>年</w:t>
      </w:r>
      <w:r>
        <w:rPr>
          <w:rFonts w:hint="eastAsia" w:eastAsiaTheme="minorEastAsia"/>
          <w:color w:val="000000"/>
          <w:sz w:val="21"/>
          <w:szCs w:val="21"/>
        </w:rPr>
        <w:t>1</w:t>
      </w:r>
      <w:r>
        <w:rPr>
          <w:rFonts w:eastAsiaTheme="minorEastAsia"/>
          <w:color w:val="000000"/>
          <w:sz w:val="21"/>
          <w:szCs w:val="21"/>
        </w:rPr>
        <w:t>月</w:t>
      </w:r>
      <w:r>
        <w:rPr>
          <w:rFonts w:hint="eastAsia" w:eastAsiaTheme="minorEastAsia"/>
          <w:color w:val="000000"/>
          <w:sz w:val="21"/>
          <w:szCs w:val="21"/>
        </w:rPr>
        <w:t xml:space="preserve"> 16 </w:t>
      </w:r>
      <w:r>
        <w:rPr>
          <w:rFonts w:eastAsiaTheme="minorEastAsia"/>
          <w:color w:val="000000"/>
          <w:sz w:val="21"/>
          <w:szCs w:val="21"/>
        </w:rPr>
        <w:t>日</w:t>
      </w:r>
      <w:r>
        <w:rPr>
          <w:rFonts w:eastAsiaTheme="minorEastAsia"/>
          <w:color w:val="000000"/>
          <w:sz w:val="21"/>
          <w:szCs w:val="21"/>
        </w:rPr>
        <w:fldChar w:fldCharType="end"/>
      </w:r>
      <w:r>
        <w:rPr>
          <w:rFonts w:eastAsiaTheme="minorEastAsia"/>
          <w:color w:val="000000"/>
          <w:sz w:val="21"/>
          <w:szCs w:val="21"/>
        </w:rPr>
        <w:t>上午9:00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14"/>
        <w:numPr>
          <w:ilvl w:val="0"/>
          <w:numId w:val="8"/>
        </w:numPr>
        <w:ind w:left="420" w:firstLineChars="0"/>
        <w:rPr>
          <w:rFonts w:ascii="Times New Roman" w:hAnsi="Times New Roman" w:cs="Times New Roman"/>
        </w:rPr>
      </w:pPr>
      <w:r>
        <w:rPr>
          <w:rFonts w:ascii="Times New Roman" w:hAnsi="Times New Roman" w:cs="Times New Roman"/>
        </w:rPr>
        <w:t>磋商确认函截止时间</w:t>
      </w:r>
    </w:p>
    <w:p>
      <w:pPr>
        <w:pStyle w:val="114"/>
        <w:rPr>
          <w:rFonts w:ascii="Times New Roman" w:hAnsi="Times New Roman" w:cs="Times New Roman"/>
          <w:color w:val="000000"/>
          <w:szCs w:val="21"/>
        </w:rPr>
      </w:pPr>
      <w:bookmarkStart w:id="11" w:name="确认函说明"/>
      <w:r>
        <w:rPr>
          <w:rFonts w:ascii="Times New Roman" w:hAnsi="Times New Roman" w:cs="Times New Roman"/>
        </w:rPr>
        <w:t>请确认参加磋商的供应商于</w:t>
      </w:r>
      <w:r>
        <w:rPr>
          <w:rFonts w:hint="eastAsia" w:ascii="Times New Roman" w:hAnsi="Times New Roman" w:cs="Times New Roman"/>
        </w:rPr>
        <w:t>2018</w:t>
      </w:r>
      <w:r>
        <w:rPr>
          <w:rFonts w:ascii="Times New Roman" w:hAnsi="Times New Roman" w:cs="Times New Roman"/>
        </w:rPr>
        <w:t>年</w:t>
      </w:r>
      <w:r>
        <w:rPr>
          <w:rFonts w:hint="eastAsia" w:ascii="Times New Roman" w:hAnsi="Times New Roman" w:cs="Times New Roman"/>
        </w:rPr>
        <w:t>1</w:t>
      </w:r>
      <w:r>
        <w:rPr>
          <w:rFonts w:ascii="Times New Roman" w:hAnsi="Times New Roman" w:cs="Times New Roman"/>
        </w:rPr>
        <w:t>月</w:t>
      </w:r>
      <w:r>
        <w:rPr>
          <w:rFonts w:hint="eastAsia" w:ascii="Times New Roman" w:hAnsi="Times New Roman" w:cs="Times New Roman"/>
        </w:rPr>
        <w:t>12</w:t>
      </w:r>
      <w:r>
        <w:rPr>
          <w:rFonts w:ascii="Times New Roman" w:hAnsi="Times New Roman" w:cs="Times New Roman"/>
        </w:rPr>
        <w:t>日15:00前传真至我单位，同时将盖章扫描件发送至邮箱：</w:t>
      </w:r>
      <w:bookmarkStart w:id="12" w:name="邮箱"/>
      <w:r>
        <w:rPr>
          <w:rFonts w:ascii="Times New Roman" w:hAnsi="Times New Roman" w:cs="Times New Roman"/>
        </w:rPr>
        <w:t>cgzx@cufe.edu.cn</w:t>
      </w:r>
      <w:bookmarkEnd w:id="12"/>
      <w:r>
        <w:rPr>
          <w:rFonts w:ascii="Times New Roman" w:hAnsi="Times New Roman" w:cs="Times New Roman"/>
        </w:rPr>
        <w:t>，邮件主题为“磋商确认函+公司简称+项目名称+项目编号”。</w:t>
      </w:r>
    </w:p>
    <w:bookmarkEnd w:id="11"/>
    <w:p>
      <w:pPr>
        <w:pStyle w:val="114"/>
        <w:numPr>
          <w:ilvl w:val="0"/>
          <w:numId w:val="8"/>
        </w:numPr>
        <w:ind w:left="420" w:firstLineChars="0"/>
        <w:rPr>
          <w:rFonts w:ascii="Times New Roman" w:hAnsi="Times New Roman" w:cs="Times New Roman"/>
        </w:rPr>
      </w:pPr>
      <w:r>
        <w:rPr>
          <w:rFonts w:ascii="Times New Roman" w:hAnsi="Times New Roman" w:cs="Times New Roman"/>
        </w:rPr>
        <w:t>项目联系人</w:t>
      </w:r>
    </w:p>
    <w:p>
      <w:pPr>
        <w:pStyle w:val="102"/>
        <w:spacing w:before="0" w:after="0" w:line="400" w:lineRule="exact"/>
        <w:ind w:left="0" w:leftChars="0" w:firstLine="420"/>
        <w:rPr>
          <w:rFonts w:eastAsiaTheme="minorEastAsia"/>
          <w:color w:val="000000"/>
          <w:sz w:val="21"/>
          <w:szCs w:val="21"/>
        </w:rPr>
      </w:pPr>
      <w:bookmarkStart w:id="13" w:name="项目联系信息"/>
      <w:r>
        <w:rPr>
          <w:rFonts w:eastAsiaTheme="minorEastAsia"/>
          <w:color w:val="000000"/>
          <w:sz w:val="21"/>
          <w:szCs w:val="21"/>
        </w:rPr>
        <w:t>联系人：闫老师，王老师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fldChar w:fldCharType="begin"/>
      </w:r>
      <w:r>
        <w:instrText xml:space="preserve"> REF 邮箱 \h  \* MERGEFORMAT </w:instrText>
      </w:r>
      <w:r>
        <w:fldChar w:fldCharType="separate"/>
      </w:r>
      <w:r>
        <w:t>cgzx@cufe.edu.cn</w:t>
      </w:r>
      <w:r>
        <w:fldChar w:fldCharType="end"/>
      </w:r>
    </w:p>
    <w:bookmarkEnd w:id="13"/>
    <w:p>
      <w:pPr>
        <w:pStyle w:val="114"/>
        <w:numPr>
          <w:ilvl w:val="0"/>
          <w:numId w:val="8"/>
        </w:numPr>
        <w:ind w:left="420" w:firstLineChars="0"/>
        <w:rPr>
          <w:rFonts w:ascii="Times New Roman" w:hAnsi="Times New Roman" w:cs="Times New Roman"/>
        </w:rPr>
      </w:pPr>
      <w:r>
        <w:rPr>
          <w:rFonts w:ascii="Times New Roman" w:hAnsi="Times New Roman" w:cs="Times New Roman"/>
        </w:rPr>
        <w:t>其他</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14" w:name="_Toc477459639"/>
      <w:bookmarkStart w:id="15" w:name="_Toc477456198"/>
      <w:r>
        <w:rPr>
          <w:rFonts w:ascii="Times New Roman" w:hAnsi="Times New Roman" w:eastAsiaTheme="majorEastAsia"/>
          <w:kern w:val="2"/>
        </w:rPr>
        <w:t>第</w:t>
      </w:r>
      <w:bookmarkStart w:id="16" w:name="二"/>
      <w:r>
        <w:rPr>
          <w:rFonts w:ascii="Times New Roman" w:hAnsi="Times New Roman" w:eastAsiaTheme="majorEastAsia"/>
          <w:kern w:val="2"/>
        </w:rPr>
        <w:t>二</w:t>
      </w:r>
      <w:bookmarkEnd w:id="16"/>
      <w:r>
        <w:rPr>
          <w:rFonts w:ascii="Times New Roman" w:hAnsi="Times New Roman" w:eastAsiaTheme="majorEastAsia"/>
          <w:kern w:val="2"/>
        </w:rPr>
        <w:t>部分</w:t>
      </w:r>
      <w:bookmarkStart w:id="17" w:name="响应人须知前附表"/>
      <w:r>
        <w:rPr>
          <w:rFonts w:ascii="Times New Roman" w:hAnsi="Times New Roman" w:eastAsiaTheme="majorEastAsia"/>
          <w:kern w:val="2"/>
        </w:rPr>
        <w:t>响应人须知前附表</w:t>
      </w:r>
      <w:bookmarkEnd w:id="14"/>
      <w:bookmarkEnd w:id="15"/>
      <w:bookmarkEnd w:id="17"/>
    </w:p>
    <w:tbl>
      <w:tblPr>
        <w:tblStyle w:val="46"/>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pPr>
              <w:spacing w:line="400" w:lineRule="exact"/>
              <w:jc w:val="center"/>
              <w:rPr>
                <w:rFonts w:eastAsiaTheme="minorEastAsia"/>
                <w:sz w:val="21"/>
                <w:szCs w:val="21"/>
              </w:rPr>
            </w:pPr>
            <w:r>
              <w:rPr>
                <w:rFonts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96"/>
              <w:numPr>
                <w:ilvl w:val="0"/>
                <w:numId w:val="10"/>
              </w:numPr>
              <w:spacing w:line="400" w:lineRule="exact"/>
              <w:ind w:firstLineChars="0"/>
              <w:jc w:val="center"/>
              <w:rPr>
                <w:rFonts w:eastAsiaTheme="minorEastAsia"/>
              </w:rPr>
            </w:pPr>
            <w:bookmarkStart w:id="18" w:name="_Ref477961867"/>
          </w:p>
          <w:bookmarkEnd w:id="18"/>
        </w:tc>
        <w:tc>
          <w:tcPr>
            <w:tcW w:w="2404" w:type="dxa"/>
            <w:vAlign w:val="center"/>
          </w:tcPr>
          <w:p>
            <w:pPr>
              <w:pStyle w:val="72"/>
              <w:keepNext w:val="0"/>
              <w:keepLines w:val="0"/>
              <w:spacing w:before="0" w:after="0" w:line="400" w:lineRule="exact"/>
              <w:jc w:val="both"/>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21"/>
                <w:szCs w:val="21"/>
              </w:rPr>
              <w:t>采购人名称</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96"/>
              <w:numPr>
                <w:ilvl w:val="0"/>
                <w:numId w:val="10"/>
              </w:numPr>
              <w:spacing w:line="400" w:lineRule="exact"/>
              <w:ind w:firstLineChars="0"/>
              <w:jc w:val="center"/>
              <w:rPr>
                <w:rFonts w:eastAsiaTheme="minorEastAsia"/>
              </w:rPr>
            </w:pPr>
            <w:bookmarkStart w:id="19" w:name="_Ref477459456"/>
          </w:p>
          <w:bookmarkEnd w:id="19"/>
        </w:tc>
        <w:tc>
          <w:tcPr>
            <w:tcW w:w="2404" w:type="dxa"/>
            <w:vAlign w:val="center"/>
          </w:tcPr>
          <w:p>
            <w:pPr>
              <w:pStyle w:val="72"/>
              <w:keepNext w:val="0"/>
              <w:keepLines w:val="0"/>
              <w:spacing w:beforeLines="50" w:afterLines="50" w:line="400" w:lineRule="exact"/>
              <w:jc w:val="both"/>
              <w:rPr>
                <w:rFonts w:ascii="Times New Roman" w:hAnsi="Times New Roman" w:cs="Times New Roman" w:eastAsiaTheme="minorEastAsia"/>
                <w:b w:val="0"/>
                <w:bCs w:val="0"/>
                <w:sz w:val="21"/>
                <w:szCs w:val="21"/>
              </w:rPr>
            </w:pPr>
            <w:bookmarkStart w:id="20" w:name="响应人（或响应产品）资质要求"/>
            <w:r>
              <w:rPr>
                <w:rFonts w:ascii="Times New Roman" w:hAnsi="Times New Roman" w:cs="Times New Roman" w:eastAsiaTheme="minorEastAsia"/>
                <w:b w:val="0"/>
                <w:bCs w:val="0"/>
                <w:sz w:val="21"/>
                <w:szCs w:val="21"/>
              </w:rPr>
              <w:t>响应人（或响应产品）资质要求</w:t>
            </w:r>
            <w:bookmarkEnd w:id="20"/>
          </w:p>
        </w:tc>
        <w:tc>
          <w:tcPr>
            <w:tcW w:w="5880" w:type="dxa"/>
            <w:vAlign w:val="center"/>
          </w:tcPr>
          <w:p>
            <w:pPr>
              <w:widowControl/>
              <w:shd w:val="clear" w:color="auto" w:fill="FFFFFF"/>
              <w:spacing w:line="360" w:lineRule="auto"/>
              <w:ind w:firstLine="480" w:firstLineChars="200"/>
              <w:outlineLvl w:val="6"/>
              <w:rPr>
                <w:szCs w:val="21"/>
              </w:rPr>
            </w:pPr>
            <w:r>
              <w:rPr>
                <w:rFonts w:hint="eastAsia" w:ascii="宋体" w:cs="宋体"/>
              </w:rPr>
              <w:t>符合《中华人民共和国政府采购法》第二十二条规定的供应商；在中华人民共和国境内注册的具有独立法人资格的企业；企业营业执照中具备相应经营范围。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1" w:name="是否允许代理商响应"/>
            <w:r>
              <w:rPr>
                <w:rFonts w:eastAsiaTheme="minorEastAsia"/>
                <w:sz w:val="21"/>
                <w:szCs w:val="21"/>
              </w:rPr>
              <w:t>是否允许代理商响应</w:t>
            </w:r>
            <w:bookmarkEnd w:id="21"/>
          </w:p>
        </w:tc>
        <w:tc>
          <w:tcPr>
            <w:tcW w:w="5880" w:type="dxa"/>
            <w:vAlign w:val="center"/>
          </w:tcPr>
          <w:p>
            <w:pPr>
              <w:spacing w:line="400" w:lineRule="exact"/>
              <w:ind w:firstLine="480" w:firstLineChars="200"/>
              <w:jc w:val="both"/>
              <w:rPr>
                <w:rFonts w:eastAsiaTheme="minorEastAsia"/>
                <w:sz w:val="21"/>
                <w:szCs w:val="21"/>
              </w:rPr>
            </w:pPr>
            <w:r>
              <w:rPr>
                <w:rFonts w:hint="eastAsia"/>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2" w:name="代理商应提交的材料"/>
            <w:r>
              <w:rPr>
                <w:rFonts w:eastAsiaTheme="minorEastAsia"/>
                <w:sz w:val="21"/>
                <w:szCs w:val="21"/>
              </w:rPr>
              <w:t>代理商应提交资料</w:t>
            </w:r>
            <w:bookmarkEnd w:id="22"/>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3" w:name="本次采购是否需要提供厂家授权的产品或服务清单"/>
            <w:r>
              <w:rPr>
                <w:rFonts w:eastAsiaTheme="minorEastAsia"/>
                <w:sz w:val="21"/>
                <w:szCs w:val="21"/>
              </w:rPr>
              <w:t>本次采购是否需要提供厂家授权的产品或服务清单</w:t>
            </w:r>
            <w:bookmarkEnd w:id="23"/>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4" w:name="是否允许联合体响应"/>
            <w:r>
              <w:rPr>
                <w:rFonts w:eastAsiaTheme="minorEastAsia"/>
                <w:sz w:val="21"/>
                <w:szCs w:val="21"/>
              </w:rPr>
              <w:t>是否允许联合体响应</w:t>
            </w:r>
            <w:bookmarkEnd w:id="24"/>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5" w:name="响应人应提交的商务文件"/>
            <w:r>
              <w:rPr>
                <w:rFonts w:eastAsiaTheme="minorEastAsia"/>
                <w:sz w:val="21"/>
                <w:szCs w:val="21"/>
              </w:rPr>
              <w:t>响应人应提交的商务文件</w:t>
            </w:r>
            <w:bookmarkEnd w:id="25"/>
          </w:p>
        </w:tc>
        <w:tc>
          <w:tcPr>
            <w:tcW w:w="5880" w:type="dxa"/>
            <w:vAlign w:val="center"/>
          </w:tcPr>
          <w:p>
            <w:pPr>
              <w:pStyle w:val="114"/>
              <w:numPr>
                <w:ilvl w:val="0"/>
                <w:numId w:val="11"/>
              </w:numPr>
              <w:ind w:firstLineChars="0"/>
            </w:pPr>
            <w:bookmarkStart w:id="26" w:name="响应函"/>
            <w:r>
              <w:t>响应确认函</w:t>
            </w:r>
            <w:r>
              <w:rPr>
                <w:rFonts w:hint="eastAsia"/>
              </w:rPr>
              <w:t>；</w:t>
            </w:r>
          </w:p>
          <w:p>
            <w:pPr>
              <w:pStyle w:val="114"/>
              <w:numPr>
                <w:ilvl w:val="0"/>
                <w:numId w:val="11"/>
              </w:numPr>
              <w:ind w:firstLineChars="0"/>
              <w:rPr>
                <w:b/>
              </w:rPr>
            </w:pPr>
            <w:r>
              <w:rPr>
                <w:b/>
              </w:rPr>
              <w:t>* 承诺函</w:t>
            </w:r>
            <w:bookmarkEnd w:id="26"/>
            <w:r>
              <w:rPr>
                <w:b/>
              </w:rPr>
              <w:t>；</w:t>
            </w:r>
          </w:p>
          <w:p>
            <w:pPr>
              <w:pStyle w:val="114"/>
              <w:numPr>
                <w:ilvl w:val="0"/>
                <w:numId w:val="11"/>
              </w:numPr>
              <w:ind w:firstLineChars="0"/>
              <w:rPr>
                <w:b/>
              </w:rPr>
            </w:pPr>
            <w:bookmarkStart w:id="27" w:name="授权委托书"/>
            <w:r>
              <w:rPr>
                <w:b/>
              </w:rPr>
              <w:t>* 法定代表人授权委托书</w:t>
            </w:r>
            <w:bookmarkEnd w:id="27"/>
            <w:r>
              <w:rPr>
                <w:b/>
              </w:rPr>
              <w:t>；</w:t>
            </w:r>
          </w:p>
          <w:p>
            <w:pPr>
              <w:pStyle w:val="114"/>
              <w:numPr>
                <w:ilvl w:val="0"/>
                <w:numId w:val="11"/>
              </w:numPr>
              <w:ind w:firstLineChars="0"/>
              <w:rPr>
                <w:b/>
              </w:rPr>
            </w:pPr>
            <w:bookmarkStart w:id="28"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8"/>
            <w:r>
              <w:rPr>
                <w:b/>
              </w:rPr>
              <w:t>；</w:t>
            </w:r>
          </w:p>
          <w:p>
            <w:pPr>
              <w:pStyle w:val="114"/>
              <w:numPr>
                <w:ilvl w:val="0"/>
                <w:numId w:val="11"/>
              </w:numPr>
              <w:ind w:firstLineChars="0"/>
              <w:rPr>
                <w:b/>
              </w:rPr>
            </w:pPr>
            <w:bookmarkStart w:id="29" w:name="资质要求证书"/>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rPr>
                <w:b/>
                <w:bCs/>
                <w:szCs w:val="21"/>
              </w:rPr>
              <w:fldChar w:fldCharType="end"/>
            </w:r>
            <w:r>
              <w:rPr>
                <w:rFonts w:hint="eastAsia"/>
                <w:b/>
              </w:rPr>
              <w:t>”需提供的材料；</w:t>
            </w:r>
            <w:bookmarkEnd w:id="29"/>
          </w:p>
          <w:p>
            <w:pPr>
              <w:pStyle w:val="114"/>
              <w:numPr>
                <w:ilvl w:val="0"/>
                <w:numId w:val="11"/>
              </w:numPr>
              <w:ind w:firstLineChars="0"/>
              <w:rPr>
                <w:b/>
              </w:rPr>
            </w:pPr>
            <w:bookmarkStart w:id="30" w:name="按照代理商应提交资料"/>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bookmarkEnd w:id="30"/>
            <w:r>
              <w:rPr>
                <w:b/>
              </w:rPr>
              <w:t>；</w:t>
            </w:r>
          </w:p>
          <w:p>
            <w:pPr>
              <w:pStyle w:val="96"/>
              <w:numPr>
                <w:ilvl w:val="0"/>
                <w:numId w:val="11"/>
              </w:numPr>
              <w:ind w:firstLineChars="0"/>
              <w:rPr>
                <w:rFonts w:ascii="宋体" w:hAnsi="宋体"/>
                <w:b/>
                <w:szCs w:val="22"/>
              </w:rPr>
            </w:pPr>
            <w:bookmarkStart w:id="31" w:name="无重大违法记录声明函"/>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bookmarkEnd w:id="31"/>
            <w:r>
              <w:rPr>
                <w:rFonts w:hint="eastAsia" w:ascii="宋体" w:hAnsi="宋体"/>
                <w:b/>
                <w:szCs w:val="22"/>
              </w:rPr>
              <w:t>；</w:t>
            </w:r>
          </w:p>
          <w:p>
            <w:pPr>
              <w:pStyle w:val="114"/>
              <w:numPr>
                <w:ilvl w:val="0"/>
                <w:numId w:val="11"/>
              </w:numPr>
              <w:ind w:firstLineChars="0"/>
              <w:rPr>
                <w:b/>
              </w:rPr>
            </w:pPr>
            <w:bookmarkStart w:id="32" w:name="财务证明文件"/>
            <w:r>
              <w:rPr>
                <w:rFonts w:hint="eastAsia"/>
                <w:b/>
              </w:rPr>
              <w:t>* 近两年度任意一年度经会计师事务所审计的财务审计报告（需包含报告页及资产负债表、损益表（利润表）和现金流量表，复印件加盖报价人公章，部分其他组织和自然人及开业不满一年的没有经审计的财务报告，可以提供银行出具的资信证明）</w:t>
            </w:r>
            <w:bookmarkEnd w:id="32"/>
            <w:r>
              <w:rPr>
                <w:rFonts w:hint="eastAsia"/>
                <w:b/>
              </w:rPr>
              <w:t>；</w:t>
            </w:r>
          </w:p>
          <w:p>
            <w:pPr>
              <w:pStyle w:val="114"/>
              <w:numPr>
                <w:ilvl w:val="0"/>
                <w:numId w:val="11"/>
              </w:numPr>
              <w:ind w:firstLineChars="0"/>
              <w:rPr>
                <w:b/>
              </w:rPr>
            </w:pPr>
            <w:bookmarkStart w:id="33" w:name="纳税证明"/>
            <w:r>
              <w:rPr>
                <w:rFonts w:hint="eastAsia"/>
                <w:b/>
              </w:rPr>
              <w:t>* 开标日前半年内不少于一个月缴纳税收 及 不少于三个月的社会保障资金的证明材料（缴纳凭证复印件或税务部门及社保中心开具的缴纳证明扫描件）</w:t>
            </w:r>
            <w:bookmarkEnd w:id="33"/>
            <w:r>
              <w:rPr>
                <w:rFonts w:hint="eastAsia"/>
                <w:b/>
              </w:rPr>
              <w:t>；</w:t>
            </w:r>
          </w:p>
          <w:p>
            <w:pPr>
              <w:pStyle w:val="114"/>
              <w:numPr>
                <w:ilvl w:val="0"/>
                <w:numId w:val="11"/>
              </w:numPr>
              <w:ind w:firstLineChars="0"/>
              <w:rPr>
                <w:b/>
              </w:rPr>
            </w:pPr>
            <w:bookmarkStart w:id="34" w:name="信用记录"/>
            <w:r>
              <w:rPr>
                <w:rFonts w:hint="eastAsia"/>
                <w:b/>
              </w:rPr>
              <w:t>* 信用信息查询记录及查询结果</w:t>
            </w:r>
            <w:bookmarkEnd w:id="34"/>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114"/>
              <w:ind w:left="240" w:firstLine="0" w:firstLineChars="0"/>
              <w:rPr>
                <w:b/>
              </w:rPr>
            </w:pPr>
            <w:r>
              <w:rPr>
                <w:rFonts w:hint="eastAsia"/>
                <w:b/>
              </w:rPr>
              <w:t>11、</w:t>
            </w:r>
            <w:r>
              <w:rPr>
                <w:b/>
              </w:rPr>
              <w:t>* 报价一览表</w:t>
            </w:r>
            <w:r>
              <w:rPr>
                <w:rFonts w:hint="eastAsia"/>
                <w:b/>
              </w:rPr>
              <w:t>，</w:t>
            </w:r>
            <w:r>
              <w:rPr>
                <w:b/>
              </w:rPr>
              <w:t>除装订在响应文件中外</w:t>
            </w:r>
            <w:r>
              <w:rPr>
                <w:rFonts w:hint="eastAsia"/>
                <w:b/>
              </w:rPr>
              <w:t>，</w:t>
            </w:r>
            <w:r>
              <w:rPr>
                <w:b/>
              </w:rPr>
              <w:t xml:space="preserve">还需要提供单独密封的报价一览表一份； </w:t>
            </w:r>
          </w:p>
          <w:p>
            <w:pPr>
              <w:pStyle w:val="114"/>
              <w:ind w:left="240" w:firstLine="0" w:firstLineChars="0"/>
              <w:rPr>
                <w:b/>
              </w:rPr>
            </w:pPr>
            <w:r>
              <w:rPr>
                <w:rFonts w:hint="eastAsia"/>
              </w:rPr>
              <w:t>12、报价明细表；</w:t>
            </w:r>
          </w:p>
          <w:p>
            <w:pPr>
              <w:pStyle w:val="114"/>
              <w:ind w:left="240" w:firstLine="0" w:firstLineChars="0"/>
            </w:pPr>
            <w:r>
              <w:rPr>
                <w:rFonts w:hint="eastAsia"/>
              </w:rPr>
              <w:t>13、</w:t>
            </w:r>
            <w:r>
              <w:t>商务条款偏离表；</w:t>
            </w:r>
          </w:p>
          <w:p>
            <w:pPr>
              <w:pStyle w:val="114"/>
              <w:ind w:left="240" w:firstLine="0" w:firstLineChars="0"/>
            </w:pPr>
            <w:r>
              <w:rPr>
                <w:rFonts w:hint="eastAsia"/>
              </w:rPr>
              <w:t>14、</w:t>
            </w:r>
            <w:r>
              <w:t>响应人认为需要提供的其他商务资料。</w:t>
            </w:r>
          </w:p>
          <w:p>
            <w:pPr>
              <w:pStyle w:val="114"/>
              <w:numPr>
                <w:ilvl w:val="255"/>
                <w:numId w:val="0"/>
              </w:numPr>
              <w:ind w:left="240" w:firstLine="422" w:firstLineChars="200"/>
              <w:rPr>
                <w:rFonts w:ascii="Times New Roman" w:hAnsi="Times New Roman" w:cs="Times New Roman"/>
                <w:kern w:val="0"/>
                <w:szCs w:val="21"/>
              </w:rPr>
            </w:pPr>
            <w:r>
              <w:rPr>
                <w:rFonts w:hint="eastAsia"/>
                <w:b/>
              </w:rPr>
              <w:t>★该部分中2-</w:t>
            </w:r>
            <w:r>
              <w:rPr>
                <w:b/>
              </w:rPr>
              <w:t>1</w:t>
            </w:r>
            <w:r>
              <w:rPr>
                <w:rFonts w:hint="eastAsia"/>
                <w:b/>
              </w:rPr>
              <w:t>1</w:t>
            </w:r>
            <w:r>
              <w:rPr>
                <w:b/>
              </w:rPr>
              <w:t>项对应文件</w:t>
            </w:r>
            <w:r>
              <w:rPr>
                <w:rFonts w:hint="eastAsia"/>
                <w:b/>
              </w:rPr>
              <w:t>需单独装订成册，正本一份，副本一份，并在封面注明为“资格文件”，其余文件（含商务和技术部分）再单独装订，请勿重复装订。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5" w:name="响应人应提交的技术文件"/>
            <w:r>
              <w:rPr>
                <w:rFonts w:eastAsiaTheme="minorEastAsia"/>
                <w:sz w:val="21"/>
                <w:szCs w:val="21"/>
              </w:rPr>
              <w:t>响应人应提交的技术文件</w:t>
            </w:r>
            <w:bookmarkEnd w:id="35"/>
          </w:p>
        </w:tc>
        <w:tc>
          <w:tcPr>
            <w:tcW w:w="5880" w:type="dxa"/>
            <w:vAlign w:val="center"/>
          </w:tcPr>
          <w:p>
            <w:pPr>
              <w:pStyle w:val="114"/>
              <w:numPr>
                <w:ilvl w:val="0"/>
                <w:numId w:val="12"/>
              </w:numPr>
              <w:ind w:firstLineChars="0"/>
            </w:pPr>
            <w:r>
              <w:t>针对本项目的服务团队表；</w:t>
            </w:r>
          </w:p>
          <w:p>
            <w:pPr>
              <w:pStyle w:val="114"/>
              <w:numPr>
                <w:ilvl w:val="0"/>
                <w:numId w:val="12"/>
              </w:numPr>
              <w:ind w:firstLineChars="0"/>
            </w:pPr>
            <w:r>
              <w:t>针对本项目的服务方案；</w:t>
            </w:r>
          </w:p>
          <w:p>
            <w:pPr>
              <w:pStyle w:val="114"/>
              <w:numPr>
                <w:ilvl w:val="0"/>
                <w:numId w:val="12"/>
              </w:numPr>
              <w:ind w:firstLineChars="0"/>
            </w:pPr>
            <w:r>
              <w:t>特殊紧急情况应急预案；</w:t>
            </w:r>
          </w:p>
          <w:p>
            <w:pPr>
              <w:pStyle w:val="114"/>
              <w:numPr>
                <w:ilvl w:val="0"/>
                <w:numId w:val="12"/>
              </w:numPr>
              <w:ind w:firstLineChars="0"/>
            </w:pPr>
            <w:r>
              <w:t>业绩证明材料；</w:t>
            </w:r>
          </w:p>
          <w:p>
            <w:pPr>
              <w:pStyle w:val="114"/>
              <w:numPr>
                <w:ilvl w:val="0"/>
                <w:numId w:val="12"/>
              </w:numPr>
              <w:ind w:firstLineChars="0"/>
            </w:pPr>
            <w:r>
              <w:t>响应人服务偏离表；</w:t>
            </w:r>
          </w:p>
          <w:p>
            <w:pPr>
              <w:pStyle w:val="114"/>
              <w:numPr>
                <w:ilvl w:val="0"/>
                <w:numId w:val="12"/>
              </w:numPr>
              <w:ind w:firstLineChars="0"/>
              <w:rPr>
                <w:rFonts w:ascii="Times New Roman" w:hAnsi="Times New Roman" w:cs="Times New Roman"/>
                <w:szCs w:val="21"/>
              </w:rPr>
            </w:pPr>
            <w:r>
              <w:t>响应人认为需要提供的其它说明和资料。</w:t>
            </w:r>
            <w: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6" w:name="响应人自行编写的技术文件"/>
            <w:r>
              <w:rPr>
                <w:rFonts w:eastAsiaTheme="minorEastAsia"/>
                <w:sz w:val="21"/>
                <w:szCs w:val="21"/>
              </w:rPr>
              <w:t>响应人自行编写的技术文件</w:t>
            </w:r>
            <w:bookmarkEnd w:id="36"/>
          </w:p>
        </w:tc>
        <w:tc>
          <w:tcPr>
            <w:tcW w:w="5880" w:type="dxa"/>
            <w:vAlign w:val="center"/>
          </w:tcPr>
          <w:p>
            <w:pPr>
              <w:autoSpaceDN w:val="0"/>
              <w:spacing w:line="400" w:lineRule="exact"/>
              <w:ind w:firstLine="420" w:firstLineChars="200"/>
              <w:rPr>
                <w:rFonts w:eastAsiaTheme="minorEastAsia"/>
                <w:sz w:val="21"/>
                <w:szCs w:val="21"/>
              </w:rPr>
            </w:pPr>
            <w:r>
              <w:rPr>
                <w:rFonts w:eastAsiaTheme="minorEastAsia"/>
                <w:sz w:val="21"/>
                <w:szCs w:val="21"/>
              </w:rPr>
              <w:t>包括但不限于：</w:t>
            </w:r>
          </w:p>
          <w:p>
            <w:pPr>
              <w:pStyle w:val="114"/>
              <w:numPr>
                <w:ilvl w:val="0"/>
                <w:numId w:val="13"/>
              </w:numPr>
              <w:ind w:firstLineChars="0"/>
              <w:rPr>
                <w:rFonts w:ascii="Times New Roman" w:hAnsi="Times New Roman" w:cs="Times New Roman"/>
              </w:rPr>
            </w:pPr>
            <w:r>
              <w:rPr>
                <w:rFonts w:ascii="Times New Roman" w:hAnsi="Times New Roman" w:cs="Times New Roman"/>
              </w:rPr>
              <w:t>服务项目点对点对应情况等；</w:t>
            </w:r>
          </w:p>
          <w:p>
            <w:pPr>
              <w:pStyle w:val="114"/>
              <w:numPr>
                <w:ilvl w:val="0"/>
                <w:numId w:val="13"/>
              </w:numPr>
              <w:ind w:firstLineChars="0"/>
              <w:rPr>
                <w:rFonts w:ascii="Times New Roman" w:hAnsi="Times New Roman" w:cs="Times New Roman"/>
              </w:rPr>
            </w:pPr>
            <w:r>
              <w:rPr>
                <w:rFonts w:ascii="Times New Roman" w:hAnsi="Times New Roman" w:cs="Times New Roman"/>
              </w:rPr>
              <w:t>响应人所提供的服务；</w:t>
            </w:r>
          </w:p>
          <w:p>
            <w:pPr>
              <w:pStyle w:val="114"/>
              <w:numPr>
                <w:ilvl w:val="0"/>
                <w:numId w:val="13"/>
              </w:numPr>
              <w:ind w:firstLineChars="0"/>
              <w:rPr>
                <w:rFonts w:ascii="Times New Roman" w:hAnsi="Times New Roman" w:cs="Times New Roman"/>
              </w:rPr>
            </w:pPr>
            <w:r>
              <w:rPr>
                <w:rFonts w:ascii="Times New Roman" w:hAnsi="Times New Roman" w:cs="Times New Roman"/>
              </w:rPr>
              <w:t>项目进度表；</w:t>
            </w:r>
          </w:p>
          <w:p>
            <w:pPr>
              <w:pStyle w:val="114"/>
              <w:numPr>
                <w:ilvl w:val="0"/>
                <w:numId w:val="13"/>
              </w:numPr>
              <w:ind w:firstLineChars="0"/>
              <w:rPr>
                <w:rFonts w:ascii="Times New Roman" w:hAnsi="Times New Roman" w:cs="Times New Roman"/>
              </w:rPr>
            </w:pPr>
            <w:r>
              <w:rPr>
                <w:rFonts w:ascii="Times New Roman" w:hAnsi="Times New Roman" w:cs="Times New Roman"/>
              </w:rPr>
              <w:t>实施人员组织规划及参与人员简介；</w:t>
            </w:r>
          </w:p>
          <w:p>
            <w:pPr>
              <w:pStyle w:val="114"/>
              <w:numPr>
                <w:ilvl w:val="0"/>
                <w:numId w:val="13"/>
              </w:numPr>
              <w:ind w:firstLineChars="0"/>
              <w:rPr>
                <w:rFonts w:ascii="Times New Roman" w:hAnsi="Times New Roman" w:cs="Times New Roman"/>
              </w:rPr>
            </w:pPr>
            <w:r>
              <w:rPr>
                <w:rFonts w:ascii="Times New Roman" w:hAnsi="Times New Roman" w:cs="Times New Roman"/>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bookmarkStart w:id="37" w:name="_Ref477449610"/>
          </w:p>
          <w:bookmarkEnd w:id="37"/>
        </w:tc>
        <w:tc>
          <w:tcPr>
            <w:tcW w:w="2404" w:type="dxa"/>
            <w:vAlign w:val="center"/>
          </w:tcPr>
          <w:p>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pPr>
              <w:spacing w:line="400" w:lineRule="exact"/>
              <w:ind w:firstLine="420" w:firstLineChars="200"/>
              <w:jc w:val="both"/>
              <w:rPr>
                <w:rFonts w:eastAsiaTheme="minorEastAsia"/>
                <w:sz w:val="21"/>
                <w:szCs w:val="21"/>
              </w:rPr>
            </w:pPr>
            <w:bookmarkStart w:id="38" w:name="_Toc477456267"/>
            <w:bookmarkStart w:id="39" w:name="_Toc477456200"/>
            <w:r>
              <w:rPr>
                <w:rFonts w:eastAsiaTheme="minorEastAsia"/>
                <w:sz w:val="21"/>
                <w:szCs w:val="21"/>
              </w:rPr>
              <w:t>本项目响应保证金</w:t>
            </w:r>
            <w:r>
              <w:rPr>
                <w:rFonts w:hint="eastAsia" w:eastAsiaTheme="minorEastAsia"/>
                <w:sz w:val="21"/>
                <w:szCs w:val="21"/>
              </w:rPr>
              <w:t>7000</w:t>
            </w:r>
            <w:r>
              <w:rPr>
                <w:rFonts w:eastAsiaTheme="minorEastAsia"/>
                <w:sz w:val="21"/>
                <w:szCs w:val="21"/>
              </w:rPr>
              <w:t>元整。</w:t>
            </w:r>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96"/>
              <w:numPr>
                <w:ilvl w:val="0"/>
                <w:numId w:val="10"/>
              </w:numPr>
              <w:spacing w:line="400" w:lineRule="exact"/>
              <w:ind w:firstLineChars="0"/>
              <w:jc w:val="center"/>
              <w:rPr>
                <w:rFonts w:eastAsiaTheme="minorEastAsia"/>
              </w:rPr>
            </w:pPr>
            <w:bookmarkStart w:id="40" w:name="_Ref477449806"/>
          </w:p>
          <w:bookmarkEnd w:id="40"/>
        </w:tc>
        <w:tc>
          <w:tcPr>
            <w:tcW w:w="2404" w:type="dxa"/>
            <w:vAlign w:val="center"/>
          </w:tcPr>
          <w:p>
            <w:pPr>
              <w:spacing w:line="400" w:lineRule="exact"/>
              <w:jc w:val="both"/>
              <w:rPr>
                <w:rFonts w:eastAsiaTheme="minorEastAsia"/>
                <w:sz w:val="21"/>
                <w:szCs w:val="21"/>
              </w:rPr>
            </w:pPr>
            <w:bookmarkStart w:id="41" w:name="_Toc477456269"/>
            <w:r>
              <w:rPr>
                <w:rFonts w:eastAsiaTheme="minorEastAsia"/>
                <w:sz w:val="21"/>
                <w:szCs w:val="21"/>
              </w:rPr>
              <w:t>是否允许响应人将项目非主体、非关键性工作交由他人完成</w:t>
            </w:r>
            <w:bookmarkEnd w:id="41"/>
          </w:p>
        </w:tc>
        <w:tc>
          <w:tcPr>
            <w:tcW w:w="5880" w:type="dxa"/>
            <w:vAlign w:val="center"/>
          </w:tcPr>
          <w:p>
            <w:pPr>
              <w:spacing w:line="400" w:lineRule="exact"/>
              <w:ind w:firstLine="420" w:firstLineChars="200"/>
              <w:jc w:val="both"/>
              <w:rPr>
                <w:rFonts w:eastAsiaTheme="minorEastAsia"/>
                <w:sz w:val="21"/>
                <w:szCs w:val="21"/>
              </w:rPr>
            </w:pPr>
            <w:bookmarkStart w:id="42" w:name="_Toc477456202"/>
            <w:bookmarkStart w:id="43" w:name="_Toc477456270"/>
            <w:r>
              <w:rPr>
                <w:rFonts w:eastAsiaTheme="minorEastAsia"/>
                <w:sz w:val="21"/>
                <w:szCs w:val="21"/>
              </w:rPr>
              <w:t>否</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4" w:name="_Toc477456271"/>
            <w:r>
              <w:rPr>
                <w:rFonts w:eastAsiaTheme="minorEastAsia"/>
                <w:sz w:val="21"/>
                <w:szCs w:val="21"/>
              </w:rPr>
              <w:t>现场踏勘</w:t>
            </w:r>
            <w:bookmarkEnd w:id="44"/>
          </w:p>
        </w:tc>
        <w:tc>
          <w:tcPr>
            <w:tcW w:w="5880" w:type="dxa"/>
            <w:vAlign w:val="center"/>
          </w:tcPr>
          <w:p>
            <w:pPr>
              <w:spacing w:line="400" w:lineRule="exact"/>
              <w:ind w:firstLine="420" w:firstLineChars="200"/>
              <w:jc w:val="both"/>
              <w:rPr>
                <w:sz w:val="21"/>
                <w:szCs w:val="21"/>
                <w:highlight w:val="none"/>
              </w:rPr>
            </w:pPr>
            <w:r>
              <w:rPr>
                <w:sz w:val="21"/>
                <w:szCs w:val="21"/>
                <w:highlight w:val="none"/>
              </w:rPr>
              <w:t xml:space="preserve">* </w:t>
            </w:r>
            <w:r>
              <w:rPr>
                <w:rFonts w:hint="eastAsia"/>
                <w:sz w:val="21"/>
                <w:szCs w:val="21"/>
                <w:highlight w:val="none"/>
              </w:rPr>
              <w:t>踏勘集中地点：北京市海淀区学院南路中央财经大学</w:t>
            </w:r>
            <w:r>
              <w:rPr>
                <w:rFonts w:hint="eastAsia"/>
                <w:sz w:val="21"/>
                <w:szCs w:val="21"/>
                <w:highlight w:val="none"/>
                <w:lang w:eastAsia="zh-CN"/>
              </w:rPr>
              <w:t>实验楼</w:t>
            </w:r>
            <w:r>
              <w:rPr>
                <w:rFonts w:hint="eastAsia"/>
                <w:sz w:val="21"/>
                <w:szCs w:val="21"/>
                <w:highlight w:val="none"/>
                <w:lang w:val="en-US" w:eastAsia="zh-CN"/>
              </w:rPr>
              <w:t>701。</w:t>
            </w:r>
          </w:p>
          <w:p>
            <w:pPr>
              <w:spacing w:line="400" w:lineRule="exact"/>
              <w:ind w:firstLine="420" w:firstLineChars="200"/>
              <w:jc w:val="both"/>
              <w:rPr>
                <w:sz w:val="21"/>
                <w:szCs w:val="21"/>
                <w:highlight w:val="none"/>
              </w:rPr>
            </w:pPr>
            <w:r>
              <w:rPr>
                <w:rFonts w:hint="eastAsia"/>
                <w:sz w:val="21"/>
                <w:szCs w:val="21"/>
                <w:highlight w:val="none"/>
              </w:rPr>
              <w:t>踏勘时间为：</w:t>
            </w:r>
            <w:r>
              <w:rPr>
                <w:sz w:val="21"/>
                <w:szCs w:val="21"/>
                <w:highlight w:val="none"/>
              </w:rPr>
              <w:t>2018</w:t>
            </w:r>
            <w:r>
              <w:rPr>
                <w:rFonts w:hint="eastAsia"/>
                <w:sz w:val="21"/>
                <w:szCs w:val="21"/>
                <w:highlight w:val="none"/>
              </w:rPr>
              <w:t>年</w:t>
            </w:r>
            <w:r>
              <w:rPr>
                <w:sz w:val="21"/>
                <w:szCs w:val="21"/>
                <w:highlight w:val="none"/>
              </w:rPr>
              <w:t>1</w:t>
            </w:r>
            <w:r>
              <w:rPr>
                <w:rFonts w:hint="eastAsia"/>
                <w:sz w:val="21"/>
                <w:szCs w:val="21"/>
                <w:highlight w:val="none"/>
              </w:rPr>
              <w:t>月</w:t>
            </w:r>
            <w:r>
              <w:rPr>
                <w:rFonts w:hint="eastAsia"/>
                <w:sz w:val="21"/>
                <w:szCs w:val="21"/>
                <w:highlight w:val="none"/>
                <w:lang w:eastAsia="zh-CN"/>
              </w:rPr>
              <w:t>1</w:t>
            </w:r>
            <w:r>
              <w:rPr>
                <w:rFonts w:hint="eastAsia"/>
                <w:sz w:val="21"/>
                <w:szCs w:val="21"/>
                <w:highlight w:val="none"/>
                <w:lang w:val="en-US" w:eastAsia="zh-CN"/>
              </w:rPr>
              <w:t>2</w:t>
            </w:r>
            <w:r>
              <w:rPr>
                <w:rFonts w:hint="eastAsia"/>
                <w:sz w:val="21"/>
                <w:szCs w:val="21"/>
                <w:highlight w:val="none"/>
              </w:rPr>
              <w:t>日上午</w:t>
            </w:r>
            <w:r>
              <w:rPr>
                <w:sz w:val="21"/>
                <w:szCs w:val="21"/>
                <w:highlight w:val="none"/>
              </w:rPr>
              <w:t>10:00</w:t>
            </w:r>
          </w:p>
          <w:p>
            <w:pPr>
              <w:spacing w:line="400" w:lineRule="exact"/>
              <w:ind w:firstLine="420" w:firstLineChars="200"/>
              <w:jc w:val="both"/>
              <w:rPr>
                <w:sz w:val="21"/>
                <w:szCs w:val="21"/>
                <w:highlight w:val="none"/>
              </w:rPr>
            </w:pPr>
            <w:r>
              <w:rPr>
                <w:rFonts w:hint="eastAsia"/>
                <w:sz w:val="21"/>
                <w:szCs w:val="21"/>
                <w:highlight w:val="none"/>
              </w:rPr>
              <w:t>踏勘联系人：</w:t>
            </w:r>
            <w:r>
              <w:rPr>
                <w:rFonts w:hint="eastAsia"/>
                <w:sz w:val="21"/>
                <w:szCs w:val="21"/>
                <w:highlight w:val="none"/>
                <w:lang w:eastAsia="zh-CN"/>
              </w:rPr>
              <w:t>马</w:t>
            </w:r>
            <w:r>
              <w:rPr>
                <w:rFonts w:hint="eastAsia"/>
                <w:sz w:val="21"/>
                <w:szCs w:val="21"/>
                <w:highlight w:val="none"/>
              </w:rPr>
              <w:t>老师</w:t>
            </w:r>
            <w:r>
              <w:rPr>
                <w:sz w:val="21"/>
                <w:szCs w:val="21"/>
                <w:highlight w:val="none"/>
              </w:rPr>
              <w:t xml:space="preserve"> </w:t>
            </w:r>
            <w:r>
              <w:rPr>
                <w:rFonts w:hint="eastAsia"/>
                <w:sz w:val="21"/>
                <w:szCs w:val="21"/>
                <w:highlight w:val="none"/>
              </w:rPr>
              <w:t>联系方式：</w:t>
            </w:r>
            <w:r>
              <w:rPr>
                <w:sz w:val="21"/>
                <w:szCs w:val="21"/>
                <w:highlight w:val="none"/>
              </w:rPr>
              <w:t>010-62289077</w:t>
            </w:r>
          </w:p>
          <w:p>
            <w:pPr>
              <w:spacing w:line="400" w:lineRule="exact"/>
              <w:ind w:firstLine="420" w:firstLineChars="200"/>
              <w:jc w:val="both"/>
              <w:rPr>
                <w:sz w:val="21"/>
                <w:szCs w:val="21"/>
                <w:highlight w:val="none"/>
              </w:rPr>
            </w:pPr>
            <w:r>
              <w:rPr>
                <w:rFonts w:hint="eastAsia"/>
                <w:sz w:val="21"/>
                <w:szCs w:val="21"/>
                <w:highlight w:val="none"/>
              </w:rPr>
              <w:t>踏勘内容：</w:t>
            </w:r>
            <w:r>
              <w:rPr>
                <w:rFonts w:hint="eastAsia"/>
                <w:sz w:val="21"/>
                <w:szCs w:val="21"/>
                <w:highlight w:val="none"/>
                <w:lang w:eastAsia="zh-CN"/>
              </w:rPr>
              <w:t>了解后勤集团现有内部控制内容。</w:t>
            </w:r>
          </w:p>
          <w:p>
            <w:pPr>
              <w:spacing w:line="400" w:lineRule="exact"/>
              <w:ind w:firstLine="420" w:firstLineChars="200"/>
              <w:jc w:val="both"/>
              <w:rPr>
                <w:rFonts w:eastAsiaTheme="minorEastAsia"/>
                <w:sz w:val="21"/>
                <w:szCs w:val="21"/>
              </w:rPr>
            </w:pPr>
            <w:r>
              <w:rPr>
                <w:rFonts w:hint="eastAsia"/>
                <w:sz w:val="21"/>
                <w:szCs w:val="21"/>
                <w:highlight w:val="none"/>
              </w:rPr>
              <w:t>现场踏勘为参加磋商的必要条件。响应人自行前往现场。不参与现场踏勘的供应商其响应文件将被拒绝。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bookmarkStart w:id="45" w:name="_Ref477450077"/>
          </w:p>
          <w:bookmarkEnd w:id="45"/>
        </w:tc>
        <w:tc>
          <w:tcPr>
            <w:tcW w:w="2404" w:type="dxa"/>
            <w:vAlign w:val="center"/>
          </w:tcPr>
          <w:p>
            <w:pPr>
              <w:spacing w:line="400" w:lineRule="exact"/>
              <w:jc w:val="both"/>
              <w:rPr>
                <w:rFonts w:eastAsiaTheme="minorEastAsia"/>
                <w:sz w:val="21"/>
                <w:szCs w:val="21"/>
              </w:rPr>
            </w:pPr>
            <w:bookmarkStart w:id="46" w:name="_Toc477456273"/>
            <w:r>
              <w:rPr>
                <w:rFonts w:eastAsiaTheme="minorEastAsia"/>
                <w:sz w:val="21"/>
                <w:szCs w:val="21"/>
              </w:rPr>
              <w:t>现场演示</w:t>
            </w:r>
            <w:bookmarkEnd w:id="46"/>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PPT演示，时间5-8分钟。演示内容为：公司介绍，服务方案，人员配置等方面。现场演示为打分项，无现场演示该部分不得分。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96"/>
              <w:numPr>
                <w:ilvl w:val="0"/>
                <w:numId w:val="10"/>
              </w:numPr>
              <w:spacing w:line="400" w:lineRule="exact"/>
              <w:ind w:firstLineChars="0"/>
              <w:jc w:val="center"/>
              <w:rPr>
                <w:rFonts w:eastAsiaTheme="minorEastAsia"/>
              </w:rPr>
            </w:pPr>
            <w:bookmarkStart w:id="47" w:name="_Ref477450110"/>
          </w:p>
          <w:bookmarkEnd w:id="47"/>
        </w:tc>
        <w:tc>
          <w:tcPr>
            <w:tcW w:w="2404" w:type="dxa"/>
            <w:vAlign w:val="center"/>
          </w:tcPr>
          <w:p>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pPr>
              <w:spacing w:line="400" w:lineRule="exact"/>
              <w:ind w:firstLine="420" w:firstLineChars="200"/>
              <w:jc w:val="both"/>
              <w:rPr>
                <w:rFonts w:eastAsiaTheme="minorEastAsia"/>
                <w:sz w:val="21"/>
                <w:szCs w:val="21"/>
              </w:rPr>
            </w:pPr>
            <w:bookmarkStart w:id="48" w:name="_Toc477456275"/>
            <w:bookmarkStart w:id="49" w:name="_Toc477456205"/>
            <w:r>
              <w:rPr>
                <w:rFonts w:eastAsiaTheme="minorEastAsia"/>
                <w:sz w:val="21"/>
                <w:szCs w:val="21"/>
              </w:rPr>
              <w:t>90日历天（从响应截止日起计算）</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bookmarkStart w:id="50" w:name="_Ref477450181"/>
          </w:p>
          <w:bookmarkEnd w:id="50"/>
        </w:tc>
        <w:tc>
          <w:tcPr>
            <w:tcW w:w="2404" w:type="dxa"/>
            <w:vAlign w:val="center"/>
          </w:tcPr>
          <w:p>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pPr>
              <w:spacing w:line="400" w:lineRule="exact"/>
              <w:ind w:firstLine="420" w:firstLineChars="200"/>
              <w:jc w:val="both"/>
              <w:rPr>
                <w:rFonts w:eastAsiaTheme="minorEastAsia"/>
                <w:sz w:val="21"/>
                <w:szCs w:val="21"/>
              </w:rPr>
            </w:pPr>
            <w:bookmarkStart w:id="51" w:name="_Toc477456276"/>
            <w:bookmarkStart w:id="52" w:name="_Toc477456206"/>
            <w:r>
              <w:rPr>
                <w:rFonts w:eastAsiaTheme="minorEastAsia"/>
                <w:sz w:val="21"/>
                <w:szCs w:val="21"/>
              </w:rPr>
              <w:t>响应文件一式5份，其中正本1份，副本4份；报价一览表正本1份（单独密封）；法定代表人授权委托书正本1份（单独密封），电子文档1份。</w:t>
            </w:r>
            <w:bookmarkEnd w:id="51"/>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pPr>
              <w:spacing w:line="400" w:lineRule="exact"/>
              <w:ind w:firstLine="420" w:firstLineChars="200"/>
              <w:jc w:val="both"/>
              <w:rPr>
                <w:rFonts w:eastAsiaTheme="minorEastAsia"/>
                <w:sz w:val="21"/>
                <w:szCs w:val="21"/>
              </w:rPr>
            </w:pPr>
            <w:bookmarkStart w:id="53" w:name="_Toc477456277"/>
            <w:bookmarkStart w:id="54" w:name="_Toc477456207"/>
            <w:r>
              <w:rPr>
                <w:rFonts w:eastAsiaTheme="minorEastAsia"/>
                <w:sz w:val="21"/>
                <w:szCs w:val="21"/>
              </w:rPr>
              <w:t>否</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pPr>
              <w:numPr>
                <w:ins w:id="0" w:author="Lenovo User" w:date="2012-03-30T14:38:00Z"/>
              </w:numPr>
              <w:spacing w:line="400" w:lineRule="exact"/>
              <w:ind w:firstLine="420" w:firstLineChars="200"/>
              <w:jc w:val="both"/>
              <w:rPr>
                <w:rFonts w:eastAsiaTheme="minorEastAsia"/>
                <w:sz w:val="21"/>
                <w:szCs w:val="21"/>
              </w:rPr>
            </w:pPr>
            <w:bookmarkStart w:id="55" w:name="_Toc477456278"/>
            <w:bookmarkStart w:id="56" w:name="_Toc477456208"/>
            <w:r>
              <w:rPr>
                <w:rFonts w:eastAsiaTheme="minorEastAsia"/>
                <w:sz w:val="21"/>
                <w:szCs w:val="21"/>
              </w:rPr>
              <w:t>按国家有关节能环保政策执行</w:t>
            </w:r>
            <w:bookmarkEnd w:id="55"/>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pPr>
              <w:pStyle w:val="114"/>
              <w:numPr>
                <w:ilvl w:val="0"/>
                <w:numId w:val="14"/>
              </w:numPr>
              <w:ind w:firstLineChars="0"/>
              <w:rPr>
                <w:rFonts w:ascii="Times New Roman" w:hAnsi="Times New Roman" w:cs="Times New Roman"/>
              </w:rPr>
            </w:pPr>
            <w:r>
              <w:rPr>
                <w:rFonts w:ascii="Times New Roman" w:hAnsi="Times New Roman" w:cs="Times New Roman"/>
              </w:rPr>
              <w:t>本项目预算</w:t>
            </w:r>
            <w:r>
              <w:rPr>
                <w:rFonts w:hint="eastAsia" w:ascii="Times New Roman" w:hAnsi="Times New Roman" w:cs="Times New Roman"/>
                <w:b/>
                <w:bCs/>
              </w:rPr>
              <w:t>人民币</w:t>
            </w:r>
            <w:r>
              <w:rPr>
                <w:rFonts w:ascii="Times New Roman" w:hAnsi="Times New Roman" w:cs="Times New Roman"/>
                <w:b/>
                <w:bCs/>
              </w:rPr>
              <w:t>35</w:t>
            </w:r>
            <w:r>
              <w:rPr>
                <w:rFonts w:hint="eastAsia" w:ascii="Times New Roman" w:hAnsi="Times New Roman" w:cs="Times New Roman"/>
                <w:b/>
                <w:bCs/>
              </w:rPr>
              <w:t>万</w:t>
            </w:r>
            <w:r>
              <w:rPr>
                <w:rFonts w:asciiTheme="minorEastAsia" w:hAnsiTheme="minorEastAsia" w:cstheme="minorBidi"/>
                <w:b/>
                <w:bCs/>
              </w:rPr>
              <w:fldChar w:fldCharType="begin"/>
            </w:r>
            <w:r>
              <w:rPr>
                <w:b/>
                <w:bCs/>
              </w:rPr>
              <w:instrText xml:space="preserve"> REF 预算 \h  \* MERGEFORMAT </w:instrText>
            </w:r>
            <w:r>
              <w:rPr>
                <w:rFonts w:asciiTheme="minorEastAsia" w:hAnsiTheme="minorEastAsia" w:cstheme="minorBidi"/>
                <w:b/>
                <w:bCs/>
              </w:rPr>
              <w:fldChar w:fldCharType="separate"/>
            </w:r>
            <w:r>
              <w:rPr>
                <w:rFonts w:hint="eastAsia" w:ascii="Times New Roman" w:hAnsi="Times New Roman" w:cs="Times New Roman"/>
                <w:b/>
                <w:bCs/>
              </w:rPr>
              <w:t>元</w:t>
            </w:r>
            <w:r>
              <w:rPr>
                <w:rFonts w:ascii="Times New Roman" w:hAnsi="Times New Roman" w:cs="Times New Roman"/>
                <w:b/>
                <w:bCs/>
              </w:rPr>
              <w:fldChar w:fldCharType="end"/>
            </w:r>
            <w:r>
              <w:rPr>
                <w:rFonts w:ascii="Times New Roman" w:hAnsi="Times New Roman" w:cs="Times New Roman"/>
              </w:rPr>
              <w:t>，超过此预算的响应文件将被拒绝；</w:t>
            </w:r>
          </w:p>
          <w:p>
            <w:pPr>
              <w:pStyle w:val="114"/>
              <w:numPr>
                <w:ilvl w:val="0"/>
                <w:numId w:val="14"/>
              </w:numPr>
              <w:ind w:firstLineChars="0"/>
              <w:rPr>
                <w:rFonts w:ascii="Times New Roman" w:hAnsi="Times New Roman" w:cs="Times New Roman"/>
              </w:rPr>
            </w:pPr>
            <w:r>
              <w:rPr>
                <w:rFonts w:ascii="Times New Roman" w:hAnsi="Times New Roman" w:cs="Times New Roman"/>
              </w:rP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的响应人的响应文件将被拒绝。（规定时间内允许补正）；</w:t>
            </w:r>
          </w:p>
          <w:p>
            <w:pPr>
              <w:pStyle w:val="114"/>
              <w:numPr>
                <w:ilvl w:val="0"/>
                <w:numId w:val="14"/>
              </w:numPr>
              <w:ind w:firstLineChars="0"/>
              <w:rPr>
                <w:rFonts w:ascii="Times New Roman" w:hAnsi="Times New Roman" w:cs="Times New Roman"/>
                <w:szCs w:val="21"/>
              </w:rPr>
            </w:pPr>
            <w:r>
              <w:rPr>
                <w:rFonts w:ascii="Times New Roman" w:hAnsi="Times New Roman" w:cs="Times New Roman"/>
              </w:rPr>
              <w:t>根据工信部等部委发布的《关于印发中小企业划型标准规定的通知》（工信部联企业〔2011〕300号），符合</w:t>
            </w:r>
            <w:r>
              <w:rPr>
                <w:rFonts w:hint="eastAsia" w:ascii="Times New Roman" w:hAnsi="Times New Roman" w:cs="Times New Roman"/>
              </w:rPr>
              <w:t>通知</w:t>
            </w:r>
            <w:r>
              <w:rPr>
                <w:rFonts w:ascii="Times New Roman" w:hAnsi="Times New Roman" w:cs="Times New Roman"/>
              </w:rPr>
              <w:t>规定条件的小微型企业（提示：根据具体品目选取相应标准）应提供《小企业声明函》及相关证明材料，没有按要求提供上述材料的不被认定为小微型企业。</w:t>
            </w:r>
          </w:p>
        </w:tc>
      </w:tr>
    </w:tbl>
    <w:p>
      <w:pPr>
        <w:pStyle w:val="114"/>
        <w:rPr>
          <w:rFonts w:ascii="Times New Roman" w:hAnsi="Times New Roman" w:cs="Times New Roman"/>
        </w:rPr>
      </w:pPr>
    </w:p>
    <w:p>
      <w:pPr>
        <w:pStyle w:val="114"/>
        <w:ind w:firstLine="482"/>
        <w:rPr>
          <w:rFonts w:ascii="Times New Roman" w:hAnsi="Times New Roman"/>
          <w:b/>
          <w:sz w:val="24"/>
          <w:szCs w:val="24"/>
        </w:rPr>
      </w:pPr>
      <w:bookmarkStart w:id="57" w:name="_Toc86202581"/>
      <w:r>
        <w:rPr>
          <w:rFonts w:hint="eastAsia"/>
          <w:b/>
          <w:sz w:val="24"/>
          <w:szCs w:val="24"/>
        </w:rPr>
        <w:t>本表中加*项目若有实质性修改或非实质性响应，将导致响应被拒绝且不允许在响应截止后补正。响应供应商应在响应文件密封装袋前仔细核对相关内容，以避免给自己带来不利后果。</w:t>
      </w:r>
    </w:p>
    <w:p>
      <w:pPr>
        <w:pStyle w:val="114"/>
        <w:rPr>
          <w:rFonts w:ascii="Times New Roman" w:hAnsi="Times New Roman"/>
        </w:rPr>
      </w:pPr>
      <w:r>
        <w:rPr>
          <w:rFonts w:hint="eastAsia" w:ascii="Times New Roman" w:hAnsi="Times New Roman"/>
        </w:rPr>
        <w:t>本表内容若与磋商文件其他部分的内容不一致，应当以本表内容为准。</w:t>
      </w:r>
    </w:p>
    <w:p>
      <w:pPr>
        <w:pStyle w:val="3"/>
        <w:adjustRightInd/>
        <w:spacing w:line="415" w:lineRule="auto"/>
        <w:ind w:left="420" w:hanging="420"/>
        <w:jc w:val="center"/>
        <w:textAlignment w:val="auto"/>
        <w:rPr>
          <w:rFonts w:ascii="Times New Roman" w:hAnsi="Times New Roman" w:eastAsiaTheme="majorEastAsia"/>
          <w:kern w:val="2"/>
        </w:rPr>
      </w:pPr>
      <w:r>
        <w:rPr>
          <w:rFonts w:ascii="Times New Roman" w:hAnsi="Times New Roman" w:eastAsiaTheme="majorEastAsia"/>
          <w:kern w:val="2"/>
        </w:rPr>
        <w:br w:type="page"/>
      </w:r>
      <w:bookmarkStart w:id="58" w:name="_Toc477459640"/>
      <w:bookmarkStart w:id="59" w:name="_Toc477456209"/>
      <w:r>
        <w:rPr>
          <w:rFonts w:ascii="Times New Roman" w:hAnsi="Times New Roman" w:eastAsiaTheme="majorEastAsia"/>
          <w:kern w:val="2"/>
        </w:rPr>
        <w:t>第三部分</w:t>
      </w:r>
      <w:bookmarkStart w:id="60" w:name="响应人须知"/>
      <w:r>
        <w:rPr>
          <w:rFonts w:ascii="Times New Roman" w:hAnsi="Times New Roman" w:eastAsiaTheme="majorEastAsia"/>
          <w:kern w:val="2"/>
        </w:rPr>
        <w:t>响应人须知</w:t>
      </w:r>
      <w:bookmarkEnd w:id="58"/>
      <w:bookmarkEnd w:id="59"/>
      <w:bookmarkEnd w:id="60"/>
    </w:p>
    <w:p>
      <w:pPr>
        <w:pStyle w:val="4"/>
        <w:numPr>
          <w:ilvl w:val="0"/>
          <w:numId w:val="15"/>
        </w:numPr>
        <w:adjustRightInd/>
        <w:spacing w:line="415" w:lineRule="auto"/>
        <w:jc w:val="both"/>
        <w:textAlignment w:val="auto"/>
        <w:rPr>
          <w:rFonts w:eastAsiaTheme="minorEastAsia"/>
          <w:kern w:val="2"/>
        </w:rPr>
      </w:pPr>
      <w:bookmarkStart w:id="61" w:name="_Toc477459641"/>
      <w:r>
        <w:rPr>
          <w:rFonts w:eastAsiaTheme="minorEastAsia"/>
          <w:kern w:val="2"/>
        </w:rPr>
        <w:t>总则</w:t>
      </w:r>
      <w:bookmarkEnd w:id="61"/>
    </w:p>
    <w:p>
      <w:pPr>
        <w:pStyle w:val="114"/>
        <w:rPr>
          <w:rFonts w:ascii="Times New Roman" w:hAnsi="Times New Roman" w:cs="Times New Roman"/>
        </w:rPr>
      </w:pPr>
      <w:r>
        <w:rPr>
          <w:rFonts w:ascii="Times New Roman" w:hAnsi="Times New Roman" w:cs="Times New Roman"/>
        </w:rPr>
        <w:t>本磋商文件适用于本文件</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REF _Ref477961348 \h </w:instrText>
      </w:r>
      <w:r>
        <w:rPr>
          <w:rFonts w:ascii="Times New Roman" w:hAnsi="Times New Roman" w:cs="Times New Roman"/>
        </w:rPr>
        <w:fldChar w:fldCharType="separate"/>
      </w:r>
      <w:r>
        <w:rPr>
          <w:rFonts w:ascii="Times New Roman" w:hAnsi="Times New Roman" w:eastAsiaTheme="majorEastAsia"/>
        </w:rPr>
        <w:t>第五部分磋商货物、服务的具体需求</w: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定义</w:t>
      </w:r>
    </w:p>
    <w:p>
      <w:pPr>
        <w:pStyle w:val="114"/>
        <w:rPr>
          <w:rFonts w:ascii="Times New Roman" w:hAnsi="Times New Roman" w:cs="Times New Roman"/>
        </w:rPr>
      </w:pPr>
      <w:r>
        <w:rPr>
          <w:rFonts w:ascii="Times New Roman" w:hAnsi="Times New Roman" w:cs="Times New Roman"/>
        </w:rPr>
        <w:t>“采购人”名称详见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第</w:t>
      </w:r>
      <w:r>
        <w:rPr>
          <w:rFonts w:ascii="Times New Roman" w:hAnsi="Times New Roman" w:cs="Times New Roman"/>
        </w:rPr>
        <w:fldChar w:fldCharType="begin"/>
      </w:r>
      <w:r>
        <w:rPr>
          <w:rFonts w:ascii="Times New Roman" w:hAnsi="Times New Roman" w:cs="Times New Roman"/>
        </w:rPr>
        <w:instrText xml:space="preserve"> REF _Ref477961867 \r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条。</w:t>
      </w:r>
    </w:p>
    <w:p>
      <w:pPr>
        <w:pStyle w:val="114"/>
        <w:rPr>
          <w:rFonts w:ascii="Times New Roman" w:hAnsi="Times New Roman" w:cs="Times New Roman"/>
        </w:rPr>
      </w:pPr>
      <w:r>
        <w:rPr>
          <w:rFonts w:ascii="Times New Roman" w:hAnsi="Times New Roman" w:cs="Times New Roman"/>
        </w:rPr>
        <w:t>“磋商货物”指本磋商文件中</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REF _Ref477961348 \h </w:instrText>
      </w:r>
      <w:r>
        <w:rPr>
          <w:rFonts w:ascii="Times New Roman" w:hAnsi="Times New Roman" w:cs="Times New Roman"/>
        </w:rPr>
        <w:fldChar w:fldCharType="separate"/>
      </w:r>
      <w:r>
        <w:rPr>
          <w:rFonts w:ascii="Times New Roman" w:hAnsi="Times New Roman" w:eastAsiaTheme="majorEastAsia"/>
        </w:rPr>
        <w:t>第五部分磋商货物、服务的具体需求</w: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t>中所述所有货物。</w:t>
      </w:r>
    </w:p>
    <w:p>
      <w:pPr>
        <w:pStyle w:val="114"/>
        <w:rPr>
          <w:rFonts w:ascii="Times New Roman" w:hAnsi="Times New Roman" w:cs="Times New Roman"/>
        </w:rPr>
      </w:pPr>
      <w:r>
        <w:rPr>
          <w:rFonts w:ascii="Times New Roman" w:hAnsi="Times New Roman" w:cs="Times New Roman"/>
        </w:rPr>
        <w:t>“服务”指本磋商文件</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REF _Ref477961348 \h </w:instrText>
      </w:r>
      <w:r>
        <w:rPr>
          <w:rFonts w:ascii="Times New Roman" w:hAnsi="Times New Roman" w:cs="Times New Roman"/>
        </w:rPr>
        <w:fldChar w:fldCharType="separate"/>
      </w:r>
      <w:r>
        <w:rPr>
          <w:rFonts w:ascii="Times New Roman" w:hAnsi="Times New Roman" w:eastAsiaTheme="majorEastAsia"/>
        </w:rPr>
        <w:t>第五部分磋商货物、服务的具体需求</w: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t>中所述响应人应该履行的承诺和义务。</w:t>
      </w:r>
    </w:p>
    <w:p>
      <w:pPr>
        <w:pStyle w:val="114"/>
        <w:rPr>
          <w:rFonts w:ascii="Times New Roman" w:hAnsi="Times New Roman" w:cs="Times New Roman"/>
        </w:rPr>
      </w:pPr>
      <w:r>
        <w:rPr>
          <w:rFonts w:ascii="Times New Roman" w:hAnsi="Times New Roman" w:cs="Times New Roman"/>
        </w:rPr>
        <w:t>“潜在响应人”指符合本磋商文件各项规定的合格供应商。</w:t>
      </w:r>
    </w:p>
    <w:p>
      <w:pPr>
        <w:pStyle w:val="114"/>
        <w:rPr>
          <w:rFonts w:ascii="Times New Roman" w:hAnsi="Times New Roman" w:cs="Times New Roman"/>
        </w:rPr>
      </w:pPr>
      <w:r>
        <w:rPr>
          <w:rFonts w:ascii="Times New Roman" w:hAnsi="Times New Roman" w:cs="Times New Roman"/>
        </w:rPr>
        <w:t>“响应人”指符合本磋商文件规定并参加响应的供应商。</w:t>
      </w:r>
    </w:p>
    <w:p>
      <w:pPr>
        <w:pStyle w:val="114"/>
        <w:rPr>
          <w:rFonts w:ascii="Times New Roman" w:hAnsi="Times New Roman" w:cs="Times New Roman"/>
        </w:rPr>
      </w:pPr>
      <w:r>
        <w:rPr>
          <w:rFonts w:ascii="Times New Roman" w:hAnsi="Times New Roman" w:cs="Times New Roman"/>
        </w:rPr>
        <w:t>本磋商文件各部分规定的期间以时、日、月、年计算。期间开始的时和日，不计算在期间内，而从次日开始计算。期间届满的最后一天是节假日的，以节假日后的第一日为期间届满的日期。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合格响应人的条件</w:t>
      </w:r>
    </w:p>
    <w:p>
      <w:pPr>
        <w:pStyle w:val="114"/>
        <w:rPr>
          <w:rFonts w:ascii="Times New Roman" w:hAnsi="Times New Roman" w:cs="Times New Roman"/>
        </w:rPr>
      </w:pPr>
      <w:r>
        <w:rPr>
          <w:rFonts w:ascii="Times New Roman" w:hAnsi="Times New Roman" w:cs="Times New Roman"/>
        </w:rPr>
        <w:t>具有本项目生产、制造、供应及/或实施能力，符合、承认并承诺履行本磋商文件各项规定的国内供应商均可参加响应。</w:t>
      </w:r>
    </w:p>
    <w:p>
      <w:pPr>
        <w:pStyle w:val="114"/>
        <w:rPr>
          <w:rFonts w:ascii="Times New Roman" w:hAnsi="Times New Roman" w:cs="Times New Roman"/>
        </w:rPr>
      </w:pPr>
      <w:r>
        <w:rPr>
          <w:rFonts w:ascii="Times New Roman" w:hAnsi="Times New Roman" w:cs="Times New Roman"/>
        </w:rP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114"/>
        <w:rPr>
          <w:rFonts w:ascii="Times New Roman" w:hAnsi="Times New Roman" w:cs="Times New Roman"/>
        </w:rPr>
      </w:pPr>
      <w:r>
        <w:rPr>
          <w:rFonts w:ascii="Times New Roman" w:hAnsi="Times New Roman" w:cs="Times New Roman"/>
        </w:rPr>
        <w:t>响应人应遵守有关的国家法律、法规和条例，具备《中华人民共和国政府采购法》和本磋商文件中规定的条件：</w:t>
      </w:r>
    </w:p>
    <w:p>
      <w:pPr>
        <w:numPr>
          <w:ilvl w:val="0"/>
          <w:numId w:val="16"/>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16"/>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16"/>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16"/>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pPr>
        <w:numPr>
          <w:ilvl w:val="0"/>
          <w:numId w:val="16"/>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numPr>
          <w:ilvl w:val="0"/>
          <w:numId w:val="16"/>
        </w:numPr>
        <w:spacing w:line="400" w:lineRule="exact"/>
        <w:textAlignment w:val="auto"/>
        <w:rPr>
          <w:rFonts w:eastAsiaTheme="minorEastAsia"/>
          <w:sz w:val="21"/>
          <w:szCs w:val="21"/>
        </w:rPr>
      </w:pPr>
      <w:r>
        <w:rPr>
          <w:rFonts w:eastAsiaTheme="minorEastAsia"/>
          <w:sz w:val="21"/>
          <w:szCs w:val="21"/>
        </w:rPr>
        <w:t>具有</w:t>
      </w:r>
      <w:r>
        <w:fldChar w:fldCharType="begin"/>
      </w:r>
      <w:r>
        <w:instrText xml:space="preserve"> REF 响应人须知前附表 \h  \* MERGEFORMAT </w:instrText>
      </w:r>
      <w:r>
        <w:fldChar w:fldCharType="separate"/>
      </w:r>
      <w:r>
        <w:rPr>
          <w:rFonts w:eastAsiaTheme="majorEastAsia"/>
          <w:kern w:val="2"/>
          <w:sz w:val="21"/>
          <w:u w:val="single"/>
        </w:rPr>
        <w:t>响应人须知前附表</w:t>
      </w:r>
      <w:r>
        <w:rPr>
          <w:rFonts w:eastAsiaTheme="majorEastAsia"/>
          <w:kern w:val="2"/>
          <w:sz w:val="21"/>
          <w:u w:val="single"/>
        </w:rPr>
        <w:fldChar w:fldCharType="end"/>
      </w:r>
      <w:r>
        <w:rPr>
          <w:rFonts w:eastAsiaTheme="minorEastAsia"/>
          <w:sz w:val="21"/>
          <w:szCs w:val="21"/>
          <w:u w:val="single"/>
        </w:rPr>
        <w:t>第</w:t>
      </w:r>
      <w:r>
        <w:fldChar w:fldCharType="begin"/>
      </w:r>
      <w:r>
        <w:instrText xml:space="preserve"> REF _Ref477459456 \r \h  \* MERGEFORMAT </w:instrText>
      </w:r>
      <w:r>
        <w:fldChar w:fldCharType="separate"/>
      </w:r>
      <w:r>
        <w:rPr>
          <w:rFonts w:eastAsiaTheme="minorEastAsia"/>
          <w:sz w:val="21"/>
          <w:szCs w:val="21"/>
          <w:u w:val="single"/>
        </w:rPr>
        <w:t>2</w:t>
      </w:r>
      <w:r>
        <w:rPr>
          <w:rFonts w:eastAsiaTheme="minorEastAsia"/>
          <w:sz w:val="21"/>
          <w:szCs w:val="21"/>
          <w:u w:val="single"/>
        </w:rPr>
        <w:fldChar w:fldCharType="end"/>
      </w:r>
      <w:r>
        <w:rPr>
          <w:rFonts w:eastAsiaTheme="minorEastAsia"/>
          <w:sz w:val="21"/>
          <w:szCs w:val="21"/>
          <w:u w:val="single"/>
        </w:rPr>
        <w:t>条</w:t>
      </w:r>
      <w:r>
        <w:rPr>
          <w:rFonts w:eastAsiaTheme="minorEastAsia"/>
          <w:sz w:val="21"/>
          <w:szCs w:val="21"/>
        </w:rPr>
        <w:t>规定的资质条件。</w:t>
      </w:r>
    </w:p>
    <w:p>
      <w:pPr>
        <w:pStyle w:val="114"/>
        <w:rPr>
          <w:rFonts w:ascii="Times New Roman" w:hAnsi="Times New Roman" w:cs="Times New Roman"/>
        </w:rPr>
      </w:pPr>
      <w:r>
        <w:rPr>
          <w:rFonts w:ascii="Times New Roman" w:hAnsi="Times New Roman" w:cs="Times New Roman"/>
        </w:rP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中“</w:t>
      </w:r>
      <w:r>
        <w:fldChar w:fldCharType="begin"/>
      </w:r>
      <w:r>
        <w:instrText xml:space="preserve"> REF 是否允许代理商响应 \h  \* MERGEFORMAT </w:instrText>
      </w:r>
      <w:r>
        <w:fldChar w:fldCharType="separate"/>
      </w:r>
      <w:r>
        <w:rPr>
          <w:rFonts w:ascii="Times New Roman" w:hAnsi="Times New Roman" w:cs="Times New Roman"/>
          <w:szCs w:val="21"/>
        </w:rPr>
        <w:t>是否允许代理商响应</w:t>
      </w:r>
      <w:r>
        <w:rPr>
          <w:rFonts w:ascii="Times New Roman" w:hAnsi="Times New Roman" w:cs="Times New Roman"/>
          <w:szCs w:val="21"/>
        </w:rPr>
        <w:fldChar w:fldCharType="end"/>
      </w:r>
      <w:r>
        <w:rPr>
          <w:rFonts w:ascii="Times New Roman" w:hAnsi="Times New Roman" w:cs="Times New Roman"/>
        </w:rPr>
        <w:t>”。多家代理商参加同一品牌产品响应的处理规则详见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中“</w:t>
      </w:r>
      <w:r>
        <w:fldChar w:fldCharType="begin"/>
      </w:r>
      <w:r>
        <w:instrText xml:space="preserve"> REF 代理商应提交的材料 \h  \* MERGEFORMAT </w:instrText>
      </w:r>
      <w:r>
        <w:fldChar w:fldCharType="separate"/>
      </w:r>
      <w:r>
        <w:rPr>
          <w:rFonts w:ascii="Times New Roman" w:hAnsi="Times New Roman" w:cs="Times New Roman"/>
          <w:szCs w:val="21"/>
        </w:rPr>
        <w:t>代理商应提交资料</w:t>
      </w:r>
      <w:r>
        <w:rPr>
          <w:rFonts w:ascii="Times New Roman" w:hAnsi="Times New Roman" w:cs="Times New Roman"/>
          <w:szCs w:val="21"/>
        </w:rPr>
        <w:fldChar w:fldCharType="end"/>
      </w:r>
      <w:r>
        <w:rPr>
          <w:rFonts w:ascii="Times New Roman" w:hAnsi="Times New Roman" w:cs="Times New Roman"/>
        </w:rPr>
        <w:t>”。如果允许代理商响应，代理商应遵守下列要求：</w:t>
      </w:r>
    </w:p>
    <w:p>
      <w:pPr>
        <w:numPr>
          <w:ilvl w:val="0"/>
          <w:numId w:val="17"/>
        </w:numPr>
        <w:spacing w:line="400" w:lineRule="exact"/>
        <w:textAlignment w:val="auto"/>
        <w:rPr>
          <w:rFonts w:eastAsiaTheme="minorEastAsia"/>
          <w:sz w:val="21"/>
          <w:szCs w:val="21"/>
        </w:rPr>
      </w:pPr>
      <w:r>
        <w:rPr>
          <w:rFonts w:eastAsiaTheme="minorEastAsia"/>
          <w:sz w:val="21"/>
          <w:szCs w:val="21"/>
        </w:rPr>
        <w:t>按</w:t>
      </w:r>
      <w:r>
        <w:fldChar w:fldCharType="begin"/>
      </w:r>
      <w:r>
        <w:instrText xml:space="preserve"> REF 响应人须知前附表 \h  \* MERGEFORMAT </w:instrText>
      </w:r>
      <w:r>
        <w:fldChar w:fldCharType="separate"/>
      </w:r>
      <w:r>
        <w:rPr>
          <w:rFonts w:eastAsiaTheme="majorEastAsia"/>
          <w:kern w:val="2"/>
          <w:sz w:val="21"/>
        </w:rPr>
        <w:t>响应人须知前附表</w:t>
      </w:r>
      <w:r>
        <w:rPr>
          <w:rFonts w:eastAsiaTheme="majorEastAsia"/>
          <w:kern w:val="2"/>
          <w:sz w:val="21"/>
        </w:rPr>
        <w:fldChar w:fldCharType="end"/>
      </w:r>
      <w:r>
        <w:rPr>
          <w:sz w:val="21"/>
        </w:rPr>
        <w:t>中“</w:t>
      </w:r>
      <w:r>
        <w:fldChar w:fldCharType="begin"/>
      </w:r>
      <w:r>
        <w:instrText xml:space="preserve"> REF 代理商应提交的材料 \h  \* MERGEFORMAT </w:instrText>
      </w:r>
      <w:r>
        <w:fldChar w:fldCharType="separate"/>
      </w:r>
      <w:r>
        <w:rPr>
          <w:rFonts w:eastAsiaTheme="minorEastAsia"/>
          <w:sz w:val="21"/>
          <w:szCs w:val="21"/>
        </w:rPr>
        <w:t>代理商应提交资料</w:t>
      </w:r>
      <w:r>
        <w:rPr>
          <w:rFonts w:eastAsiaTheme="minorEastAsia"/>
          <w:sz w:val="21"/>
          <w:szCs w:val="21"/>
        </w:rPr>
        <w:fldChar w:fldCharType="end"/>
      </w:r>
      <w:r>
        <w:t>”</w:t>
      </w:r>
      <w:r>
        <w:rPr>
          <w:rFonts w:eastAsiaTheme="minorEastAsia"/>
          <w:sz w:val="21"/>
          <w:szCs w:val="21"/>
        </w:rPr>
        <w:t>规定提供相关证明材料。</w:t>
      </w:r>
    </w:p>
    <w:p>
      <w:pPr>
        <w:numPr>
          <w:ilvl w:val="0"/>
          <w:numId w:val="17"/>
        </w:numPr>
        <w:spacing w:line="400" w:lineRule="exact"/>
        <w:textAlignment w:val="auto"/>
        <w:rPr>
          <w:rFonts w:eastAsiaTheme="minorEastAsia"/>
          <w:sz w:val="21"/>
          <w:szCs w:val="21"/>
        </w:rPr>
      </w:pPr>
      <w:r>
        <w:rPr>
          <w:rFonts w:eastAsiaTheme="minorEastAsia"/>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rFonts w:eastAsiaTheme="majorEastAsia"/>
          <w:kern w:val="2"/>
          <w:sz w:val="21"/>
          <w:szCs w:val="21"/>
        </w:rPr>
        <w:t>响应人须知前附表</w:t>
      </w:r>
      <w:r>
        <w:rPr>
          <w:rFonts w:eastAsiaTheme="majorEastAsia"/>
          <w:kern w:val="2"/>
          <w:sz w:val="21"/>
          <w:szCs w:val="21"/>
        </w:rPr>
        <w:fldChar w:fldCharType="end"/>
      </w:r>
      <w:r>
        <w:rPr>
          <w:sz w:val="21"/>
          <w:szCs w:val="21"/>
        </w:rPr>
        <w:t>中“</w:t>
      </w:r>
      <w:r>
        <w:fldChar w:fldCharType="begin"/>
      </w:r>
      <w:r>
        <w:instrText xml:space="preserve"> REF 本次采购是否需要提供厂家授权的产品或服务清单 \h  \* MERGEFORMAT </w:instrText>
      </w:r>
      <w:r>
        <w:fldChar w:fldCharType="separate"/>
      </w:r>
      <w:r>
        <w:rPr>
          <w:rFonts w:eastAsiaTheme="minorEastAsia"/>
          <w:sz w:val="21"/>
          <w:szCs w:val="21"/>
        </w:rPr>
        <w:t>本次采购是否需要提供厂家授权的产品或服务清单</w:t>
      </w:r>
      <w:r>
        <w:rPr>
          <w:rFonts w:eastAsiaTheme="minorEastAsia"/>
          <w:sz w:val="21"/>
          <w:szCs w:val="21"/>
        </w:rPr>
        <w:fldChar w:fldCharType="end"/>
      </w:r>
      <w:r>
        <w:t>”</w:t>
      </w:r>
      <w:r>
        <w:rPr>
          <w:rFonts w:eastAsiaTheme="minorEastAsia"/>
          <w:sz w:val="21"/>
          <w:szCs w:val="21"/>
        </w:rPr>
        <w:t>所列设备提供有效的生产制造厂商授权。</w:t>
      </w:r>
    </w:p>
    <w:p>
      <w:pPr>
        <w:pStyle w:val="114"/>
        <w:rPr>
          <w:rFonts w:ascii="Times New Roman" w:hAnsi="Times New Roman" w:cs="Times New Roman"/>
        </w:rPr>
      </w:pPr>
      <w:r>
        <w:rPr>
          <w:rFonts w:ascii="Times New Roman" w:hAnsi="Times New Roman" w:cs="Times New Roman"/>
        </w:rPr>
        <w:t>具有法人资格且与其他法人具有控股关联关系的响应人的特别规则如下：</w:t>
      </w:r>
    </w:p>
    <w:p>
      <w:pPr>
        <w:numPr>
          <w:ilvl w:val="0"/>
          <w:numId w:val="18"/>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18"/>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18"/>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114"/>
        <w:rPr>
          <w:rFonts w:ascii="Times New Roman" w:hAnsi="Times New Roman" w:cs="Times New Roman"/>
        </w:rPr>
      </w:pPr>
      <w:r>
        <w:rPr>
          <w:rFonts w:ascii="Times New Roman" w:hAnsi="Times New Roman" w:cs="Times New Roman"/>
        </w:rP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中“</w:t>
      </w:r>
      <w:r>
        <w:fldChar w:fldCharType="begin"/>
      </w:r>
      <w:r>
        <w:instrText xml:space="preserve"> REF 是否允许联合体响应 \h  \* MERGEFORMAT </w:instrText>
      </w:r>
      <w:r>
        <w:fldChar w:fldCharType="separate"/>
      </w:r>
      <w:r>
        <w:rPr>
          <w:rFonts w:ascii="Times New Roman" w:hAnsi="Times New Roman" w:cs="Times New Roman"/>
          <w:szCs w:val="21"/>
        </w:rPr>
        <w:t>是否允许联合体响应</w:t>
      </w:r>
      <w:r>
        <w:rPr>
          <w:rFonts w:ascii="Times New Roman" w:hAnsi="Times New Roman" w:cs="Times New Roman"/>
          <w:szCs w:val="21"/>
        </w:rPr>
        <w:fldChar w:fldCharType="end"/>
      </w:r>
      <w:r>
        <w:rPr>
          <w:rFonts w:ascii="Times New Roman" w:hAnsi="Times New Roman" w:cs="Times New Roman"/>
        </w:rPr>
        <w:t>”。如果允许联合体响应，联合体各方除符合上述规定外，还应符合下列要求：</w:t>
      </w:r>
    </w:p>
    <w:p>
      <w:pPr>
        <w:numPr>
          <w:ilvl w:val="0"/>
          <w:numId w:val="19"/>
        </w:numPr>
        <w:spacing w:line="400" w:lineRule="exact"/>
        <w:textAlignment w:val="auto"/>
        <w:rPr>
          <w:rFonts w:eastAsiaTheme="minorEastAsia"/>
          <w:sz w:val="21"/>
          <w:szCs w:val="21"/>
        </w:rPr>
      </w:pPr>
      <w:r>
        <w:rPr>
          <w:rFonts w:eastAsiaTheme="minorEastAsia"/>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19"/>
        </w:numPr>
        <w:spacing w:line="400" w:lineRule="exact"/>
        <w:textAlignment w:val="auto"/>
        <w:rPr>
          <w:rFonts w:eastAsiaTheme="minorEastAsia"/>
          <w:sz w:val="21"/>
          <w:szCs w:val="21"/>
        </w:rPr>
      </w:pPr>
      <w:r>
        <w:rPr>
          <w:rFonts w:eastAsiaTheme="minorEastAsia"/>
          <w:sz w:val="21"/>
          <w:szCs w:val="21"/>
        </w:rPr>
        <w:t>由同一专业的响应人组成的联合体，按照资质等级较低的响应人确定资质等级。</w:t>
      </w:r>
    </w:p>
    <w:p>
      <w:pPr>
        <w:numPr>
          <w:ilvl w:val="0"/>
          <w:numId w:val="19"/>
        </w:numPr>
        <w:spacing w:line="400" w:lineRule="exact"/>
        <w:textAlignment w:val="auto"/>
        <w:rPr>
          <w:rFonts w:eastAsiaTheme="minorEastAsia"/>
          <w:sz w:val="21"/>
          <w:szCs w:val="21"/>
        </w:rPr>
      </w:pPr>
      <w:r>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19"/>
        </w:numPr>
        <w:spacing w:line="400" w:lineRule="exact"/>
        <w:textAlignment w:val="auto"/>
        <w:rPr>
          <w:rFonts w:eastAsiaTheme="minorEastAsia"/>
          <w:sz w:val="21"/>
          <w:szCs w:val="21"/>
        </w:rPr>
      </w:pPr>
      <w:r>
        <w:rPr>
          <w:rFonts w:eastAsiaTheme="minorEastAsia"/>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19"/>
        </w:numPr>
        <w:spacing w:line="400" w:lineRule="exact"/>
        <w:textAlignment w:val="auto"/>
        <w:rPr>
          <w:rFonts w:eastAsiaTheme="minorEastAsia"/>
          <w:sz w:val="21"/>
          <w:szCs w:val="21"/>
        </w:rPr>
      </w:pPr>
      <w:r>
        <w:rPr>
          <w:rFonts w:eastAsiaTheme="minorEastAsia"/>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19"/>
        </w:numPr>
        <w:spacing w:line="400" w:lineRule="exact"/>
        <w:textAlignment w:val="auto"/>
        <w:rPr>
          <w:rFonts w:eastAsiaTheme="minorEastAsia"/>
          <w:sz w:val="21"/>
          <w:szCs w:val="21"/>
        </w:rPr>
      </w:pPr>
      <w:r>
        <w:rPr>
          <w:rFonts w:eastAsiaTheme="minorEastAsia"/>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19"/>
        </w:numPr>
        <w:spacing w:line="400" w:lineRule="exact"/>
        <w:textAlignment w:val="auto"/>
        <w:rPr>
          <w:rFonts w:eastAsiaTheme="minorEastAsia"/>
          <w:sz w:val="21"/>
          <w:szCs w:val="21"/>
        </w:rPr>
      </w:pPr>
      <w:r>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114"/>
        <w:rPr>
          <w:rFonts w:ascii="Times New Roman" w:hAnsi="Times New Roman" w:cs="Times New Roman"/>
        </w:rPr>
      </w:pPr>
      <w:r>
        <w:rPr>
          <w:rFonts w:ascii="Times New Roman" w:hAnsi="Times New Roman" w:cs="Times New Roman"/>
        </w:rPr>
        <w:t>如响应人代表不是法定代表人，须持有《法定代表人授权委托书》（按磋商文件格式填写）。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响应费用</w:t>
      </w:r>
    </w:p>
    <w:p>
      <w:pPr>
        <w:pStyle w:val="114"/>
        <w:rPr>
          <w:rFonts w:ascii="Times New Roman" w:hAnsi="Times New Roman" w:cs="Times New Roman"/>
        </w:rPr>
      </w:pPr>
      <w:r>
        <w:rPr>
          <w:rFonts w:ascii="Times New Roman" w:hAnsi="Times New Roman" w:cs="Times New Roman"/>
        </w:rPr>
        <w:t>响应人应承担所有与准备和参加响应有关的费用，采购人在任何情况下均无义务和责任承担这些费用。</w:t>
      </w:r>
    </w:p>
    <w:p>
      <w:pPr>
        <w:pStyle w:val="93"/>
        <w:numPr>
          <w:ilvl w:val="0"/>
          <w:numId w:val="0"/>
        </w:numPr>
        <w:tabs>
          <w:tab w:val="left" w:pos="420"/>
        </w:tabs>
        <w:spacing w:line="400" w:lineRule="exact"/>
        <w:ind w:firstLine="420" w:firstLineChars="200"/>
        <w:rPr>
          <w:rFonts w:ascii="Times New Roman" w:hAnsi="Times New Roman" w:eastAsiaTheme="minorEastAsia"/>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通知</w:t>
      </w:r>
    </w:p>
    <w:p>
      <w:pPr>
        <w:pStyle w:val="114"/>
        <w:rPr>
          <w:rFonts w:ascii="Times New Roman" w:hAnsi="Times New Roman" w:cs="Times New Roman"/>
        </w:rPr>
      </w:pPr>
      <w:r>
        <w:rPr>
          <w:rFonts w:ascii="Times New Roman" w:hAnsi="Times New Roman" w:cs="Times New Roman"/>
        </w:rP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5"/>
        </w:numPr>
        <w:adjustRightInd/>
        <w:spacing w:line="415" w:lineRule="auto"/>
        <w:jc w:val="both"/>
        <w:textAlignment w:val="auto"/>
        <w:rPr>
          <w:rFonts w:eastAsiaTheme="minorEastAsia"/>
          <w:kern w:val="2"/>
        </w:rPr>
      </w:pPr>
      <w:bookmarkStart w:id="62" w:name="_Toc477459642"/>
      <w:r>
        <w:rPr>
          <w:rFonts w:eastAsiaTheme="minorEastAsia"/>
          <w:kern w:val="2"/>
        </w:rPr>
        <w:t>磋商文件</w:t>
      </w:r>
      <w:bookmarkEnd w:id="62"/>
    </w:p>
    <w:p>
      <w:pPr>
        <w:pStyle w:val="5"/>
        <w:numPr>
          <w:ilvl w:val="0"/>
          <w:numId w:val="20"/>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磋商文件</w:t>
      </w:r>
    </w:p>
    <w:p>
      <w:pPr>
        <w:pStyle w:val="114"/>
        <w:rPr>
          <w:rFonts w:ascii="Times New Roman" w:hAnsi="Times New Roman" w:cs="Times New Roman"/>
        </w:rPr>
      </w:pPr>
      <w:r>
        <w:rPr>
          <w:rFonts w:ascii="Times New Roman" w:hAnsi="Times New Roman" w:cs="Times New Roman"/>
        </w:rPr>
        <w:t>磋商文件由下列六部分内容组成：</w:t>
      </w:r>
    </w:p>
    <w:p>
      <w:pPr>
        <w:pStyle w:val="114"/>
        <w:rPr>
          <w:rFonts w:ascii="Times New Roman" w:hAnsi="Times New Roman" w:cs="Times New Roman"/>
        </w:rPr>
      </w:pPr>
      <w:r>
        <w:rPr>
          <w:rFonts w:ascii="Times New Roman" w:hAnsi="Times New Roman" w:cs="Times New Roman"/>
        </w:rPr>
        <w:t>第一部分</w:t>
      </w:r>
      <w:r>
        <w:fldChar w:fldCharType="begin"/>
      </w:r>
      <w:r>
        <w:instrText xml:space="preserve"> REF 响应邀请 \h  \* MERGEFORMAT </w:instrText>
      </w:r>
      <w:r>
        <w:fldChar w:fldCharType="separate"/>
      </w:r>
      <w:r>
        <w:rPr>
          <w:rFonts w:ascii="Times New Roman" w:hAnsi="Times New Roman" w:cs="Times New Roman" w:eastAsiaTheme="majorEastAsia"/>
        </w:rPr>
        <w:t>响应邀请</w:t>
      </w:r>
      <w:r>
        <w:rPr>
          <w:rFonts w:ascii="Times New Roman" w:hAnsi="Times New Roman" w:cs="Times New Roman" w:eastAsiaTheme="majorEastAsia"/>
        </w:rPr>
        <w:fldChar w:fldCharType="end"/>
      </w:r>
      <w:r>
        <w:rPr>
          <w:rFonts w:ascii="Times New Roman" w:hAnsi="Times New Roman" w:cs="Times New Roman"/>
        </w:rPr>
        <w:t>；</w:t>
      </w:r>
    </w:p>
    <w:p>
      <w:pPr>
        <w:pStyle w:val="114"/>
        <w:rPr>
          <w:rFonts w:ascii="Times New Roman" w:hAnsi="Times New Roman" w:cs="Times New Roman"/>
        </w:rPr>
      </w:pPr>
      <w:r>
        <w:rPr>
          <w:rFonts w:ascii="Times New Roman" w:hAnsi="Times New Roman" w:cs="Times New Roman"/>
        </w:rPr>
        <w:t>第二部分</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w:t>
      </w:r>
    </w:p>
    <w:p>
      <w:pPr>
        <w:pStyle w:val="114"/>
        <w:rPr>
          <w:rFonts w:ascii="Times New Roman" w:hAnsi="Times New Roman" w:cs="Times New Roman"/>
        </w:rPr>
      </w:pPr>
      <w:r>
        <w:rPr>
          <w:rFonts w:ascii="Times New Roman" w:hAnsi="Times New Roman" w:cs="Times New Roman"/>
        </w:rPr>
        <w:t>第三部分</w:t>
      </w:r>
      <w:r>
        <w:fldChar w:fldCharType="begin"/>
      </w:r>
      <w:r>
        <w:instrText xml:space="preserve"> REF 响应人须知 \h  \* MERGEFORMAT </w:instrText>
      </w:r>
      <w:r>
        <w:fldChar w:fldCharType="separate"/>
      </w:r>
      <w:r>
        <w:rPr>
          <w:rFonts w:ascii="Times New Roman" w:hAnsi="Times New Roman" w:cs="Times New Roman" w:eastAsiaTheme="majorEastAsia"/>
        </w:rPr>
        <w:t>响应人须知</w:t>
      </w:r>
      <w:r>
        <w:rPr>
          <w:rFonts w:ascii="Times New Roman" w:hAnsi="Times New Roman" w:cs="Times New Roman" w:eastAsiaTheme="majorEastAsia"/>
        </w:rPr>
        <w:fldChar w:fldCharType="end"/>
      </w:r>
      <w:r>
        <w:rPr>
          <w:rFonts w:ascii="Times New Roman" w:hAnsi="Times New Roman" w:cs="Times New Roman"/>
        </w:rPr>
        <w:t>；</w:t>
      </w:r>
    </w:p>
    <w:p>
      <w:pPr>
        <w:pStyle w:val="114"/>
        <w:rPr>
          <w:rFonts w:ascii="Times New Roman" w:hAnsi="Times New Roman" w:cs="Times New Roman"/>
        </w:rPr>
      </w:pPr>
      <w:r>
        <w:rPr>
          <w:rFonts w:ascii="Times New Roman" w:hAnsi="Times New Roman" w:cs="Times New Roman"/>
        </w:rPr>
        <w:t>第四部分</w:t>
      </w:r>
      <w:r>
        <w:fldChar w:fldCharType="begin"/>
      </w:r>
      <w:r>
        <w:instrText xml:space="preserve"> REF 评标标准和评标办法 \h  \* MERGEFORMAT </w:instrText>
      </w:r>
      <w:r>
        <w:fldChar w:fldCharType="separate"/>
      </w:r>
      <w:r>
        <w:rPr>
          <w:rFonts w:ascii="Times New Roman" w:hAnsi="Times New Roman" w:cs="Times New Roman" w:eastAsiaTheme="majorEastAsia"/>
        </w:rPr>
        <w:t>评标标准和评标办法</w:t>
      </w:r>
      <w:r>
        <w:rPr>
          <w:rFonts w:ascii="Times New Roman" w:hAnsi="Times New Roman" w:cs="Times New Roman" w:eastAsiaTheme="majorEastAsia"/>
        </w:rPr>
        <w:fldChar w:fldCharType="end"/>
      </w:r>
      <w:r>
        <w:rPr>
          <w:rFonts w:ascii="Times New Roman" w:hAnsi="Times New Roman" w:cs="Times New Roman"/>
        </w:rPr>
        <w:t>；</w:t>
      </w:r>
    </w:p>
    <w:p>
      <w:pPr>
        <w:pStyle w:val="114"/>
        <w:rPr>
          <w:rFonts w:ascii="Times New Roman" w:hAnsi="Times New Roman" w:cs="Times New Roman"/>
        </w:rPr>
      </w:pPr>
      <w:r>
        <w:rPr>
          <w:rFonts w:ascii="Times New Roman" w:hAnsi="Times New Roman" w:cs="Times New Roman"/>
        </w:rPr>
        <w:t>第五部分</w:t>
      </w:r>
      <w:r>
        <w:fldChar w:fldCharType="begin"/>
      </w:r>
      <w:r>
        <w:instrText xml:space="preserve"> REF 磋商服务具体需求 \h  \* MERGEFORMAT </w:instrText>
      </w:r>
      <w:r>
        <w:fldChar w:fldCharType="separate"/>
      </w:r>
      <w:r>
        <w:rPr>
          <w:rFonts w:ascii="Times New Roman" w:hAnsi="Times New Roman" w:cs="Times New Roman" w:eastAsiaTheme="majorEastAsia"/>
        </w:rPr>
        <w:t>磋商货物、服务的具体需求</w:t>
      </w:r>
      <w:r>
        <w:rPr>
          <w:rFonts w:ascii="Times New Roman" w:hAnsi="Times New Roman" w:cs="Times New Roman" w:eastAsiaTheme="majorEastAsia"/>
        </w:rPr>
        <w:fldChar w:fldCharType="end"/>
      </w:r>
      <w:r>
        <w:rPr>
          <w:rFonts w:ascii="Times New Roman" w:hAnsi="Times New Roman" w:cs="Times New Roman"/>
        </w:rPr>
        <w:t>；</w:t>
      </w:r>
    </w:p>
    <w:p>
      <w:pPr>
        <w:pStyle w:val="114"/>
        <w:rPr>
          <w:rFonts w:ascii="Times New Roman" w:hAnsi="Times New Roman" w:cs="Times New Roman"/>
          <w:szCs w:val="21"/>
        </w:rPr>
      </w:pPr>
      <w:r>
        <w:rPr>
          <w:rFonts w:ascii="Times New Roman" w:hAnsi="Times New Roman" w:cs="Times New Roman"/>
        </w:rPr>
        <w:t>第六部分</w:t>
      </w:r>
      <w:r>
        <w:fldChar w:fldCharType="begin"/>
      </w:r>
      <w:r>
        <w:instrText xml:space="preserve"> REF 响应文件格式 \h  \* MERGEFORMAT </w:instrText>
      </w:r>
      <w:r>
        <w:fldChar w:fldCharType="separate"/>
      </w:r>
      <w:r>
        <w:rPr>
          <w:rFonts w:ascii="Times New Roman" w:hAnsi="Times New Roman" w:cs="Times New Roman" w:eastAsiaTheme="majorEastAsia"/>
        </w:rPr>
        <w:t>响应文件格式</w:t>
      </w:r>
      <w:r>
        <w:rPr>
          <w:rFonts w:ascii="Times New Roman" w:hAnsi="Times New Roman" w:cs="Times New Roman" w:eastAsiaTheme="majorEastAsia"/>
        </w:rPr>
        <w:fldChar w:fldCharType="end"/>
      </w:r>
      <w:r>
        <w:rPr>
          <w:rFonts w:ascii="Times New Roman" w:hAnsi="Times New Roman" w:cs="Times New Roman"/>
        </w:rPr>
        <w:t>；</w:t>
      </w:r>
    </w:p>
    <w:p>
      <w:pPr>
        <w:pStyle w:val="5"/>
        <w:numPr>
          <w:ilvl w:val="0"/>
          <w:numId w:val="20"/>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响应前磋商文件的澄清和修改</w:t>
      </w:r>
    </w:p>
    <w:p>
      <w:pPr>
        <w:pStyle w:val="114"/>
        <w:rPr>
          <w:rFonts w:ascii="Times New Roman" w:hAnsi="Times New Roman" w:cs="Times New Roman"/>
        </w:rPr>
      </w:pPr>
      <w:r>
        <w:rPr>
          <w:rFonts w:ascii="Times New Roman" w:hAnsi="Times New Roman" w:cs="Times New Roman"/>
        </w:rP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114"/>
        <w:rPr>
          <w:rFonts w:ascii="Times New Roman" w:hAnsi="Times New Roman" w:cs="Times New Roman"/>
        </w:rPr>
      </w:pPr>
      <w:r>
        <w:rPr>
          <w:rFonts w:ascii="Times New Roman" w:hAnsi="Times New Roman" w:cs="Times New Roman"/>
        </w:rPr>
        <w:t>磋商文件在公告之前已经在相关媒体/网站发布公告公开征求过意见的或进行过论证的，采购人可以不再接受已经征求过意见或论证的商务或技术部分响应人提出的相关澄清、修改要求。</w:t>
      </w:r>
    </w:p>
    <w:p>
      <w:pPr>
        <w:pStyle w:val="114"/>
        <w:rPr>
          <w:rFonts w:ascii="Times New Roman" w:hAnsi="Times New Roman" w:cs="Times New Roman"/>
        </w:rPr>
      </w:pPr>
      <w:r>
        <w:rPr>
          <w:rFonts w:ascii="Times New Roman" w:hAnsi="Times New Roman" w:cs="Times New Roman"/>
        </w:rP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114"/>
        <w:rPr>
          <w:rFonts w:ascii="Times New Roman" w:hAnsi="Times New Roman" w:cs="Times New Roman"/>
        </w:rPr>
      </w:pPr>
      <w:r>
        <w:rPr>
          <w:rFonts w:ascii="Times New Roman" w:hAnsi="Times New Roman" w:cs="Times New Roman"/>
        </w:rP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w:t>
      </w:r>
      <w:r>
        <w:rPr>
          <w:rFonts w:ascii="Times New Roman" w:hAnsi="Times New Roman" w:cs="Times New Roman"/>
          <w:color w:val="FF0000"/>
        </w:rPr>
        <w:t>或</w:t>
      </w:r>
      <w:r>
        <w:rPr>
          <w:rFonts w:ascii="Times New Roman" w:hAnsi="Times New Roman" w:cs="Times New Roman"/>
        </w:rPr>
        <w:t>向每一位（但不可以只向其中一部分）潜在响应人发出澄清、修改及/或进行其它答复的补充文件，补充文件中可以包括原提出的问题，但不包括问题的来源。</w:t>
      </w:r>
    </w:p>
    <w:p>
      <w:pPr>
        <w:pStyle w:val="114"/>
        <w:rPr>
          <w:rFonts w:ascii="Times New Roman" w:hAnsi="Times New Roman" w:cs="Times New Roman"/>
        </w:rPr>
      </w:pPr>
      <w:r>
        <w:rPr>
          <w:rFonts w:ascii="Times New Roman" w:hAnsi="Times New Roman" w:cs="Times New Roman"/>
        </w:rPr>
        <w:t>采购人主动进行的澄清、修改：采购人无论出于何种原因，均可主动对磋商文件中的相关事项，用补充文件的方式进行澄清和修改。</w:t>
      </w:r>
    </w:p>
    <w:p>
      <w:pPr>
        <w:pStyle w:val="114"/>
        <w:rPr>
          <w:rFonts w:ascii="Times New Roman" w:hAnsi="Times New Roman" w:cs="Times New Roman"/>
        </w:rPr>
      </w:pPr>
      <w:r>
        <w:rPr>
          <w:rFonts w:ascii="Times New Roman" w:hAnsi="Times New Roman" w:cs="Times New Roman"/>
        </w:rP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114"/>
        <w:rPr>
          <w:rFonts w:ascii="Times New Roman" w:hAnsi="Times New Roman" w:cs="Times New Roman"/>
        </w:rPr>
      </w:pPr>
      <w:r>
        <w:rPr>
          <w:rFonts w:ascii="Times New Roman" w:hAnsi="Times New Roman" w:cs="Times New Roman"/>
        </w:rP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
        <w:numPr>
          <w:ilvl w:val="0"/>
          <w:numId w:val="15"/>
        </w:numPr>
        <w:adjustRightInd/>
        <w:spacing w:line="415" w:lineRule="auto"/>
        <w:jc w:val="both"/>
        <w:textAlignment w:val="auto"/>
        <w:rPr>
          <w:rFonts w:eastAsiaTheme="minorEastAsia"/>
          <w:kern w:val="2"/>
        </w:rPr>
      </w:pPr>
      <w:bookmarkStart w:id="63" w:name="_Toc477459643"/>
      <w:r>
        <w:rPr>
          <w:rFonts w:eastAsiaTheme="minorEastAsia"/>
          <w:kern w:val="2"/>
        </w:rPr>
        <w:t>响应文件</w:t>
      </w:r>
      <w:bookmarkEnd w:id="63"/>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响应文件的语言和计量单位</w:t>
      </w:r>
    </w:p>
    <w:p>
      <w:pPr>
        <w:pStyle w:val="114"/>
        <w:rPr>
          <w:rFonts w:ascii="Times New Roman" w:hAnsi="Times New Roman" w:cs="Times New Roman"/>
        </w:rPr>
      </w:pPr>
      <w:r>
        <w:rPr>
          <w:rFonts w:ascii="Times New Roman" w:hAnsi="Times New Roman" w:cs="Times New Roman"/>
        </w:rPr>
        <w:t>响应人提交的响应文件以及响应人与采购人就有关响应的所有来往函电应使用中文简体字。</w:t>
      </w:r>
    </w:p>
    <w:p>
      <w:pPr>
        <w:pStyle w:val="114"/>
        <w:rPr>
          <w:rFonts w:ascii="Times New Roman" w:hAnsi="Times New Roman" w:cs="Times New Roman"/>
        </w:rPr>
      </w:pPr>
      <w:r>
        <w:rPr>
          <w:rFonts w:ascii="Times New Roman" w:hAnsi="Times New Roman" w:cs="Times New Roman"/>
        </w:rP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114"/>
        <w:rPr>
          <w:rFonts w:ascii="Times New Roman" w:hAnsi="Times New Roman" w:cs="Times New Roman"/>
        </w:rPr>
      </w:pPr>
      <w:r>
        <w:rPr>
          <w:rFonts w:ascii="Times New Roman" w:hAnsi="Times New Roman" w:cs="Times New Roman"/>
        </w:rPr>
        <w:t>响应文件所使用的计量单位，应使用国家法定计量单位。</w:t>
      </w:r>
    </w:p>
    <w:p>
      <w:pPr>
        <w:pStyle w:val="114"/>
        <w:rPr>
          <w:rFonts w:ascii="Times New Roman" w:hAnsi="Times New Roman" w:cs="Times New Roman"/>
          <w:szCs w:val="21"/>
        </w:rPr>
      </w:pPr>
      <w:r>
        <w:rPr>
          <w:rFonts w:ascii="Times New Roman" w:hAnsi="Times New Roman" w:cs="Times New Roman"/>
        </w:rPr>
        <w:t>对违反上述规定情形的，磋商小组有权要求响应人限期提供相应文件或决定对其响应予以拒绝。</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响应文件的组成及相关要求</w:t>
      </w:r>
    </w:p>
    <w:p>
      <w:pPr>
        <w:pStyle w:val="114"/>
        <w:rPr>
          <w:rFonts w:ascii="Times New Roman" w:hAnsi="Times New Roman" w:cs="Times New Roman"/>
        </w:rPr>
      </w:pPr>
      <w:r>
        <w:rPr>
          <w:rFonts w:ascii="Times New Roman" w:hAnsi="Times New Roman" w:cs="Times New Roman"/>
        </w:rPr>
        <w:t>响应文件分为商务部分和技术部分。</w:t>
      </w:r>
    </w:p>
    <w:p>
      <w:pPr>
        <w:pStyle w:val="114"/>
        <w:rPr>
          <w:rFonts w:ascii="Times New Roman" w:hAnsi="Times New Roman" w:cs="Times New Roman"/>
        </w:rPr>
      </w:pPr>
      <w:r>
        <w:rPr>
          <w:rFonts w:ascii="Times New Roman" w:hAnsi="Times New Roman" w:cs="Times New Roman"/>
        </w:rP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中的规定提交商务文件、技术文件和需要响应人自行编写的其他文件，其中加*项目若有实质性修改或非实质性响应，将导致响应被拒绝且不允许在响应截止后补正（具体填写要求详见磋商文件“</w:t>
      </w:r>
      <w:r>
        <w:fldChar w:fldCharType="begin"/>
      </w:r>
      <w:r>
        <w:instrText xml:space="preserve"> REF 响应文件格式 \h  \* MERGEFORMAT </w:instrText>
      </w:r>
      <w:r>
        <w:fldChar w:fldCharType="separate"/>
      </w:r>
      <w:r>
        <w:rPr>
          <w:rFonts w:ascii="Times New Roman" w:hAnsi="Times New Roman" w:cs="Times New Roman" w:eastAsiaTheme="majorEastAsia"/>
        </w:rPr>
        <w:t>响应文件格式</w:t>
      </w:r>
      <w:r>
        <w:rPr>
          <w:rFonts w:ascii="Times New Roman" w:hAnsi="Times New Roman" w:cs="Times New Roman" w:eastAsiaTheme="majorEastAsia"/>
        </w:rPr>
        <w:fldChar w:fldCharType="end"/>
      </w:r>
      <w:r>
        <w:rPr>
          <w:rFonts w:ascii="Times New Roman" w:hAnsi="Times New Roman" w:cs="Times New Roman"/>
        </w:rPr>
        <w:t>”部分）。</w:t>
      </w:r>
    </w:p>
    <w:p>
      <w:pPr>
        <w:pStyle w:val="114"/>
        <w:rPr>
          <w:rFonts w:ascii="Times New Roman" w:hAnsi="Times New Roman" w:cs="Times New Roman"/>
        </w:rPr>
      </w:pPr>
      <w:r>
        <w:rPr>
          <w:rFonts w:ascii="Times New Roman" w:hAnsi="Times New Roman" w:cs="Times New Roman"/>
        </w:rP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响应文件的装订必须采用胶订或线订形式，不得采用活页装订方式，否则，其响应将被拒绝。响应文件的技术文件中的各项表格必须按照磋商文件第七部分格式要求制作。</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响应保证金</w:t>
      </w:r>
    </w:p>
    <w:p>
      <w:pPr>
        <w:pStyle w:val="114"/>
        <w:rPr>
          <w:rFonts w:ascii="Times New Roman" w:hAnsi="Times New Roman" w:cs="Times New Roman"/>
        </w:rPr>
      </w:pPr>
      <w:r>
        <w:rPr>
          <w:rFonts w:ascii="Times New Roman" w:hAnsi="Times New Roman" w:cs="Times New Roman"/>
        </w:rPr>
        <w:t>响应人应提供的响应保证金额详见</w:t>
      </w:r>
      <w:r>
        <w:fldChar w:fldCharType="begin"/>
      </w:r>
      <w:r>
        <w:instrText xml:space="preserve"> REF 响应人须知前附表 \h  \* MERGEFORMAT </w:instrText>
      </w:r>
      <w:r>
        <w:fldChar w:fldCharType="separate"/>
      </w:r>
      <w:r>
        <w:rPr>
          <w:rFonts w:ascii="Times New Roman" w:hAnsi="Times New Roman" w:cs="Times New Roman"/>
        </w:rPr>
        <w:t>响应人须知前附表</w:t>
      </w:r>
      <w:r>
        <w:rPr>
          <w:rFonts w:ascii="Times New Roman" w:hAnsi="Times New Roman" w:cs="Times New Roman"/>
        </w:rPr>
        <w:fldChar w:fldCharType="end"/>
      </w:r>
      <w:r>
        <w:rPr>
          <w:rFonts w:ascii="Times New Roman" w:hAnsi="Times New Roman" w:cs="Times New Roman"/>
        </w:rPr>
        <w:t>第</w:t>
      </w:r>
      <w:r>
        <w:fldChar w:fldCharType="begin"/>
      </w:r>
      <w:r>
        <w:instrText xml:space="preserve"> REF _Ref477449610 \r \h  \* MERGEFORMAT </w:instrText>
      </w:r>
      <w: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t>项；</w:t>
      </w:r>
    </w:p>
    <w:p>
      <w:pPr>
        <w:pStyle w:val="114"/>
        <w:rPr>
          <w:rFonts w:ascii="Times New Roman" w:hAnsi="Times New Roman" w:cs="Times New Roman"/>
        </w:rPr>
      </w:pPr>
      <w:r>
        <w:rPr>
          <w:rFonts w:ascii="Times New Roman" w:hAnsi="Times New Roman" w:cs="Times New Roman"/>
        </w:rPr>
        <w:t>响应保证金必须采用电汇形式。</w:t>
      </w:r>
    </w:p>
    <w:p>
      <w:pPr>
        <w:pStyle w:val="114"/>
        <w:rPr>
          <w:rFonts w:ascii="Times New Roman" w:hAnsi="Times New Roman" w:cs="Times New Roman"/>
        </w:rPr>
      </w:pPr>
      <w:r>
        <w:rPr>
          <w:rFonts w:ascii="Times New Roman" w:hAnsi="Times New Roman" w:cs="Times New Roman"/>
        </w:rPr>
        <w:t>单位名称：中央财经大学；</w:t>
      </w:r>
    </w:p>
    <w:p>
      <w:pPr>
        <w:pStyle w:val="114"/>
        <w:rPr>
          <w:rFonts w:ascii="Times New Roman" w:hAnsi="Times New Roman" w:cs="Times New Roman"/>
        </w:rPr>
      </w:pPr>
      <w:r>
        <w:rPr>
          <w:rFonts w:ascii="Times New Roman" w:hAnsi="Times New Roman" w:cs="Times New Roman"/>
        </w:rPr>
        <w:t>开户银行：工商银行北京新街口支行；</w:t>
      </w:r>
    </w:p>
    <w:p>
      <w:pPr>
        <w:pStyle w:val="114"/>
        <w:rPr>
          <w:rFonts w:ascii="Times New Roman" w:hAnsi="Times New Roman" w:cs="Times New Roman"/>
        </w:rPr>
      </w:pPr>
      <w:r>
        <w:rPr>
          <w:rFonts w:ascii="Times New Roman" w:hAnsi="Times New Roman" w:cs="Times New Roman"/>
        </w:rPr>
        <w:t>开户账号：0200002909089002159；</w:t>
      </w:r>
    </w:p>
    <w:p>
      <w:pPr>
        <w:pStyle w:val="114"/>
        <w:rPr>
          <w:rFonts w:ascii="Times New Roman" w:hAnsi="Times New Roman" w:cs="Times New Roman"/>
        </w:rPr>
      </w:pPr>
      <w:r>
        <w:rPr>
          <w:rFonts w:ascii="Times New Roman" w:hAnsi="Times New Roman" w:cs="Times New Roman"/>
        </w:rPr>
        <w:t>响应人的响应保证金须在汇款单上注明采购项目名称、采购项目编号，并在响应截止前办理向采购人上述指定</w:t>
      </w:r>
      <w:r>
        <w:rPr>
          <w:rFonts w:hint="eastAsia" w:ascii="Times New Roman" w:hAnsi="Times New Roman" w:cs="Times New Roman"/>
        </w:rPr>
        <w:t>账</w:t>
      </w:r>
      <w:r>
        <w:rPr>
          <w:rFonts w:ascii="Times New Roman" w:hAnsi="Times New Roman" w:cs="Times New Roman"/>
        </w:rPr>
        <w:t>户汇款的手续，在响应现场凭汇款复印件领取采购人有关凭据（否则视为未提交）。</w:t>
      </w:r>
    </w:p>
    <w:p>
      <w:pPr>
        <w:pStyle w:val="114"/>
        <w:rPr>
          <w:rFonts w:ascii="Times New Roman" w:hAnsi="Times New Roman" w:cs="Times New Roman"/>
        </w:rPr>
      </w:pPr>
      <w:r>
        <w:rPr>
          <w:rFonts w:ascii="Times New Roman" w:hAnsi="Times New Roman" w:cs="Times New Roman"/>
        </w:rPr>
        <w:t>未按前述各款要求提交响应保证金，或所提交保证金不完全符合各项要求的响应，将被视为无效响应。</w:t>
      </w:r>
    </w:p>
    <w:p>
      <w:pPr>
        <w:pStyle w:val="114"/>
        <w:rPr>
          <w:rFonts w:ascii="Times New Roman" w:hAnsi="Times New Roman" w:cs="Times New Roman"/>
        </w:rPr>
      </w:pPr>
      <w:r>
        <w:rPr>
          <w:rFonts w:ascii="Times New Roman" w:hAnsi="Times New Roman" w:cs="Times New Roman"/>
        </w:rPr>
        <w:t>响应保证金一律采用电汇方式退还。</w:t>
      </w:r>
    </w:p>
    <w:p>
      <w:pPr>
        <w:pStyle w:val="114"/>
        <w:rPr>
          <w:rFonts w:ascii="Times New Roman" w:hAnsi="Times New Roman" w:cs="Times New Roman"/>
        </w:rPr>
      </w:pPr>
      <w:r>
        <w:rPr>
          <w:rFonts w:ascii="Times New Roman" w:hAnsi="Times New Roman" w:cs="Times New Roman"/>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114"/>
        <w:rPr>
          <w:rFonts w:ascii="Times New Roman" w:hAnsi="Times New Roman" w:cs="Times New Roman"/>
        </w:rPr>
      </w:pPr>
      <w:r>
        <w:rPr>
          <w:rFonts w:ascii="Times New Roman" w:hAnsi="Times New Roman" w:cs="Times New Roman"/>
        </w:rPr>
        <w:t>办理时间：周一至周四上午8：30至11：00，下午2：00至4：30，节假日除外；</w:t>
      </w:r>
    </w:p>
    <w:p>
      <w:pPr>
        <w:pStyle w:val="114"/>
        <w:rPr>
          <w:rFonts w:ascii="Times New Roman" w:hAnsi="Times New Roman" w:cs="Times New Roman"/>
        </w:rPr>
      </w:pPr>
      <w:r>
        <w:rPr>
          <w:rFonts w:ascii="Times New Roman" w:hAnsi="Times New Roman" w:cs="Times New Roman"/>
        </w:rPr>
        <w:t>办理地点：北京市海淀区学院南路39号中央财经大学办公楼309室；</w:t>
      </w:r>
    </w:p>
    <w:p>
      <w:pPr>
        <w:pStyle w:val="114"/>
        <w:rPr>
          <w:rFonts w:ascii="Times New Roman" w:hAnsi="Times New Roman" w:cs="Times New Roman"/>
        </w:rPr>
      </w:pPr>
      <w:r>
        <w:rPr>
          <w:rFonts w:ascii="Times New Roman" w:hAnsi="Times New Roman" w:cs="Times New Roman"/>
        </w:rPr>
        <w:t>联系电话：62289113，62288705。</w:t>
      </w:r>
    </w:p>
    <w:p>
      <w:pPr>
        <w:pStyle w:val="114"/>
        <w:rPr>
          <w:rFonts w:ascii="Times New Roman" w:hAnsi="Times New Roman" w:cs="Times New Roman"/>
        </w:rPr>
      </w:pPr>
      <w:r>
        <w:rPr>
          <w:rFonts w:ascii="Times New Roman" w:hAnsi="Times New Roman" w:cs="Times New Roman"/>
        </w:rPr>
        <w:t>成交人除持上述资料外，还应提交采购合同副本，持采购人开具的响应保证金收据原件办理响应保证金的退还手续。</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响应报价</w:t>
      </w:r>
    </w:p>
    <w:p>
      <w:pPr>
        <w:pStyle w:val="114"/>
        <w:rPr>
          <w:rFonts w:ascii="Times New Roman" w:hAnsi="Times New Roman" w:cs="Times New Roman"/>
        </w:rPr>
      </w:pPr>
      <w:r>
        <w:rPr>
          <w:rFonts w:ascii="Times New Roman" w:hAnsi="Times New Roman" w:cs="Times New Roman"/>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114"/>
        <w:rPr>
          <w:rFonts w:ascii="Times New Roman" w:hAnsi="Times New Roman" w:cs="Times New Roman"/>
        </w:rPr>
      </w:pPr>
      <w:r>
        <w:rPr>
          <w:rFonts w:ascii="Times New Roman" w:hAnsi="Times New Roman" w:cs="Times New Roman"/>
        </w:rPr>
        <w:t>响应人投报多包的，应对每包分别报价并分别填报报价一览表。</w:t>
      </w:r>
    </w:p>
    <w:p>
      <w:pPr>
        <w:pStyle w:val="114"/>
        <w:rPr>
          <w:rFonts w:ascii="Times New Roman" w:hAnsi="Times New Roman" w:cs="Times New Roman"/>
        </w:rPr>
      </w:pPr>
      <w:r>
        <w:rPr>
          <w:rFonts w:ascii="Times New Roman" w:hAnsi="Times New Roman" w:cs="Times New Roman"/>
        </w:rPr>
        <w:t>本次磋商不接受可选择或可调整的响应方案和报价，任何有选择的或可调整的响应方案和报价将被视为非响应性响应而被拒绝。</w:t>
      </w:r>
    </w:p>
    <w:p>
      <w:pPr>
        <w:pStyle w:val="114"/>
        <w:rPr>
          <w:rFonts w:ascii="Times New Roman" w:hAnsi="Times New Roman" w:cs="Times New Roman"/>
        </w:rPr>
      </w:pPr>
      <w:r>
        <w:rPr>
          <w:rFonts w:ascii="Times New Roman" w:hAnsi="Times New Roman" w:cs="Times New Roman"/>
        </w:rPr>
        <w:t>响应人要按响应产品数量、价格表（统一格式）的内容填写货物单价（包括货物报价，装箱、包装、包装物料、送货和保险费用）、总价及其他事项，并由法定代表人或响应人代表签署。</w:t>
      </w:r>
    </w:p>
    <w:p>
      <w:pPr>
        <w:pStyle w:val="114"/>
        <w:rPr>
          <w:rFonts w:ascii="Times New Roman" w:hAnsi="Times New Roman" w:cs="Times New Roman"/>
        </w:rPr>
      </w:pPr>
      <w:r>
        <w:rPr>
          <w:rFonts w:ascii="Times New Roman" w:hAnsi="Times New Roman" w:cs="Times New Roman"/>
        </w:rPr>
        <w:t>响应人对响应报价若有说明应在报价一览表显著处注明，其优惠才会在评标时予以考虑。</w:t>
      </w:r>
    </w:p>
    <w:p>
      <w:pPr>
        <w:pStyle w:val="114"/>
        <w:rPr>
          <w:rFonts w:ascii="Times New Roman" w:hAnsi="Times New Roman" w:cs="Times New Roman"/>
        </w:rPr>
      </w:pPr>
      <w:r>
        <w:rPr>
          <w:rFonts w:ascii="Times New Roman" w:hAnsi="Times New Roman" w:cs="Times New Roman"/>
        </w:rPr>
        <w:t>响应的报价优惠应对应报价一览表、响应产品数量价格表等提供相应的明细清单。</w:t>
      </w:r>
    </w:p>
    <w:p>
      <w:pPr>
        <w:pStyle w:val="114"/>
        <w:rPr>
          <w:rFonts w:ascii="Times New Roman" w:hAnsi="Times New Roman" w:cs="Times New Roman"/>
        </w:rPr>
      </w:pPr>
      <w:r>
        <w:rPr>
          <w:rFonts w:ascii="Times New Roman" w:hAnsi="Times New Roman" w:cs="Times New Roman"/>
        </w:rP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114"/>
        <w:rPr>
          <w:rFonts w:ascii="Times New Roman" w:hAnsi="Times New Roman" w:cs="Times New Roman"/>
          <w:szCs w:val="21"/>
        </w:rPr>
      </w:pPr>
      <w:r>
        <w:rPr>
          <w:rFonts w:ascii="Times New Roman" w:hAnsi="Times New Roman" w:cs="Times New Roman"/>
        </w:rPr>
        <w:t>最低报价不能作为成交的保证。</w:t>
      </w:r>
    </w:p>
    <w:p>
      <w:pPr>
        <w:pStyle w:val="114"/>
        <w:rPr>
          <w:rFonts w:ascii="Times New Roman" w:hAnsi="Times New Roman" w:cs="Times New Roman"/>
        </w:rPr>
      </w:pPr>
      <w:r>
        <w:rPr>
          <w:rFonts w:ascii="Times New Roman" w:hAnsi="Times New Roman" w:cs="Times New Roman"/>
        </w:rPr>
        <w:t>本项目是否允许响应人将项目的非主体、非关键性工作交由他人完成详见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第</w:t>
      </w:r>
      <w:r>
        <w:fldChar w:fldCharType="begin"/>
      </w:r>
      <w:r>
        <w:instrText xml:space="preserve"> REF _Ref477449806 \r \h  \* MERGEFORMAT </w:instrText>
      </w:r>
      <w: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t>条。</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响应内容填写说明</w:t>
      </w:r>
    </w:p>
    <w:p>
      <w:pPr>
        <w:pStyle w:val="114"/>
        <w:rPr>
          <w:rFonts w:ascii="Times New Roman" w:hAnsi="Times New Roman" w:cs="Times New Roman"/>
        </w:rPr>
      </w:pPr>
      <w:r>
        <w:rPr>
          <w:rFonts w:ascii="Times New Roman" w:hAnsi="Times New Roman" w:cs="Times New Roman"/>
        </w:rP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114"/>
        <w:rPr>
          <w:rFonts w:ascii="Times New Roman" w:hAnsi="Times New Roman" w:cs="Times New Roman"/>
        </w:rPr>
      </w:pPr>
      <w:r>
        <w:rPr>
          <w:rFonts w:ascii="Times New Roman" w:hAnsi="Times New Roman" w:cs="Times New Roman"/>
        </w:rPr>
        <w:t>响应文件应严格按照磋商文件规定的顺序装订成册并编制目录，由于编排混乱导致响应文件被误读或查找不到，是响应人的责任。</w:t>
      </w:r>
    </w:p>
    <w:p>
      <w:pPr>
        <w:pStyle w:val="114"/>
        <w:rPr>
          <w:rFonts w:ascii="Times New Roman" w:hAnsi="Times New Roman" w:cs="Times New Roman"/>
        </w:rPr>
      </w:pPr>
      <w:r>
        <w:rPr>
          <w:rFonts w:ascii="Times New Roman" w:hAnsi="Times New Roman" w:cs="Times New Roman"/>
        </w:rPr>
        <w:t>响应文件应严格按照磋商文件“</w:t>
      </w:r>
      <w:r>
        <w:fldChar w:fldCharType="begin"/>
      </w:r>
      <w:r>
        <w:instrText xml:space="preserve"> REF 响应文件格式 \h  \* MERGEFORMAT </w:instrText>
      </w:r>
      <w:r>
        <w:fldChar w:fldCharType="separate"/>
      </w:r>
      <w:r>
        <w:rPr>
          <w:rFonts w:ascii="Times New Roman" w:hAnsi="Times New Roman" w:cs="Times New Roman" w:eastAsiaTheme="majorEastAsia"/>
        </w:rPr>
        <w:t>响应文件格式</w:t>
      </w:r>
      <w:r>
        <w:rPr>
          <w:rFonts w:ascii="Times New Roman" w:hAnsi="Times New Roman" w:cs="Times New Roman" w:eastAsiaTheme="majorEastAsia"/>
        </w:rPr>
        <w:fldChar w:fldCharType="end"/>
      </w:r>
      <w:r>
        <w:rPr>
          <w:rFonts w:ascii="Times New Roman" w:hAnsi="Times New Roman" w:cs="Times New Roman"/>
        </w:rP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114"/>
        <w:rPr>
          <w:rFonts w:ascii="Times New Roman" w:hAnsi="Times New Roman" w:cs="Times New Roman"/>
        </w:rPr>
      </w:pPr>
      <w:r>
        <w:rPr>
          <w:rFonts w:ascii="Times New Roman" w:hAnsi="Times New Roman" w:cs="Times New Roman"/>
        </w:rPr>
        <w:t>报价一览表要求按格式统一填写，不得自行删减内容。</w:t>
      </w:r>
    </w:p>
    <w:p>
      <w:pPr>
        <w:pStyle w:val="114"/>
        <w:rPr>
          <w:rFonts w:ascii="Times New Roman" w:hAnsi="Times New Roman" w:cs="Times New Roman"/>
          <w:szCs w:val="21"/>
        </w:rPr>
      </w:pPr>
      <w:r>
        <w:rPr>
          <w:rFonts w:ascii="Times New Roman" w:hAnsi="Times New Roman" w:cs="Times New Roman"/>
        </w:rPr>
        <w:t>响应人必须保证响应文件所提供的全部资料真实可靠，并接受采购人或磋商小组对其中任何资料进一步审查的要求。</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响应文件的有效期</w:t>
      </w:r>
    </w:p>
    <w:p>
      <w:pPr>
        <w:pStyle w:val="114"/>
        <w:rPr>
          <w:rFonts w:ascii="Times New Roman" w:hAnsi="Times New Roman" w:cs="Times New Roman"/>
        </w:rPr>
      </w:pPr>
      <w:r>
        <w:rPr>
          <w:rFonts w:ascii="Times New Roman" w:hAnsi="Times New Roman" w:cs="Times New Roman"/>
        </w:rPr>
        <w:t>本项目响应文件的有效期详见</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第</w:t>
      </w:r>
      <w:r>
        <w:fldChar w:fldCharType="begin"/>
      </w:r>
      <w:r>
        <w:instrText xml:space="preserve"> REF _Ref477450110 \r \h  \* MERGEFORMAT </w:instrText>
      </w:r>
      <w: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t>条。有效期短于该规定期限的响应将被拒绝。</w:t>
      </w:r>
    </w:p>
    <w:p>
      <w:pPr>
        <w:pStyle w:val="114"/>
        <w:rPr>
          <w:rFonts w:ascii="Times New Roman" w:hAnsi="Times New Roman" w:cs="Times New Roman"/>
          <w:szCs w:val="21"/>
        </w:rPr>
      </w:pPr>
      <w:r>
        <w:rPr>
          <w:rFonts w:ascii="Times New Roman" w:hAnsi="Times New Roman" w:cs="Times New Roman"/>
        </w:rP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响应文件的签署及其他规定</w:t>
      </w:r>
    </w:p>
    <w:p>
      <w:pPr>
        <w:pStyle w:val="114"/>
        <w:rPr>
          <w:rFonts w:ascii="Times New Roman" w:hAnsi="Times New Roman" w:cs="Times New Roman"/>
        </w:rPr>
      </w:pPr>
      <w:r>
        <w:rPr>
          <w:rFonts w:ascii="Times New Roman" w:hAnsi="Times New Roman" w:cs="Times New Roman"/>
        </w:rPr>
        <w:t>组成响应文件的各项文件均应遵守本条。</w:t>
      </w:r>
    </w:p>
    <w:p>
      <w:pPr>
        <w:pStyle w:val="114"/>
        <w:rPr>
          <w:rFonts w:ascii="Times New Roman" w:hAnsi="Times New Roman" w:cs="Times New Roman"/>
        </w:rPr>
      </w:pPr>
      <w:r>
        <w:rPr>
          <w:rFonts w:ascii="Times New Roman" w:hAnsi="Times New Roman" w:cs="Times New Roman"/>
        </w:rP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114"/>
        <w:rPr>
          <w:rFonts w:ascii="Times New Roman" w:hAnsi="Times New Roman" w:cs="Times New Roman"/>
        </w:rPr>
      </w:pPr>
      <w:r>
        <w:rPr>
          <w:rFonts w:ascii="Times New Roman" w:hAnsi="Times New Roman" w:cs="Times New Roman"/>
        </w:rP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114"/>
        <w:rPr>
          <w:rFonts w:ascii="Times New Roman" w:hAnsi="Times New Roman" w:cs="Times New Roman"/>
        </w:rPr>
      </w:pPr>
      <w:r>
        <w:rPr>
          <w:rFonts w:ascii="Times New Roman" w:hAnsi="Times New Roman" w:cs="Times New Roman"/>
        </w:rP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114"/>
        <w:rPr>
          <w:rFonts w:ascii="Times New Roman" w:hAnsi="Times New Roman" w:cs="Times New Roman"/>
        </w:rPr>
      </w:pPr>
      <w:r>
        <w:rPr>
          <w:rFonts w:ascii="Times New Roman" w:hAnsi="Times New Roman" w:cs="Times New Roman"/>
        </w:rPr>
        <w:t>响应人应按</w:t>
      </w:r>
      <w:r>
        <w:fldChar w:fldCharType="begin"/>
      </w:r>
      <w:r>
        <w:instrText xml:space="preserve"> REF 响应人须知前附表 \h  \* MERGEFORMAT </w:instrText>
      </w:r>
      <w:r>
        <w:fldChar w:fldCharType="separate"/>
      </w:r>
      <w:r>
        <w:rPr>
          <w:rFonts w:ascii="Times New Roman" w:hAnsi="Times New Roman" w:cs="Times New Roman" w:eastAsiaTheme="majorEastAsia"/>
        </w:rPr>
        <w:t>响应人须知前附表</w:t>
      </w:r>
      <w:r>
        <w:rPr>
          <w:rFonts w:ascii="Times New Roman" w:hAnsi="Times New Roman" w:cs="Times New Roman" w:eastAsiaTheme="majorEastAsia"/>
        </w:rPr>
        <w:fldChar w:fldCharType="end"/>
      </w:r>
      <w:r>
        <w:rPr>
          <w:rFonts w:ascii="Times New Roman" w:hAnsi="Times New Roman" w:cs="Times New Roman"/>
        </w:rPr>
        <w:t>第</w:t>
      </w:r>
      <w:r>
        <w:fldChar w:fldCharType="begin"/>
      </w:r>
      <w:r>
        <w:instrText xml:space="preserve"> REF _Ref477450181 \r \h  \* MERGEFORMAT </w:instrText>
      </w:r>
      <w: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t>条规定的份数提交响应文件。</w:t>
      </w:r>
    </w:p>
    <w:p>
      <w:pPr>
        <w:pStyle w:val="114"/>
        <w:rPr>
          <w:rFonts w:ascii="Times New Roman" w:hAnsi="Times New Roman" w:cs="Times New Roman"/>
        </w:rPr>
      </w:pPr>
      <w:r>
        <w:rPr>
          <w:rFonts w:ascii="Times New Roman" w:hAnsi="Times New Roman" w:cs="Times New Roman"/>
        </w:rP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114"/>
        <w:ind w:firstLine="630" w:firstLineChars="300"/>
        <w:rPr>
          <w:rFonts w:ascii="Times New Roman" w:hAnsi="Times New Roman" w:cs="Times New Roman"/>
        </w:rPr>
      </w:pPr>
      <w:commentRangeStart w:id="1"/>
      <w:r>
        <w:rPr>
          <w:rFonts w:ascii="Times New Roman" w:hAnsi="Times New Roman" w:cs="Times New Roman"/>
        </w:rPr>
        <w:t>响应人</w:t>
      </w:r>
      <w:commentRangeEnd w:id="1"/>
      <w:r>
        <w:rPr>
          <w:rStyle w:val="45"/>
          <w:rFonts w:ascii="Times New Roman" w:hAnsi="Times New Roman" w:eastAsia="宋体" w:cs="Times New Roman"/>
          <w:kern w:val="0"/>
        </w:rPr>
        <w:commentReference w:id="1"/>
      </w:r>
      <w:r>
        <w:rPr>
          <w:rFonts w:ascii="Times New Roman" w:hAnsi="Times New Roman" w:cs="Times New Roman"/>
        </w:rPr>
        <w:t>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pPr>
        <w:pStyle w:val="114"/>
        <w:rPr>
          <w:rFonts w:ascii="Times New Roman" w:hAnsi="Times New Roman" w:cs="Times New Roman"/>
        </w:rPr>
      </w:pPr>
      <w:r>
        <w:rPr>
          <w:rFonts w:ascii="Times New Roman" w:hAnsi="Times New Roman" w:cs="Times New Roman"/>
        </w:rPr>
        <w:t>响应文件的正本必须打印或用不褪色的墨水填写。响应文件正本封面注明“正本”字样。</w:t>
      </w:r>
    </w:p>
    <w:p>
      <w:pPr>
        <w:pStyle w:val="114"/>
        <w:rPr>
          <w:rFonts w:ascii="Times New Roman" w:hAnsi="Times New Roman" w:cs="Times New Roman"/>
        </w:rPr>
      </w:pPr>
      <w:r>
        <w:rPr>
          <w:rFonts w:ascii="Times New Roman" w:hAnsi="Times New Roman" w:cs="Times New Roman"/>
        </w:rPr>
        <w:t>响应文件应字迹清楚、内容齐全、不得涂改或增删。如有修改和增删，必须有响应人公章及法定代表人或其授权的响应人代表签字。</w:t>
      </w:r>
    </w:p>
    <w:p>
      <w:pPr>
        <w:pStyle w:val="114"/>
        <w:rPr>
          <w:rFonts w:ascii="Times New Roman" w:hAnsi="Times New Roman" w:cs="Times New Roman"/>
          <w:szCs w:val="21"/>
        </w:rPr>
      </w:pPr>
      <w:r>
        <w:rPr>
          <w:rFonts w:ascii="Times New Roman" w:hAnsi="Times New Roman" w:cs="Times New Roman"/>
        </w:rPr>
        <w:t>因响应文件字迹潦草或表达不清所引起的不利后果由响应人承担。</w:t>
      </w:r>
    </w:p>
    <w:p>
      <w:pPr>
        <w:pStyle w:val="4"/>
        <w:numPr>
          <w:ilvl w:val="0"/>
          <w:numId w:val="15"/>
        </w:numPr>
        <w:adjustRightInd/>
        <w:spacing w:line="415" w:lineRule="auto"/>
        <w:jc w:val="both"/>
        <w:textAlignment w:val="auto"/>
        <w:rPr>
          <w:rFonts w:eastAsiaTheme="minorEastAsia"/>
          <w:kern w:val="2"/>
        </w:rPr>
      </w:pPr>
      <w:bookmarkStart w:id="64" w:name="_Toc477459644"/>
      <w:r>
        <w:rPr>
          <w:rFonts w:eastAsiaTheme="minorEastAsia"/>
          <w:kern w:val="2"/>
        </w:rPr>
        <w:t>响应文件的递交</w:t>
      </w:r>
      <w:bookmarkEnd w:id="64"/>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响应文件的密封及标记</w:t>
      </w:r>
    </w:p>
    <w:p>
      <w:pPr>
        <w:pStyle w:val="114"/>
        <w:rPr>
          <w:rFonts w:ascii="Times New Roman" w:hAnsi="Times New Roman" w:cs="Times New Roman"/>
        </w:rPr>
      </w:pPr>
      <w:r>
        <w:rPr>
          <w:rFonts w:ascii="Times New Roman" w:hAnsi="Times New Roman" w:cs="Times New Roman"/>
        </w:rPr>
        <w:t>响应文件应按以下方法分别装袋密封：</w:t>
      </w:r>
    </w:p>
    <w:p>
      <w:pPr>
        <w:numPr>
          <w:ilvl w:val="0"/>
          <w:numId w:val="23"/>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p>
    <w:p>
      <w:pPr>
        <w:numPr>
          <w:ilvl w:val="0"/>
          <w:numId w:val="23"/>
        </w:numPr>
        <w:spacing w:line="400" w:lineRule="exact"/>
        <w:textAlignment w:val="auto"/>
        <w:rPr>
          <w:rFonts w:eastAsiaTheme="minorEastAsia"/>
          <w:sz w:val="21"/>
          <w:szCs w:val="21"/>
        </w:rPr>
      </w:pPr>
      <w:r>
        <w:rPr>
          <w:rFonts w:eastAsiaTheme="minorEastAsia"/>
          <w:sz w:val="21"/>
          <w:szCs w:val="21"/>
        </w:rPr>
        <w:t>报价一览表应单独密封，封口处应有法定代表人（或响应人代表）的签字或响应人公章。</w:t>
      </w:r>
    </w:p>
    <w:p>
      <w:pPr>
        <w:numPr>
          <w:ilvl w:val="0"/>
          <w:numId w:val="23"/>
        </w:numPr>
        <w:spacing w:line="400" w:lineRule="exact"/>
        <w:textAlignment w:val="auto"/>
        <w:rPr>
          <w:rFonts w:eastAsiaTheme="minorEastAsia"/>
          <w:sz w:val="21"/>
          <w:szCs w:val="21"/>
        </w:rPr>
      </w:pPr>
      <w:r>
        <w:rPr>
          <w:rFonts w:eastAsiaTheme="minorEastAsia"/>
          <w:sz w:val="21"/>
          <w:szCs w:val="21"/>
        </w:rPr>
        <w:t>法定代表人授权委托书应单独密封，封口处应有法定代表人（或响应人代表）的签字或响应人公章。</w:t>
      </w:r>
    </w:p>
    <w:p>
      <w:pPr>
        <w:numPr>
          <w:ilvl w:val="0"/>
          <w:numId w:val="23"/>
        </w:numPr>
        <w:spacing w:line="400" w:lineRule="exact"/>
        <w:textAlignment w:val="auto"/>
        <w:rPr>
          <w:rFonts w:eastAsiaTheme="minorEastAsia"/>
          <w:sz w:val="21"/>
          <w:szCs w:val="21"/>
        </w:rPr>
      </w:pPr>
      <w:r>
        <w:rPr>
          <w:rFonts w:eastAsiaTheme="minorEastAsia"/>
          <w:sz w:val="21"/>
          <w:szCs w:val="21"/>
        </w:rPr>
        <w:t>响应保证金相关材料单独密封。</w:t>
      </w:r>
    </w:p>
    <w:p>
      <w:pPr>
        <w:pStyle w:val="114"/>
        <w:rPr>
          <w:rFonts w:ascii="Times New Roman" w:hAnsi="Times New Roman" w:cs="Times New Roman"/>
          <w:szCs w:val="21"/>
        </w:rPr>
      </w:pPr>
      <w:r>
        <w:rPr>
          <w:rFonts w:ascii="Times New Roman" w:hAnsi="Times New Roman" w:cs="Times New Roman"/>
        </w:rP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响应截止时间</w:t>
      </w:r>
    </w:p>
    <w:p>
      <w:pPr>
        <w:pStyle w:val="114"/>
        <w:rPr>
          <w:rFonts w:ascii="Times New Roman" w:hAnsi="Times New Roman" w:cs="Times New Roman"/>
        </w:rPr>
      </w:pPr>
      <w:r>
        <w:rPr>
          <w:rFonts w:ascii="Times New Roman" w:hAnsi="Times New Roman" w:cs="Times New Roman"/>
        </w:rPr>
        <w:t>响应文件须按照磋商文件规定的响应时间、地点送达。在响应截止时间以后送达的响应文件，采购人拒绝接收。</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响应文件的补充、修改和撤回</w:t>
      </w:r>
    </w:p>
    <w:p>
      <w:pPr>
        <w:pStyle w:val="114"/>
        <w:rPr>
          <w:rFonts w:ascii="Times New Roman" w:hAnsi="Times New Roman" w:cs="Times New Roman"/>
        </w:rPr>
      </w:pPr>
      <w:r>
        <w:rPr>
          <w:rFonts w:ascii="Times New Roman" w:hAnsi="Times New Roman" w:cs="Times New Roman"/>
        </w:rP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114"/>
        <w:rPr>
          <w:rFonts w:ascii="Times New Roman" w:hAnsi="Times New Roman" w:cs="Times New Roman"/>
        </w:rPr>
      </w:pPr>
      <w:r>
        <w:rPr>
          <w:rFonts w:ascii="Times New Roman" w:hAnsi="Times New Roman" w:cs="Times New Roman"/>
        </w:rP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114"/>
        <w:rPr>
          <w:rFonts w:ascii="Times New Roman" w:hAnsi="Times New Roman" w:cs="Times New Roman"/>
          <w:szCs w:val="21"/>
        </w:rPr>
      </w:pPr>
      <w:r>
        <w:rPr>
          <w:rFonts w:ascii="Times New Roman" w:hAnsi="Times New Roman" w:cs="Times New Roman"/>
        </w:rPr>
        <w:t>在响应截止时间之后，响应人不得撤回响应。</w:t>
      </w:r>
    </w:p>
    <w:p>
      <w:pPr>
        <w:pStyle w:val="4"/>
        <w:numPr>
          <w:ilvl w:val="0"/>
          <w:numId w:val="15"/>
        </w:numPr>
        <w:adjustRightInd/>
        <w:spacing w:line="415" w:lineRule="auto"/>
        <w:jc w:val="both"/>
        <w:textAlignment w:val="auto"/>
        <w:rPr>
          <w:rFonts w:eastAsiaTheme="minorEastAsia"/>
          <w:kern w:val="2"/>
        </w:rPr>
      </w:pPr>
      <w:bookmarkStart w:id="65" w:name="_Toc477459645"/>
      <w:r>
        <w:rPr>
          <w:rFonts w:eastAsiaTheme="minorEastAsia"/>
          <w:kern w:val="2"/>
        </w:rPr>
        <w:t>评标步骤和要求</w:t>
      </w:r>
      <w:bookmarkEnd w:id="65"/>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组建磋商小组</w:t>
      </w:r>
    </w:p>
    <w:p>
      <w:pPr>
        <w:pStyle w:val="114"/>
        <w:rPr>
          <w:rFonts w:ascii="Times New Roman" w:hAnsi="Times New Roman" w:cs="Times New Roman"/>
        </w:rPr>
      </w:pPr>
      <w:r>
        <w:rPr>
          <w:rFonts w:ascii="Times New Roman" w:hAnsi="Times New Roman" w:cs="Times New Roman"/>
        </w:rP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114"/>
        <w:rPr>
          <w:rFonts w:ascii="Times New Roman" w:hAnsi="Times New Roman" w:cs="Times New Roman"/>
        </w:rPr>
      </w:pPr>
      <w:r>
        <w:rPr>
          <w:rFonts w:ascii="Times New Roman" w:hAnsi="Times New Roman" w:cs="Times New Roman"/>
        </w:rPr>
        <w:t>采购人就磋商文件征询过意见的专家,不作为评审专家参加评标，采购人代表不能以专家身份参与评标，采购人工作人员不得参加评标。</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磋商准备与初步评审</w:t>
      </w:r>
    </w:p>
    <w:p>
      <w:pPr>
        <w:pStyle w:val="114"/>
        <w:rPr>
          <w:rFonts w:ascii="Times New Roman" w:hAnsi="Times New Roman" w:cs="Times New Roman"/>
        </w:rPr>
      </w:pPr>
      <w:r>
        <w:rPr>
          <w:rFonts w:ascii="Times New Roman" w:hAnsi="Times New Roman" w:cs="Times New Roman"/>
        </w:rPr>
        <w:t>磋商小组所有成员应当集中与单一供应商分别进行磋商，并给予所有参加磋商的供应商平等的磋商机会。</w:t>
      </w:r>
    </w:p>
    <w:p>
      <w:pPr>
        <w:pStyle w:val="114"/>
        <w:rPr>
          <w:rFonts w:ascii="Times New Roman" w:hAnsi="Times New Roman" w:cs="Times New Roman"/>
        </w:rPr>
      </w:pPr>
      <w:r>
        <w:rPr>
          <w:rFonts w:ascii="Times New Roman" w:hAnsi="Times New Roman" w:cs="Times New Roman"/>
        </w:rPr>
        <w:t>响应截止时间后，磋商小组将审查响应文件是否符合磋商文件的基本要求：内容是否完整、资格证明文件是否齐全、有无计算错误、文件签署是否齐全及验证保证金。</w:t>
      </w:r>
    </w:p>
    <w:p>
      <w:pPr>
        <w:pStyle w:val="114"/>
        <w:rPr>
          <w:rFonts w:ascii="Times New Roman" w:hAnsi="Times New Roman" w:cs="Times New Roman"/>
        </w:rPr>
      </w:pPr>
      <w:r>
        <w:rPr>
          <w:rFonts w:ascii="Times New Roman" w:hAnsi="Times New Roman" w:cs="Times New Roman"/>
        </w:rPr>
        <w:t>在详细评审之前，磋商小组要审查每份响应文件是否实质上响应了磋商文件的要求：</w:t>
      </w:r>
    </w:p>
    <w:p>
      <w:pPr>
        <w:pStyle w:val="114"/>
        <w:rPr>
          <w:rFonts w:ascii="Times New Roman" w:hAnsi="Times New Roman" w:cs="Times New Roman"/>
        </w:rPr>
      </w:pPr>
      <w:r>
        <w:rPr>
          <w:rFonts w:ascii="Times New Roman" w:hAnsi="Times New Roman" w:cs="Times New Roman"/>
        </w:rPr>
        <w:t>实质上响应的响应是指与磋商文件的主要条款、条件和规格相符，没有重大偏离或保留。</w:t>
      </w:r>
    </w:p>
    <w:p>
      <w:pPr>
        <w:pStyle w:val="114"/>
        <w:rPr>
          <w:rFonts w:ascii="Times New Roman" w:hAnsi="Times New Roman" w:cs="Times New Roman"/>
        </w:rPr>
      </w:pPr>
      <w:r>
        <w:rPr>
          <w:rFonts w:ascii="Times New Roman" w:hAnsi="Times New Roman" w:cs="Times New Roman"/>
        </w:rP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5"/>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pPr>
        <w:numPr>
          <w:ilvl w:val="0"/>
          <w:numId w:val="25"/>
        </w:numPr>
        <w:spacing w:line="400" w:lineRule="exact"/>
        <w:textAlignment w:val="auto"/>
        <w:rPr>
          <w:rFonts w:eastAsiaTheme="minorEastAsia"/>
          <w:sz w:val="21"/>
          <w:szCs w:val="21"/>
        </w:rPr>
      </w:pPr>
      <w:r>
        <w:rPr>
          <w:rFonts w:eastAsiaTheme="minorEastAsia"/>
          <w:sz w:val="21"/>
          <w:szCs w:val="21"/>
        </w:rPr>
        <w:t>本文件“响应人须知”第7-9条部分中，带*的资格证明文件不全或无效的；</w:t>
      </w:r>
    </w:p>
    <w:p>
      <w:pPr>
        <w:numPr>
          <w:ilvl w:val="0"/>
          <w:numId w:val="25"/>
        </w:numPr>
        <w:spacing w:line="400" w:lineRule="exact"/>
        <w:textAlignment w:val="auto"/>
        <w:rPr>
          <w:rFonts w:eastAsiaTheme="minorEastAsia"/>
          <w:sz w:val="21"/>
          <w:szCs w:val="21"/>
        </w:rPr>
      </w:pPr>
      <w:r>
        <w:rPr>
          <w:rFonts w:eastAsiaTheme="minorEastAsia"/>
          <w:sz w:val="21"/>
          <w:szCs w:val="21"/>
        </w:rPr>
        <w:t>响应文件未按磋商文件的规定密封、签署、盖章的；</w:t>
      </w:r>
    </w:p>
    <w:p>
      <w:pPr>
        <w:numPr>
          <w:ilvl w:val="0"/>
          <w:numId w:val="25"/>
        </w:numPr>
        <w:spacing w:line="400" w:lineRule="exact"/>
        <w:textAlignment w:val="auto"/>
        <w:rPr>
          <w:rFonts w:eastAsiaTheme="minorEastAsia"/>
          <w:sz w:val="21"/>
          <w:szCs w:val="21"/>
        </w:rPr>
      </w:pPr>
      <w:r>
        <w:rPr>
          <w:rFonts w:eastAsiaTheme="minorEastAsia"/>
          <w:sz w:val="21"/>
          <w:szCs w:val="21"/>
        </w:rPr>
        <w:t>响应有效期不足的；</w:t>
      </w:r>
    </w:p>
    <w:p>
      <w:pPr>
        <w:numPr>
          <w:ilvl w:val="0"/>
          <w:numId w:val="25"/>
        </w:numPr>
        <w:spacing w:line="400" w:lineRule="exact"/>
        <w:textAlignment w:val="auto"/>
        <w:rPr>
          <w:rFonts w:eastAsiaTheme="minorEastAsia"/>
          <w:sz w:val="21"/>
          <w:szCs w:val="21"/>
        </w:rPr>
      </w:pPr>
      <w:r>
        <w:rPr>
          <w:rFonts w:eastAsiaTheme="minorEastAsia"/>
          <w:sz w:val="21"/>
          <w:szCs w:val="21"/>
        </w:rPr>
        <w:t>响应产品性能、规格、数量、交货时间、货物包装方式、检验标准和方法、售后服务承诺等不满足磋商文件中的相关要求和超出采购人可接受的偏差范围的；</w:t>
      </w:r>
    </w:p>
    <w:p>
      <w:pPr>
        <w:numPr>
          <w:ilvl w:val="0"/>
          <w:numId w:val="25"/>
        </w:numPr>
        <w:spacing w:line="400" w:lineRule="exact"/>
        <w:textAlignment w:val="auto"/>
        <w:rPr>
          <w:rFonts w:eastAsiaTheme="minorEastAsia"/>
          <w:sz w:val="21"/>
          <w:szCs w:val="21"/>
        </w:rPr>
      </w:pPr>
      <w:r>
        <w:rPr>
          <w:rFonts w:eastAsiaTheme="minorEastAsia"/>
          <w:sz w:val="21"/>
          <w:szCs w:val="21"/>
        </w:rPr>
        <w:t>未按照磋商文件规定报价的；</w:t>
      </w:r>
    </w:p>
    <w:p>
      <w:pPr>
        <w:numPr>
          <w:ilvl w:val="0"/>
          <w:numId w:val="25"/>
        </w:numPr>
        <w:spacing w:line="400" w:lineRule="exact"/>
        <w:textAlignment w:val="auto"/>
        <w:rPr>
          <w:rFonts w:eastAsiaTheme="minorEastAsia"/>
          <w:sz w:val="21"/>
          <w:szCs w:val="21"/>
        </w:rPr>
      </w:pPr>
      <w:r>
        <w:rPr>
          <w:rFonts w:eastAsiaTheme="minorEastAsia"/>
          <w:sz w:val="21"/>
          <w:szCs w:val="21"/>
        </w:rPr>
        <w:t>不符合磋商文件有关分包、转包规定的；</w:t>
      </w:r>
    </w:p>
    <w:p>
      <w:pPr>
        <w:numPr>
          <w:ilvl w:val="0"/>
          <w:numId w:val="25"/>
        </w:numPr>
        <w:spacing w:line="400" w:lineRule="exact"/>
        <w:textAlignment w:val="auto"/>
        <w:rPr>
          <w:rFonts w:eastAsiaTheme="minorEastAsia"/>
          <w:sz w:val="21"/>
          <w:szCs w:val="21"/>
        </w:rPr>
      </w:pPr>
      <w:r>
        <w:rPr>
          <w:rFonts w:eastAsiaTheme="minorEastAsia"/>
          <w:sz w:val="21"/>
          <w:szCs w:val="21"/>
        </w:rPr>
        <w:t>联合体响应文件未附联合体响应协议书的；</w:t>
      </w:r>
    </w:p>
    <w:p>
      <w:pPr>
        <w:numPr>
          <w:ilvl w:val="0"/>
          <w:numId w:val="25"/>
        </w:numPr>
        <w:spacing w:line="400" w:lineRule="exact"/>
        <w:textAlignment w:val="auto"/>
        <w:rPr>
          <w:rFonts w:eastAsiaTheme="minorEastAsia"/>
          <w:sz w:val="21"/>
          <w:szCs w:val="21"/>
        </w:rPr>
      </w:pPr>
      <w:r>
        <w:rPr>
          <w:rFonts w:eastAsiaTheme="minorEastAsia"/>
          <w:sz w:val="21"/>
          <w:szCs w:val="21"/>
        </w:rPr>
        <w:t>响应文件附有采购人不能接受的条件；</w:t>
      </w:r>
    </w:p>
    <w:p>
      <w:pPr>
        <w:numPr>
          <w:ilvl w:val="0"/>
          <w:numId w:val="25"/>
        </w:numPr>
        <w:spacing w:line="400" w:lineRule="exact"/>
        <w:textAlignment w:val="auto"/>
        <w:rPr>
          <w:rFonts w:eastAsiaTheme="minorEastAsia"/>
          <w:sz w:val="21"/>
          <w:szCs w:val="21"/>
        </w:rPr>
      </w:pPr>
      <w:r>
        <w:rPr>
          <w:rFonts w:eastAsiaTheme="minorEastAsia"/>
          <w:sz w:val="21"/>
          <w:szCs w:val="21"/>
        </w:rPr>
        <w:t>不符合磋商文件中规定的其他实质性要求。</w:t>
      </w:r>
    </w:p>
    <w:p>
      <w:pPr>
        <w:pStyle w:val="114"/>
        <w:rPr>
          <w:rFonts w:ascii="Times New Roman" w:hAnsi="Times New Roman" w:cs="Times New Roman"/>
        </w:rPr>
      </w:pPr>
      <w:r>
        <w:rPr>
          <w:rFonts w:ascii="Times New Roman" w:hAnsi="Times New Roman" w:cs="Times New Roman"/>
        </w:rPr>
        <w:t>重大偏离不允许在响应截止时间后修正，但磋商小组将允许修正响应中不构成重大偏离的地方，这些修正不会对其他实质上响应磋商文件要求的响应人的竞争地位产生不公正的影响。</w:t>
      </w:r>
    </w:p>
    <w:p>
      <w:pPr>
        <w:pStyle w:val="114"/>
        <w:rPr>
          <w:rFonts w:ascii="Times New Roman" w:hAnsi="Times New Roman" w:cs="Times New Roman"/>
        </w:rPr>
      </w:pPr>
      <w:r>
        <w:rPr>
          <w:rFonts w:ascii="Times New Roman" w:hAnsi="Times New Roman" w:cs="Times New Roman"/>
        </w:rPr>
        <w:t>如果响应文件实质上没有响应磋商文件的要求，磋商小组将予以拒绝，响应人不得再对响应文件进行任何修正从而使其响应成为实质上响应的响应。</w:t>
      </w:r>
    </w:p>
    <w:p>
      <w:pPr>
        <w:pStyle w:val="114"/>
        <w:rPr>
          <w:rFonts w:ascii="Times New Roman" w:hAnsi="Times New Roman" w:cs="Times New Roman"/>
        </w:rPr>
      </w:pPr>
      <w:r>
        <w:rPr>
          <w:rFonts w:ascii="Times New Roman" w:hAnsi="Times New Roman" w:cs="Times New Roman"/>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114"/>
        <w:rPr>
          <w:rFonts w:ascii="Times New Roman" w:hAnsi="Times New Roman" w:cs="Times New Roman"/>
        </w:rPr>
      </w:pPr>
      <w:r>
        <w:rPr>
          <w:rFonts w:ascii="Times New Roman" w:hAnsi="Times New Roman" w:cs="Times New Roman"/>
        </w:rPr>
        <w:t>初审中，对明显的文字和计算错误按下述原则处理，若出现相互矛盾之处，应以排列在先的原则为准优先处理：</w:t>
      </w:r>
    </w:p>
    <w:p>
      <w:pPr>
        <w:numPr>
          <w:ilvl w:val="0"/>
          <w:numId w:val="26"/>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以报价一览表为准。</w:t>
      </w:r>
    </w:p>
    <w:p>
      <w:pPr>
        <w:numPr>
          <w:ilvl w:val="0"/>
          <w:numId w:val="26"/>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pPr>
        <w:numPr>
          <w:ilvl w:val="0"/>
          <w:numId w:val="26"/>
        </w:numPr>
        <w:spacing w:line="400" w:lineRule="exact"/>
        <w:textAlignment w:val="auto"/>
        <w:rPr>
          <w:rFonts w:eastAsiaTheme="minorEastAsia"/>
          <w:sz w:val="21"/>
          <w:szCs w:val="21"/>
        </w:rPr>
      </w:pPr>
      <w:r>
        <w:rPr>
          <w:rFonts w:eastAsiaTheme="minor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pPr>
        <w:numPr>
          <w:ilvl w:val="0"/>
          <w:numId w:val="26"/>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pPr>
        <w:pStyle w:val="114"/>
        <w:rPr>
          <w:rFonts w:ascii="Times New Roman" w:hAnsi="Times New Roman" w:cs="Times New Roman"/>
        </w:rPr>
      </w:pPr>
      <w:r>
        <w:rPr>
          <w:rFonts w:ascii="Times New Roman" w:hAnsi="Times New Roman" w:cs="Times New Roman"/>
        </w:rPr>
        <w:t>磋商小组对响应文件的判定,只依据响应文件内容本身,不依据任何外来证明。</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响应的澄清</w:t>
      </w:r>
    </w:p>
    <w:p>
      <w:pPr>
        <w:pStyle w:val="114"/>
        <w:rPr>
          <w:rFonts w:ascii="Times New Roman" w:hAnsi="Times New Roman" w:cs="Times New Roman"/>
        </w:rPr>
      </w:pPr>
      <w:r>
        <w:rPr>
          <w:rFonts w:ascii="Times New Roman" w:hAnsi="Times New Roman" w:cs="Times New Roma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114"/>
        <w:rPr>
          <w:rFonts w:ascii="Times New Roman" w:hAnsi="Times New Roman" w:cs="Times New Roman"/>
        </w:rPr>
      </w:pPr>
      <w:r>
        <w:rPr>
          <w:rFonts w:ascii="Times New Roman" w:hAnsi="Times New Roman" w:cs="Times New Roman"/>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114"/>
        <w:rPr>
          <w:rFonts w:ascii="Times New Roman" w:hAnsi="Times New Roman" w:cs="Times New Roman"/>
        </w:rPr>
      </w:pPr>
      <w:r>
        <w:rPr>
          <w:rFonts w:ascii="Times New Roman" w:hAnsi="Times New Roman" w:cs="Times New Roman"/>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对响应文件的详细评审</w:t>
      </w:r>
    </w:p>
    <w:p>
      <w:pPr>
        <w:pStyle w:val="114"/>
        <w:rPr>
          <w:rFonts w:ascii="Times New Roman" w:hAnsi="Times New Roman" w:cs="Times New Roman"/>
        </w:rPr>
      </w:pPr>
      <w:r>
        <w:rPr>
          <w:rFonts w:ascii="Times New Roman" w:hAnsi="Times New Roman" w:cs="Times New Roman"/>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14"/>
        <w:rPr>
          <w:rFonts w:ascii="Times New Roman" w:hAnsi="Times New Roman" w:cs="Times New Roman"/>
        </w:rPr>
      </w:pPr>
      <w:r>
        <w:rPr>
          <w:rFonts w:ascii="Times New Roman" w:hAnsi="Times New Roman" w:cs="Times New Roman"/>
        </w:rP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114"/>
        <w:rPr>
          <w:rFonts w:ascii="Times New Roman" w:hAnsi="Times New Roman" w:cs="Times New Roman"/>
        </w:rPr>
      </w:pPr>
      <w:r>
        <w:rPr>
          <w:rFonts w:ascii="Times New Roman" w:hAnsi="Times New Roman" w:cs="Times New Roman"/>
        </w:rPr>
        <w:t>已提交响应文件的供应商，在提交最后报价之前，可以根据磋商情况退出磋商。采购人、采购代理机构应当退还退出磋商的供应商的响应保证金。</w:t>
      </w:r>
    </w:p>
    <w:p>
      <w:pPr>
        <w:pStyle w:val="114"/>
        <w:rPr>
          <w:rFonts w:ascii="Times New Roman" w:hAnsi="Times New Roman" w:cs="Times New Roman"/>
        </w:rPr>
      </w:pPr>
      <w:r>
        <w:rPr>
          <w:rFonts w:ascii="Times New Roman" w:hAnsi="Times New Roman" w:cs="Times New Roman"/>
        </w:rPr>
        <w:t>经磋商确定最终采购需求和提交最后报价的供应商后，由磋商小组采用“</w:t>
      </w:r>
      <w:r>
        <w:fldChar w:fldCharType="begin"/>
      </w:r>
      <w:r>
        <w:instrText xml:space="preserve"> REF 评标标准和评标办法 \h  \* MERGEFORMAT </w:instrText>
      </w:r>
      <w:r>
        <w:fldChar w:fldCharType="separate"/>
      </w:r>
      <w:r>
        <w:rPr>
          <w:rFonts w:ascii="Times New Roman" w:hAnsi="Times New Roman" w:cs="Times New Roman" w:eastAsiaTheme="majorEastAsia"/>
        </w:rPr>
        <w:t>评标标准和评标办法</w:t>
      </w:r>
      <w:r>
        <w:rPr>
          <w:rFonts w:ascii="Times New Roman" w:hAnsi="Times New Roman" w:cs="Times New Roman" w:eastAsiaTheme="majorEastAsia"/>
        </w:rPr>
        <w:fldChar w:fldCharType="end"/>
      </w:r>
      <w:r>
        <w:rPr>
          <w:rFonts w:ascii="Times New Roman" w:hAnsi="Times New Roman" w:cs="Times New Roman"/>
        </w:rPr>
        <w:t>”中约定的办法对提交最后报价的供应商进行评分。</w:t>
      </w:r>
    </w:p>
    <w:p>
      <w:pPr>
        <w:pStyle w:val="114"/>
        <w:rPr>
          <w:rFonts w:ascii="Times New Roman" w:hAnsi="Times New Roman" w:cs="Times New Roman"/>
          <w:szCs w:val="21"/>
        </w:rPr>
      </w:pPr>
      <w:r>
        <w:rPr>
          <w:rFonts w:ascii="Times New Roman" w:hAnsi="Times New Roman" w:cs="Times New Roman"/>
        </w:rP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rPr>
          <w:rFonts w:ascii="Times New Roman" w:hAnsi="Times New Roman" w:cs="Times New Roman" w:eastAsiaTheme="majorEastAsia"/>
        </w:rPr>
        <w:t>评标标准和评标办法</w:t>
      </w:r>
      <w:r>
        <w:rPr>
          <w:rFonts w:ascii="Times New Roman" w:hAnsi="Times New Roman" w:cs="Times New Roman" w:eastAsiaTheme="majorEastAsia"/>
        </w:rPr>
        <w:fldChar w:fldCharType="end"/>
      </w:r>
      <w:r>
        <w:rPr>
          <w:rFonts w:ascii="Times New Roman" w:hAnsi="Times New Roman" w:cs="Times New Roman"/>
        </w:rPr>
        <w:t>”。</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确定成交人</w:t>
      </w:r>
    </w:p>
    <w:p>
      <w:pPr>
        <w:pStyle w:val="114"/>
        <w:rPr>
          <w:rFonts w:ascii="Times New Roman" w:hAnsi="Times New Roman" w:cs="Times New Roman"/>
        </w:rPr>
      </w:pPr>
      <w:r>
        <w:rPr>
          <w:rFonts w:ascii="Times New Roman" w:hAnsi="Times New Roman" w:cs="Times New Roman"/>
        </w:rP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114"/>
        <w:rPr>
          <w:rFonts w:ascii="Times New Roman" w:hAnsi="Times New Roman" w:cs="Times New Roman"/>
        </w:rPr>
      </w:pPr>
      <w:r>
        <w:rPr>
          <w:rFonts w:ascii="Times New Roman" w:hAnsi="Times New Roman" w:cs="Times New Roma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4"/>
        <w:rPr>
          <w:rFonts w:ascii="Times New Roman" w:hAnsi="Times New Roman" w:cs="Times New Roman"/>
        </w:rPr>
      </w:pPr>
      <w:r>
        <w:rPr>
          <w:rFonts w:ascii="Times New Roman" w:hAnsi="Times New Roman" w:cs="Times New Roman"/>
        </w:rPr>
        <w:t>采购人将确定排名第一的成交候选人为成交人并向其授予合同。排名第一的成交候选人因不可抗力或者自身原因不能履行合同，采购人可以按照</w:t>
      </w:r>
      <w:r>
        <w:rPr>
          <w:rFonts w:hint="eastAsia" w:cs="宋体" w:asciiTheme="minorEastAsia" w:hAnsiTheme="minorEastAsia" w:eastAsiaTheme="minorEastAsia"/>
          <w:kern w:val="0"/>
          <w:sz w:val="21"/>
          <w:szCs w:val="21"/>
        </w:rPr>
        <w:t>《</w:t>
      </w:r>
      <w:r>
        <w:rPr>
          <w:rFonts w:ascii="Times New Roman" w:hAnsi="Times New Roman" w:cs="Times New Roman"/>
        </w:rPr>
        <w:t>政府采购竞争性磋商采购方式管理暂行办法》（财库〔2014〕214号）第二十八条第二款规定的原则确定其他供应商作为成交供应商并签订政府采购合同。</w:t>
      </w:r>
    </w:p>
    <w:p>
      <w:pPr>
        <w:pStyle w:val="114"/>
        <w:rPr>
          <w:rFonts w:ascii="Times New Roman" w:hAnsi="Times New Roman" w:cs="Times New Roman"/>
        </w:rPr>
      </w:pPr>
      <w:r>
        <w:rPr>
          <w:rFonts w:ascii="Times New Roman" w:hAnsi="Times New Roman" w:cs="Times New Roman"/>
        </w:rPr>
        <w:t>采购人也可授权磋商小组按本条规定直接确定成交人。</w:t>
      </w:r>
    </w:p>
    <w:p>
      <w:pPr>
        <w:pStyle w:val="114"/>
        <w:rPr>
          <w:rFonts w:ascii="Times New Roman" w:hAnsi="Times New Roman" w:cs="Times New Roman"/>
        </w:rPr>
      </w:pPr>
      <w:r>
        <w:rPr>
          <w:rFonts w:ascii="Times New Roman" w:hAnsi="Times New Roman" w:cs="Times New Roman"/>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114"/>
        <w:rPr>
          <w:rFonts w:ascii="Times New Roman" w:hAnsi="Times New Roman" w:cs="Times New Roman"/>
        </w:rPr>
      </w:pPr>
      <w:r>
        <w:rPr>
          <w:rFonts w:ascii="Times New Roman" w:hAnsi="Times New Roman" w:cs="Times New Roman"/>
        </w:rPr>
        <w:t>采购人不得通过对样品进行检测、对供应商进行考察等方式改变评审结果。</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评标过程保密</w:t>
      </w:r>
    </w:p>
    <w:p>
      <w:pPr>
        <w:pStyle w:val="114"/>
        <w:rPr>
          <w:rFonts w:ascii="Times New Roman" w:hAnsi="Times New Roman" w:cs="Times New Roman"/>
        </w:rPr>
      </w:pPr>
      <w:r>
        <w:rPr>
          <w:rFonts w:ascii="Times New Roman" w:hAnsi="Times New Roman" w:cs="Times New Roman"/>
        </w:rPr>
        <w:t>响应截止时间之后，直到授予响应人合同止，凡是属于审查、澄清、评价和比较响应的有关资料以及授标意向等，均不向响应人或其他与评标无关的人员透露。</w:t>
      </w:r>
    </w:p>
    <w:p>
      <w:pPr>
        <w:pStyle w:val="114"/>
        <w:rPr>
          <w:rFonts w:ascii="Times New Roman" w:hAnsi="Times New Roman" w:cs="Times New Roman"/>
        </w:rPr>
      </w:pPr>
      <w:r>
        <w:rPr>
          <w:rFonts w:ascii="Times New Roman" w:hAnsi="Times New Roman" w:cs="Times New Roman"/>
        </w:rPr>
        <w:t>在评标期间，响应人企图影响采购人或磋商小组的任何活动，将导致响应被拒绝，并由其承担相应的法律责任。</w:t>
      </w:r>
    </w:p>
    <w:p>
      <w:pPr>
        <w:pStyle w:val="114"/>
        <w:rPr>
          <w:rFonts w:ascii="Times New Roman" w:hAnsi="Times New Roman" w:cs="Times New Roman"/>
        </w:rPr>
      </w:pPr>
      <w:r>
        <w:rPr>
          <w:rFonts w:ascii="Times New Roman" w:hAnsi="Times New Roman" w:cs="Times New Roman"/>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关于响应人瑕疵滞后发现的处理规则</w:t>
      </w:r>
    </w:p>
    <w:p>
      <w:pPr>
        <w:pStyle w:val="114"/>
        <w:rPr>
          <w:rFonts w:ascii="Times New Roman" w:hAnsi="Times New Roman" w:cs="Times New Roman"/>
        </w:rPr>
      </w:pPr>
      <w:r>
        <w:rPr>
          <w:rFonts w:ascii="Times New Roman" w:hAnsi="Times New Roman" w:cs="Times New Roman"/>
        </w:rP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114"/>
        <w:rPr>
          <w:rFonts w:ascii="Times New Roman" w:hAnsi="Times New Roman" w:cs="Times New Roman"/>
        </w:rPr>
      </w:pPr>
      <w:r>
        <w:rPr>
          <w:rFonts w:ascii="Times New Roman" w:hAnsi="Times New Roman" w:cs="Times New Roman"/>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114"/>
        <w:rPr>
          <w:rFonts w:ascii="Times New Roman" w:hAnsi="Times New Roman" w:cs="Times New Roman"/>
        </w:rPr>
      </w:pPr>
      <w:r>
        <w:rPr>
          <w:rFonts w:ascii="Times New Roman" w:hAnsi="Times New Roman" w:cs="Times New Roman"/>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采购项目废标</w:t>
      </w:r>
    </w:p>
    <w:p>
      <w:pPr>
        <w:pStyle w:val="114"/>
        <w:rPr>
          <w:rFonts w:ascii="Times New Roman" w:hAnsi="Times New Roman" w:cs="Times New Roman"/>
        </w:rPr>
      </w:pPr>
      <w:r>
        <w:rPr>
          <w:rFonts w:ascii="Times New Roman" w:hAnsi="Times New Roman" w:cs="Times New Roman"/>
        </w:rPr>
        <w:t>在评标过程中，磋商小组发现有下列情形之一的，应对采购项目予以废标：</w:t>
      </w:r>
    </w:p>
    <w:p>
      <w:pPr>
        <w:numPr>
          <w:ilvl w:val="0"/>
          <w:numId w:val="27"/>
        </w:numPr>
        <w:spacing w:line="400" w:lineRule="exact"/>
        <w:textAlignment w:val="auto"/>
        <w:rPr>
          <w:rFonts w:eastAsiaTheme="minorEastAsia"/>
          <w:sz w:val="21"/>
          <w:szCs w:val="21"/>
        </w:rPr>
      </w:pPr>
      <w:r>
        <w:rPr>
          <w:rFonts w:eastAsiaTheme="minorEastAsia"/>
          <w:sz w:val="21"/>
          <w:szCs w:val="21"/>
        </w:rPr>
        <w:t>因情况变化，不再符合规定的竞争性磋商采购方式适用情形的；</w:t>
      </w:r>
    </w:p>
    <w:p>
      <w:pPr>
        <w:numPr>
          <w:ilvl w:val="0"/>
          <w:numId w:val="27"/>
        </w:numPr>
        <w:spacing w:line="400" w:lineRule="exact"/>
        <w:textAlignment w:val="auto"/>
        <w:rPr>
          <w:rFonts w:eastAsiaTheme="minorEastAsia"/>
          <w:sz w:val="21"/>
          <w:szCs w:val="21"/>
        </w:rPr>
      </w:pPr>
      <w:r>
        <w:rPr>
          <w:rFonts w:eastAsiaTheme="minorEastAsia"/>
          <w:sz w:val="21"/>
          <w:szCs w:val="21"/>
        </w:rPr>
        <w:t>出现影响采购公正的违法、违规行为的；</w:t>
      </w:r>
    </w:p>
    <w:p>
      <w:pPr>
        <w:numPr>
          <w:ilvl w:val="0"/>
          <w:numId w:val="27"/>
        </w:numPr>
        <w:spacing w:line="400" w:lineRule="exact"/>
        <w:textAlignment w:val="auto"/>
        <w:rPr>
          <w:rFonts w:eastAsiaTheme="minorEastAsia"/>
          <w:sz w:val="21"/>
          <w:szCs w:val="21"/>
        </w:rPr>
      </w:pPr>
      <w:r>
        <w:rPr>
          <w:rFonts w:eastAsiaTheme="minorEastAsia"/>
          <w:sz w:val="21"/>
          <w:szCs w:val="21"/>
        </w:rPr>
        <w:t>除《政府采购竞争性磋商采购方式管理暂行办法》（财库〔2014〕214号）第二十一条第三款规定的情形外，在采购过程中符合要求的供应商或者报价未超过采购预算的供应商不足2家的。</w:t>
      </w:r>
    </w:p>
    <w:p>
      <w:pPr>
        <w:pStyle w:val="114"/>
        <w:rPr>
          <w:rFonts w:ascii="Times New Roman" w:hAnsi="Times New Roman" w:cs="Times New Roman"/>
        </w:rPr>
      </w:pPr>
      <w:r>
        <w:rPr>
          <w:rFonts w:ascii="Times New Roman" w:hAnsi="Times New Roman" w:cs="Times New Roman"/>
        </w:rPr>
        <w:t>采购项目废标后，磋商小组应作出书面报告。</w:t>
      </w:r>
    </w:p>
    <w:p>
      <w:pPr>
        <w:pStyle w:val="114"/>
        <w:rPr>
          <w:rFonts w:ascii="Times New Roman" w:hAnsi="Times New Roman" w:cs="Times New Roman"/>
        </w:rPr>
      </w:pPr>
      <w:r>
        <w:rPr>
          <w:rFonts w:ascii="Times New Roman" w:hAnsi="Times New Roman" w:cs="Times New Roman"/>
        </w:rPr>
        <w:t>在采购活动中因重大变故，采购任务取消的，采购人或者采购代理机构应当终止采购活动，通知所有参加采购活动的供应商。</w:t>
      </w:r>
    </w:p>
    <w:p>
      <w:pPr>
        <w:pStyle w:val="114"/>
        <w:rPr>
          <w:rFonts w:ascii="Times New Roman" w:hAnsi="Times New Roman" w:cs="Times New Roman"/>
        </w:rPr>
      </w:pPr>
      <w:r>
        <w:rPr>
          <w:rFonts w:ascii="Times New Roman" w:hAnsi="Times New Roman" w:cs="Times New Roman"/>
        </w:rPr>
        <w:t>废标后，采购人应当将废标原因通知所有响应人。</w:t>
      </w:r>
    </w:p>
    <w:p>
      <w:pPr>
        <w:pStyle w:val="4"/>
        <w:numPr>
          <w:ilvl w:val="0"/>
          <w:numId w:val="15"/>
        </w:numPr>
        <w:adjustRightInd/>
        <w:spacing w:line="415" w:lineRule="auto"/>
        <w:jc w:val="both"/>
        <w:textAlignment w:val="auto"/>
        <w:rPr>
          <w:rFonts w:eastAsiaTheme="minorEastAsia"/>
          <w:kern w:val="2"/>
        </w:rPr>
      </w:pPr>
      <w:bookmarkStart w:id="66" w:name="_Toc477459646"/>
      <w:r>
        <w:rPr>
          <w:rFonts w:eastAsiaTheme="minorEastAsia"/>
          <w:kern w:val="2"/>
        </w:rPr>
        <w:t>签订合同</w:t>
      </w:r>
      <w:bookmarkEnd w:id="66"/>
    </w:p>
    <w:p>
      <w:pPr>
        <w:pStyle w:val="5"/>
        <w:numPr>
          <w:ilvl w:val="0"/>
          <w:numId w:val="28"/>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成交通知</w:t>
      </w:r>
    </w:p>
    <w:p>
      <w:pPr>
        <w:pStyle w:val="114"/>
        <w:rPr>
          <w:rFonts w:ascii="Times New Roman" w:hAnsi="Times New Roman" w:cs="Times New Roman"/>
        </w:rPr>
      </w:pPr>
      <w:r>
        <w:rPr>
          <w:rFonts w:ascii="Times New Roman" w:hAnsi="Times New Roman" w:cs="Times New Roman"/>
        </w:rP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114"/>
        <w:rPr>
          <w:rFonts w:ascii="Times New Roman" w:hAnsi="Times New Roman" w:cs="Times New Roman"/>
          <w:szCs w:val="21"/>
        </w:rPr>
      </w:pPr>
      <w:r>
        <w:rPr>
          <w:rFonts w:ascii="Times New Roman" w:hAnsi="Times New Roman" w:cs="Times New Roman"/>
        </w:rPr>
        <w:t>成交通知书是合同的组成部分。</w:t>
      </w:r>
    </w:p>
    <w:p>
      <w:pPr>
        <w:pStyle w:val="5"/>
        <w:numPr>
          <w:ilvl w:val="0"/>
          <w:numId w:val="28"/>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签订合同</w:t>
      </w:r>
    </w:p>
    <w:p>
      <w:pPr>
        <w:pStyle w:val="114"/>
        <w:rPr>
          <w:rFonts w:ascii="Times New Roman" w:hAnsi="Times New Roman" w:cs="Times New Roman"/>
        </w:rPr>
      </w:pPr>
      <w:r>
        <w:rPr>
          <w:rFonts w:ascii="Times New Roman" w:hAnsi="Times New Roman" w:cs="Times New Roman"/>
        </w:rPr>
        <w:t>采购人与成交供应商应当在成交通知书发出之日起30日</w:t>
      </w:r>
      <w:r>
        <w:rPr>
          <w:rFonts w:hint="eastAsia" w:ascii="Times New Roman" w:hAnsi="Times New Roman" w:cs="Times New Roman"/>
        </w:rPr>
        <w:t>内</w:t>
      </w:r>
      <w:r>
        <w:rPr>
          <w:rFonts w:ascii="Times New Roman" w:hAnsi="Times New Roman" w:cs="Times New Roman"/>
        </w:rPr>
        <w:t>，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14"/>
        <w:rPr>
          <w:rFonts w:ascii="Times New Roman" w:hAnsi="Times New Roman" w:cs="Times New Roman"/>
        </w:rPr>
      </w:pPr>
      <w:r>
        <w:rPr>
          <w:rFonts w:ascii="Times New Roman" w:hAnsi="Times New Roman" w:cs="Times New Roman"/>
        </w:rPr>
        <w:t>采购人如需追加与合同标的相同的货物，在不改变合同其他条款的前提下，成交人可与采购人协商签订补充合同，但所有补充合同的采购金额不得超过原合同金额的百分之十。</w:t>
      </w:r>
    </w:p>
    <w:p>
      <w:pPr>
        <w:pStyle w:val="114"/>
        <w:rPr>
          <w:rFonts w:ascii="Times New Roman" w:hAnsi="Times New Roman" w:cs="Times New Roman"/>
        </w:rPr>
      </w:pPr>
      <w:r>
        <w:rPr>
          <w:rFonts w:ascii="Times New Roman" w:hAnsi="Times New Roman" w:cs="Times New Roman"/>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114"/>
        <w:rPr>
          <w:rFonts w:ascii="Times New Roman" w:hAnsi="Times New Roman" w:cs="Times New Roman"/>
        </w:rPr>
      </w:pPr>
      <w:r>
        <w:rPr>
          <w:rFonts w:ascii="Times New Roman" w:hAnsi="Times New Roman" w:cs="Times New Roman"/>
        </w:rP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114"/>
        <w:rPr>
          <w:rFonts w:ascii="Times New Roman" w:hAnsi="Times New Roman" w:cs="Times New Roman"/>
        </w:rPr>
      </w:pPr>
      <w:r>
        <w:rPr>
          <w:rFonts w:ascii="Times New Roman" w:hAnsi="Times New Roman" w:cs="Times New Roman"/>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4"/>
        <w:numPr>
          <w:ilvl w:val="0"/>
          <w:numId w:val="15"/>
        </w:numPr>
        <w:adjustRightInd/>
        <w:spacing w:line="415" w:lineRule="auto"/>
        <w:jc w:val="both"/>
        <w:textAlignment w:val="auto"/>
        <w:rPr>
          <w:rFonts w:eastAsiaTheme="minorEastAsia"/>
          <w:kern w:val="2"/>
        </w:rPr>
      </w:pPr>
      <w:bookmarkStart w:id="67" w:name="_Toc477459647"/>
      <w:r>
        <w:rPr>
          <w:rFonts w:eastAsiaTheme="minorEastAsia"/>
          <w:kern w:val="2"/>
        </w:rPr>
        <w:t>成交管理费</w:t>
      </w:r>
      <w:bookmarkEnd w:id="67"/>
    </w:p>
    <w:p>
      <w:pPr>
        <w:pStyle w:val="114"/>
        <w:rPr>
          <w:rFonts w:ascii="Times New Roman" w:hAnsi="Times New Roman" w:cs="Times New Roman"/>
        </w:rPr>
      </w:pPr>
      <w:r>
        <w:rPr>
          <w:rFonts w:ascii="Times New Roman" w:hAnsi="Times New Roman" w:cs="Times New Roman"/>
        </w:rPr>
        <w:t>本次磋商收取</w:t>
      </w:r>
      <w:r>
        <w:rPr>
          <w:rFonts w:ascii="Times New Roman" w:hAnsi="Times New Roman" w:cs="Times New Roman"/>
          <w:b/>
          <w:bCs/>
        </w:rPr>
        <w:t>成交管理费人民币</w:t>
      </w:r>
      <w:r>
        <w:rPr>
          <w:rFonts w:hint="eastAsia" w:ascii="Times New Roman" w:hAnsi="Times New Roman" w:cs="Times New Roman"/>
          <w:b/>
          <w:bCs/>
        </w:rPr>
        <w:t>6000</w:t>
      </w:r>
      <w:r>
        <w:rPr>
          <w:rFonts w:ascii="Times New Roman" w:hAnsi="Times New Roman" w:cs="Times New Roman"/>
          <w:b/>
          <w:bCs/>
        </w:rPr>
        <w:t>元</w:t>
      </w:r>
      <w:r>
        <w:rPr>
          <w:rFonts w:ascii="Times New Roman" w:hAnsi="Times New Roman" w:cs="Times New Roman"/>
        </w:rPr>
        <w:t>，请响应人在测算响应报价时充分考虑这一因素。</w:t>
      </w:r>
    </w:p>
    <w:p>
      <w:pPr>
        <w:pStyle w:val="4"/>
        <w:numPr>
          <w:ilvl w:val="0"/>
          <w:numId w:val="15"/>
        </w:numPr>
        <w:adjustRightInd/>
        <w:spacing w:line="415" w:lineRule="auto"/>
        <w:jc w:val="both"/>
        <w:textAlignment w:val="auto"/>
        <w:rPr>
          <w:rFonts w:eastAsiaTheme="minorEastAsia"/>
          <w:kern w:val="2"/>
        </w:rPr>
      </w:pPr>
      <w:bookmarkStart w:id="68" w:name="_Toc477459648"/>
      <w:r>
        <w:rPr>
          <w:rFonts w:eastAsiaTheme="minorEastAsia"/>
          <w:kern w:val="2"/>
        </w:rPr>
        <w:t>处罚、询问和质疑</w:t>
      </w:r>
      <w:bookmarkEnd w:id="68"/>
    </w:p>
    <w:p>
      <w:pPr>
        <w:pStyle w:val="114"/>
        <w:rPr>
          <w:rFonts w:ascii="Times New Roman" w:hAnsi="Times New Roman" w:cs="Times New Roman"/>
        </w:rPr>
      </w:pPr>
      <w:r>
        <w:rPr>
          <w:rFonts w:ascii="Times New Roman" w:hAnsi="Times New Roman" w:cs="Times New Roman"/>
        </w:rPr>
        <w:t>发生下列情况之一，响应人的响应保证金将</w:t>
      </w:r>
      <w:r>
        <w:rPr>
          <w:rFonts w:hint="eastAsia" w:ascii="Times New Roman" w:hAnsi="Times New Roman" w:cs="Times New Roman"/>
        </w:rPr>
        <w:t>不予退还</w:t>
      </w:r>
      <w:r>
        <w:rPr>
          <w:rFonts w:ascii="Times New Roman" w:hAnsi="Times New Roman" w:cs="Times New Roman"/>
        </w:rPr>
        <w:t>，并被列入不良记录名单，响应人今后参与同类政府采购项目的机会可能会受到影响：</w:t>
      </w:r>
    </w:p>
    <w:p>
      <w:pPr>
        <w:numPr>
          <w:ilvl w:val="0"/>
          <w:numId w:val="29"/>
        </w:numPr>
        <w:spacing w:line="400" w:lineRule="exact"/>
        <w:textAlignment w:val="auto"/>
        <w:rPr>
          <w:rFonts w:eastAsiaTheme="minorEastAsia"/>
          <w:sz w:val="21"/>
          <w:szCs w:val="21"/>
        </w:rPr>
      </w:pPr>
      <w:r>
        <w:rPr>
          <w:rFonts w:eastAsiaTheme="minorEastAsia"/>
          <w:sz w:val="21"/>
          <w:szCs w:val="21"/>
        </w:rPr>
        <w:t>供应商在提交响应文件截止时间后撤回响应文件的；</w:t>
      </w:r>
    </w:p>
    <w:p>
      <w:pPr>
        <w:numPr>
          <w:ilvl w:val="0"/>
          <w:numId w:val="29"/>
        </w:numPr>
        <w:spacing w:line="400" w:lineRule="exact"/>
        <w:textAlignment w:val="auto"/>
        <w:rPr>
          <w:rFonts w:eastAsiaTheme="minorEastAsia"/>
          <w:sz w:val="21"/>
          <w:szCs w:val="21"/>
        </w:rPr>
      </w:pPr>
      <w:r>
        <w:rPr>
          <w:rFonts w:eastAsiaTheme="minorEastAsia"/>
          <w:sz w:val="21"/>
          <w:szCs w:val="21"/>
        </w:rPr>
        <w:t>供应商在响应文件中提供虚假材料的；</w:t>
      </w:r>
    </w:p>
    <w:p>
      <w:pPr>
        <w:numPr>
          <w:ilvl w:val="0"/>
          <w:numId w:val="29"/>
        </w:numPr>
        <w:spacing w:line="400" w:lineRule="exact"/>
        <w:textAlignment w:val="auto"/>
        <w:rPr>
          <w:rFonts w:eastAsiaTheme="minorEastAsia"/>
          <w:sz w:val="21"/>
          <w:szCs w:val="21"/>
        </w:rPr>
      </w:pPr>
      <w:r>
        <w:rPr>
          <w:rFonts w:eastAsiaTheme="minorEastAsia"/>
          <w:sz w:val="21"/>
          <w:szCs w:val="21"/>
        </w:rPr>
        <w:t>除因不可抗力或磋商文件认可的情形以外，成交供应商不与采购人签订合同的；</w:t>
      </w:r>
    </w:p>
    <w:p>
      <w:pPr>
        <w:numPr>
          <w:ilvl w:val="0"/>
          <w:numId w:val="29"/>
        </w:numPr>
        <w:spacing w:line="400" w:lineRule="exact"/>
        <w:textAlignment w:val="auto"/>
        <w:rPr>
          <w:rFonts w:eastAsiaTheme="minorEastAsia"/>
          <w:sz w:val="21"/>
          <w:szCs w:val="21"/>
        </w:rPr>
      </w:pPr>
      <w:r>
        <w:rPr>
          <w:rFonts w:eastAsiaTheme="minorEastAsia"/>
          <w:sz w:val="21"/>
          <w:szCs w:val="21"/>
        </w:rPr>
        <w:t>供应商与采购人、其他供应商或者采购代理机构恶意串通的；</w:t>
      </w:r>
    </w:p>
    <w:p>
      <w:pPr>
        <w:tabs>
          <w:tab w:val="left" w:pos="709"/>
        </w:tabs>
        <w:spacing w:line="400" w:lineRule="exact"/>
        <w:ind w:firstLine="420" w:firstLineChars="200"/>
        <w:textAlignment w:val="auto"/>
        <w:rPr>
          <w:rFonts w:eastAsiaTheme="minorEastAsia"/>
        </w:rPr>
      </w:pPr>
      <w:r>
        <w:rPr>
          <w:rFonts w:hint="eastAsia" w:eastAsiaTheme="minorEastAsia"/>
          <w:sz w:val="21"/>
          <w:szCs w:val="21"/>
        </w:rPr>
        <w:t xml:space="preserve"> （5）</w:t>
      </w:r>
      <w:r>
        <w:rPr>
          <w:rFonts w:eastAsiaTheme="minorEastAsia"/>
          <w:sz w:val="21"/>
          <w:szCs w:val="21"/>
        </w:rPr>
        <w:t>磋商文件规定的其他情形。</w:t>
      </w:r>
    </w:p>
    <w:p>
      <w:pPr>
        <w:pStyle w:val="114"/>
        <w:rPr>
          <w:rFonts w:ascii="Times New Roman" w:hAnsi="Times New Roman" w:cs="Times New Roman"/>
        </w:rPr>
      </w:pPr>
      <w:r>
        <w:rPr>
          <w:rFonts w:ascii="Times New Roman" w:hAnsi="Times New Roman" w:cs="Times New Roman"/>
        </w:rPr>
        <w:t>响应人有权就磋商事宜提出质疑</w:t>
      </w:r>
      <w:r>
        <w:rPr>
          <w:rFonts w:hint="eastAsia" w:ascii="Times New Roman" w:hAnsi="Times New Roman" w:cs="Times New Roman"/>
        </w:rPr>
        <w:t>。</w:t>
      </w:r>
    </w:p>
    <w:p>
      <w:pPr>
        <w:pStyle w:val="114"/>
        <w:rPr>
          <w:rFonts w:ascii="Times New Roman" w:hAnsi="Times New Roman" w:cs="Times New Roman"/>
        </w:rPr>
      </w:pPr>
      <w:r>
        <w:rPr>
          <w:rFonts w:ascii="Times New Roman" w:hAnsi="Times New Roman" w:cs="Times New Roman"/>
        </w:rPr>
        <w:t>响应人对采购事项有疑问的，可以向采购人或</w:t>
      </w:r>
      <w:commentRangeStart w:id="2"/>
      <w:r>
        <w:rPr>
          <w:rFonts w:ascii="Times New Roman" w:hAnsi="Times New Roman" w:cs="Times New Roman"/>
        </w:rPr>
        <w:t>采购人</w:t>
      </w:r>
      <w:commentRangeEnd w:id="2"/>
      <w:r>
        <w:rPr>
          <w:rStyle w:val="45"/>
          <w:rFonts w:ascii="Times New Roman" w:hAnsi="Times New Roman" w:eastAsia="宋体" w:cs="Times New Roman"/>
          <w:kern w:val="0"/>
        </w:rPr>
        <w:commentReference w:id="2"/>
      </w:r>
      <w:r>
        <w:rPr>
          <w:rStyle w:val="45"/>
          <w:rFonts w:hint="eastAsia" w:ascii="Times New Roman" w:hAnsi="Times New Roman" w:eastAsia="宋体" w:cs="Times New Roman"/>
          <w:kern w:val="0"/>
        </w:rPr>
        <w:t>所委托的招标代理机构</w:t>
      </w:r>
      <w:r>
        <w:rPr>
          <w:rFonts w:ascii="Times New Roman" w:hAnsi="Times New Roman" w:cs="Times New Roman"/>
        </w:rPr>
        <w:t>提出询问。</w:t>
      </w:r>
    </w:p>
    <w:p>
      <w:pPr>
        <w:pStyle w:val="114"/>
        <w:rPr>
          <w:rFonts w:ascii="Times New Roman" w:hAnsi="Times New Roman" w:cs="Times New Roman"/>
        </w:rPr>
      </w:pPr>
      <w:r>
        <w:rPr>
          <w:rFonts w:ascii="Times New Roman" w:hAnsi="Times New Roman" w:cs="Times New Roman"/>
        </w:rPr>
        <w:t>磋商程序受《中华人民共和国政府采购法》和相关法律法规的约束，并受到严格的内部监察，以确保授予合同过程的公平公正。</w:t>
      </w:r>
    </w:p>
    <w:p>
      <w:pPr>
        <w:pStyle w:val="114"/>
        <w:rPr>
          <w:rFonts w:ascii="Times New Roman" w:hAnsi="Times New Roman" w:cs="Times New Roman"/>
        </w:rPr>
      </w:pPr>
      <w:r>
        <w:rPr>
          <w:rFonts w:ascii="Times New Roman" w:hAnsi="Times New Roman" w:cs="Times New Roman"/>
        </w:rPr>
        <w:t>响应人对磋商文件条款或技术参数有异议的，应当在响应截止时间前通过澄清或修改程序提出。响应人已经参与响应，并于响应截止时间后对磋商文件提出质疑的，其质疑应当被视为无效质疑。</w:t>
      </w:r>
    </w:p>
    <w:p>
      <w:pPr>
        <w:pStyle w:val="114"/>
        <w:rPr>
          <w:rFonts w:ascii="Times New Roman" w:hAnsi="Times New Roman" w:cs="Times New Roman"/>
        </w:rPr>
      </w:pPr>
      <w:r>
        <w:rPr>
          <w:rFonts w:ascii="Times New Roman" w:hAnsi="Times New Roman" w:cs="Times New Roman"/>
        </w:rPr>
        <w:t>若响应人认为其响应未获公平评审或采购过程和成交结果使自己的合法权益受到损害的，可以在知道或者应知其权益受到损害之日起7个工作日内提出质疑。</w:t>
      </w:r>
    </w:p>
    <w:p>
      <w:pPr>
        <w:pStyle w:val="114"/>
        <w:rPr>
          <w:rFonts w:ascii="Times New Roman" w:hAnsi="Times New Roman" w:cs="Times New Roman"/>
        </w:rPr>
      </w:pPr>
      <w:r>
        <w:rPr>
          <w:rFonts w:ascii="Times New Roman" w:hAnsi="Times New Roman" w:cs="Times New Roman"/>
        </w:rPr>
        <w:t>质疑应当以书面形式向采购人或</w:t>
      </w:r>
      <w:commentRangeStart w:id="3"/>
      <w:r>
        <w:rPr>
          <w:rFonts w:ascii="Times New Roman" w:hAnsi="Times New Roman" w:cs="Times New Roman"/>
        </w:rPr>
        <w:t>采购人</w:t>
      </w:r>
      <w:commentRangeEnd w:id="3"/>
      <w:r>
        <w:rPr>
          <w:rStyle w:val="45"/>
          <w:rFonts w:ascii="Times New Roman" w:hAnsi="Times New Roman" w:eastAsia="宋体" w:cs="Times New Roman"/>
          <w:kern w:val="0"/>
        </w:rPr>
        <w:commentReference w:id="3"/>
      </w:r>
      <w:r>
        <w:rPr>
          <w:rStyle w:val="45"/>
          <w:rFonts w:hint="eastAsia" w:ascii="Times New Roman" w:hAnsi="Times New Roman" w:eastAsia="宋体" w:cs="Times New Roman"/>
          <w:kern w:val="0"/>
        </w:rPr>
        <w:t>所委托的招标代理机构</w:t>
      </w:r>
      <w:r>
        <w:rPr>
          <w:rFonts w:ascii="Times New Roman" w:hAnsi="Times New Roman" w:cs="Times New Roman"/>
        </w:rPr>
        <w:t>提出，经法定代表人签字并加盖公章。</w:t>
      </w:r>
    </w:p>
    <w:p>
      <w:pPr>
        <w:pStyle w:val="114"/>
        <w:rPr>
          <w:rFonts w:ascii="Times New Roman" w:hAnsi="Times New Roman" w:cs="Times New Roman"/>
        </w:rPr>
      </w:pPr>
      <w:r>
        <w:rPr>
          <w:rFonts w:ascii="Times New Roman" w:hAnsi="Times New Roman" w:cs="Times New Roman"/>
        </w:rP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114"/>
        <w:rPr>
          <w:rFonts w:ascii="Times New Roman" w:hAnsi="Times New Roman" w:cs="Times New Roman"/>
        </w:rPr>
      </w:pPr>
      <w:r>
        <w:rPr>
          <w:rFonts w:ascii="Times New Roman" w:hAnsi="Times New Roman" w:cs="Times New Roman"/>
        </w:rPr>
        <w:t>有下列情形之一的，属于无效质疑，采购人可不予受理：</w:t>
      </w:r>
    </w:p>
    <w:p>
      <w:pPr>
        <w:numPr>
          <w:ilvl w:val="0"/>
          <w:numId w:val="30"/>
        </w:numPr>
        <w:spacing w:line="400" w:lineRule="exact"/>
        <w:textAlignment w:val="auto"/>
        <w:rPr>
          <w:rFonts w:eastAsiaTheme="minorEastAsia"/>
          <w:sz w:val="21"/>
          <w:szCs w:val="21"/>
        </w:rPr>
      </w:pPr>
      <w:r>
        <w:rPr>
          <w:rFonts w:eastAsiaTheme="minorEastAsia"/>
          <w:sz w:val="21"/>
          <w:szCs w:val="21"/>
        </w:rPr>
        <w:t>未在有效期限内提出质疑的；</w:t>
      </w:r>
    </w:p>
    <w:p>
      <w:pPr>
        <w:numPr>
          <w:ilvl w:val="0"/>
          <w:numId w:val="30"/>
        </w:numPr>
        <w:spacing w:line="400" w:lineRule="exact"/>
        <w:textAlignment w:val="auto"/>
        <w:rPr>
          <w:rFonts w:eastAsiaTheme="minorEastAsia"/>
          <w:sz w:val="21"/>
          <w:szCs w:val="21"/>
        </w:rPr>
      </w:pPr>
      <w:r>
        <w:rPr>
          <w:rFonts w:eastAsiaTheme="minorEastAsia"/>
          <w:sz w:val="21"/>
          <w:szCs w:val="21"/>
        </w:rPr>
        <w:t>质疑未以书面形式提出的；</w:t>
      </w:r>
    </w:p>
    <w:p>
      <w:pPr>
        <w:numPr>
          <w:ilvl w:val="0"/>
          <w:numId w:val="30"/>
        </w:numPr>
        <w:spacing w:line="400" w:lineRule="exact"/>
        <w:textAlignment w:val="auto"/>
        <w:rPr>
          <w:rFonts w:eastAsiaTheme="minorEastAsia"/>
          <w:sz w:val="21"/>
          <w:szCs w:val="21"/>
        </w:rPr>
      </w:pPr>
      <w:r>
        <w:rPr>
          <w:rFonts w:eastAsiaTheme="minorEastAsia"/>
          <w:sz w:val="21"/>
          <w:szCs w:val="21"/>
        </w:rPr>
        <w:t>所提交材料未明示属于质疑材料的；</w:t>
      </w:r>
    </w:p>
    <w:p>
      <w:pPr>
        <w:numPr>
          <w:ilvl w:val="0"/>
          <w:numId w:val="30"/>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0"/>
        </w:numPr>
        <w:spacing w:line="400" w:lineRule="exact"/>
        <w:textAlignment w:val="auto"/>
        <w:rPr>
          <w:rFonts w:eastAsiaTheme="minorEastAsia"/>
          <w:sz w:val="21"/>
          <w:szCs w:val="21"/>
        </w:rPr>
      </w:pPr>
      <w:r>
        <w:rPr>
          <w:rFonts w:eastAsiaTheme="minorEastAsia"/>
          <w:sz w:val="21"/>
          <w:szCs w:val="21"/>
        </w:rPr>
        <w:t>质疑书未提供有效联系人或联系方式的；</w:t>
      </w:r>
    </w:p>
    <w:p>
      <w:pPr>
        <w:numPr>
          <w:ilvl w:val="0"/>
          <w:numId w:val="30"/>
        </w:numPr>
        <w:spacing w:line="400" w:lineRule="exact"/>
        <w:textAlignment w:val="auto"/>
        <w:rPr>
          <w:rFonts w:eastAsiaTheme="minorEastAsia"/>
          <w:sz w:val="21"/>
          <w:szCs w:val="21"/>
        </w:rPr>
      </w:pPr>
      <w:r>
        <w:rPr>
          <w:rFonts w:eastAsiaTheme="minorEastAsia"/>
          <w:sz w:val="21"/>
          <w:szCs w:val="21"/>
        </w:rPr>
        <w:t>质疑事项已经进入投诉或者诉讼程序的；</w:t>
      </w:r>
    </w:p>
    <w:p>
      <w:pPr>
        <w:numPr>
          <w:ilvl w:val="0"/>
          <w:numId w:val="30"/>
        </w:numPr>
        <w:spacing w:line="400" w:lineRule="exact"/>
        <w:textAlignment w:val="auto"/>
        <w:rPr>
          <w:rFonts w:eastAsiaTheme="minorEastAsia"/>
          <w:sz w:val="21"/>
          <w:szCs w:val="21"/>
        </w:rPr>
      </w:pPr>
      <w:r>
        <w:rPr>
          <w:rFonts w:eastAsiaTheme="minorEastAsia"/>
          <w:sz w:val="21"/>
          <w:szCs w:val="21"/>
        </w:rPr>
        <w:t>其它不符合受理条件的情形。</w:t>
      </w:r>
    </w:p>
    <w:p>
      <w:pPr>
        <w:pStyle w:val="114"/>
        <w:rPr>
          <w:rFonts w:ascii="Times New Roman" w:hAnsi="Times New Roman" w:cs="Times New Roman"/>
        </w:rPr>
      </w:pPr>
      <w:r>
        <w:rPr>
          <w:rFonts w:ascii="Times New Roman" w:hAnsi="Times New Roman" w:cs="Times New Roman"/>
        </w:rPr>
        <w:t>采购人或</w:t>
      </w:r>
      <w:commentRangeStart w:id="4"/>
      <w:r>
        <w:rPr>
          <w:rFonts w:ascii="Times New Roman" w:hAnsi="Times New Roman" w:cs="Times New Roman"/>
        </w:rPr>
        <w:t>采购人</w:t>
      </w:r>
      <w:commentRangeEnd w:id="4"/>
      <w:r>
        <w:rPr>
          <w:rStyle w:val="45"/>
          <w:rFonts w:ascii="Times New Roman" w:hAnsi="Times New Roman" w:eastAsia="宋体" w:cs="Times New Roman"/>
          <w:kern w:val="0"/>
        </w:rPr>
        <w:commentReference w:id="4"/>
      </w:r>
      <w:r>
        <w:rPr>
          <w:rStyle w:val="45"/>
          <w:rFonts w:hint="eastAsia" w:ascii="Times New Roman" w:hAnsi="Times New Roman" w:eastAsia="宋体" w:cs="Times New Roman"/>
          <w:kern w:val="0"/>
        </w:rPr>
        <w:t>所委托的招标代理机构</w:t>
      </w:r>
      <w:r>
        <w:rPr>
          <w:rFonts w:ascii="Times New Roman" w:hAnsi="Times New Roman" w:cs="Times New Roman"/>
        </w:rPr>
        <w:t>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114"/>
        <w:rPr>
          <w:rFonts w:ascii="Times New Roman" w:hAnsi="Times New Roman" w:cs="Times New Roman"/>
        </w:rPr>
      </w:pPr>
      <w:r>
        <w:rPr>
          <w:rFonts w:ascii="Times New Roman" w:hAnsi="Times New Roman" w:cs="Times New Roman"/>
        </w:rPr>
        <w:t>质疑人有下列情形之一的，采购人应驳回质疑：</w:t>
      </w:r>
    </w:p>
    <w:p>
      <w:pPr>
        <w:numPr>
          <w:ilvl w:val="0"/>
          <w:numId w:val="31"/>
        </w:numPr>
        <w:spacing w:line="400" w:lineRule="exact"/>
        <w:textAlignment w:val="auto"/>
        <w:rPr>
          <w:rFonts w:eastAsiaTheme="minorEastAsia"/>
          <w:sz w:val="21"/>
          <w:szCs w:val="21"/>
        </w:rPr>
      </w:pPr>
      <w:r>
        <w:rPr>
          <w:rFonts w:eastAsiaTheme="minorEastAsia"/>
          <w:sz w:val="21"/>
          <w:szCs w:val="21"/>
        </w:rPr>
        <w:t>质疑缺乏事实和法律依据的；</w:t>
      </w:r>
    </w:p>
    <w:p>
      <w:pPr>
        <w:numPr>
          <w:ilvl w:val="0"/>
          <w:numId w:val="31"/>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pPr>
        <w:numPr>
          <w:ilvl w:val="0"/>
          <w:numId w:val="31"/>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pPr>
        <w:numPr>
          <w:ilvl w:val="0"/>
          <w:numId w:val="31"/>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pPr>
        <w:pStyle w:val="114"/>
        <w:rPr>
          <w:rFonts w:ascii="Times New Roman" w:hAnsi="Times New Roman" w:cs="Times New Roman"/>
        </w:rPr>
      </w:pPr>
      <w:r>
        <w:rPr>
          <w:rFonts w:ascii="Times New Roman" w:hAnsi="Times New Roman" w:cs="Times New Roman"/>
        </w:rPr>
        <w:t>供应商进行虚假和恶意质疑的，采购人可以提请有关部门将其列入不良记录名单，在一至三年内禁止参加政府采购活动，并将处理决定在相关政府采购媒体上公布。</w:t>
      </w:r>
    </w:p>
    <w:p>
      <w:pPr>
        <w:pStyle w:val="114"/>
        <w:rPr>
          <w:rFonts w:ascii="Times New Roman" w:hAnsi="Times New Roman" w:cs="Times New Roman"/>
          <w:szCs w:val="21"/>
        </w:rPr>
      </w:pPr>
      <w:r>
        <w:rPr>
          <w:rFonts w:ascii="Times New Roman" w:hAnsi="Times New Roman" w:cs="Times New Roman"/>
        </w:rPr>
        <w:t>质疑响应人对采购人的答复不满意以及采购人未在规定的时间内做出答复的，可以在答复期满后15个工作日内向财政部投诉。</w:t>
      </w:r>
    </w:p>
    <w:p>
      <w:pPr>
        <w:pStyle w:val="4"/>
        <w:numPr>
          <w:ilvl w:val="0"/>
          <w:numId w:val="15"/>
        </w:numPr>
        <w:adjustRightInd/>
        <w:spacing w:line="415" w:lineRule="auto"/>
        <w:jc w:val="both"/>
        <w:textAlignment w:val="auto"/>
        <w:rPr>
          <w:rFonts w:eastAsiaTheme="minorEastAsia"/>
          <w:kern w:val="2"/>
        </w:rPr>
      </w:pPr>
      <w:bookmarkStart w:id="69" w:name="_Toc477459649"/>
      <w:r>
        <w:rPr>
          <w:rFonts w:eastAsiaTheme="minorEastAsia"/>
          <w:kern w:val="2"/>
        </w:rPr>
        <w:t>保密和披露</w:t>
      </w:r>
      <w:bookmarkEnd w:id="69"/>
    </w:p>
    <w:p>
      <w:pPr>
        <w:pStyle w:val="114"/>
        <w:rPr>
          <w:rFonts w:ascii="Times New Roman" w:hAnsi="Times New Roman" w:cs="Times New Roman"/>
        </w:rPr>
      </w:pPr>
      <w:r>
        <w:rPr>
          <w:rFonts w:ascii="Times New Roman" w:hAnsi="Times New Roman" w:cs="Times New Roman"/>
        </w:rPr>
        <w:t>响应人自领取磋商文件之日起，须承诺承担本磋商项目下保密义务，不得将因本次磋商获得的信息向第三人外传。</w:t>
      </w:r>
    </w:p>
    <w:p>
      <w:pPr>
        <w:pStyle w:val="114"/>
        <w:rPr>
          <w:rFonts w:ascii="Times New Roman" w:hAnsi="Times New Roman" w:cs="Times New Roman"/>
        </w:rPr>
      </w:pPr>
      <w:r>
        <w:rPr>
          <w:rFonts w:ascii="Times New Roman" w:hAnsi="Times New Roman" w:cs="Times New Roman"/>
        </w:rPr>
        <w:t>采购人有权将响应人提供的所有资料向有关政府部门或评审标书的有关人员披露。</w:t>
      </w:r>
    </w:p>
    <w:p>
      <w:pPr>
        <w:pStyle w:val="114"/>
        <w:rPr>
          <w:rFonts w:ascii="Times New Roman" w:hAnsi="Times New Roman" w:cs="Times New Roman"/>
        </w:rPr>
      </w:pPr>
      <w:r>
        <w:rPr>
          <w:rFonts w:ascii="Times New Roman" w:hAnsi="Times New Roman" w:cs="Times New Roman"/>
        </w:rP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57"/>
    <w:p>
      <w:pPr>
        <w:pStyle w:val="3"/>
        <w:adjustRightInd/>
        <w:spacing w:line="415" w:lineRule="auto"/>
        <w:ind w:left="420" w:hanging="420"/>
        <w:jc w:val="center"/>
        <w:textAlignment w:val="auto"/>
        <w:rPr>
          <w:rFonts w:ascii="Times New Roman" w:hAnsi="Times New Roman" w:eastAsiaTheme="minorEastAsia"/>
          <w:sz w:val="21"/>
          <w:szCs w:val="21"/>
        </w:rPr>
      </w:pPr>
      <w:r>
        <w:rPr>
          <w:rFonts w:ascii="Times New Roman" w:hAnsi="Times New Roman" w:eastAsiaTheme="majorEastAsia"/>
          <w:kern w:val="2"/>
        </w:rPr>
        <w:br w:type="page"/>
      </w:r>
      <w:bookmarkStart w:id="70" w:name="_Toc477459650"/>
      <w:bookmarkStart w:id="71" w:name="_Toc477456210"/>
      <w:r>
        <w:rPr>
          <w:rFonts w:ascii="Times New Roman" w:hAnsi="Times New Roman" w:eastAsiaTheme="majorEastAsia"/>
          <w:kern w:val="2"/>
        </w:rPr>
        <w:t>第四部分</w:t>
      </w:r>
      <w:bookmarkStart w:id="72" w:name="评标标准和评标办法"/>
      <w:r>
        <w:rPr>
          <w:rFonts w:ascii="Times New Roman" w:hAnsi="Times New Roman" w:eastAsiaTheme="majorEastAsia"/>
          <w:kern w:val="2"/>
        </w:rPr>
        <w:t>评标标准和评标办法</w:t>
      </w:r>
      <w:bookmarkEnd w:id="70"/>
      <w:bookmarkEnd w:id="71"/>
      <w:bookmarkEnd w:id="72"/>
    </w:p>
    <w:p>
      <w:pPr>
        <w:snapToGrid w:val="0"/>
        <w:spacing w:line="400" w:lineRule="exact"/>
        <w:ind w:firstLine="420" w:firstLineChars="200"/>
        <w:rPr>
          <w:rFonts w:eastAsiaTheme="minorEastAsia"/>
          <w:sz w:val="21"/>
          <w:szCs w:val="21"/>
        </w:rPr>
      </w:pPr>
      <w:r>
        <w:rPr>
          <w:rFonts w:eastAsiaTheme="minorEastAsia"/>
          <w:sz w:val="21"/>
          <w:szCs w:val="21"/>
        </w:rPr>
        <w:t>按照《政府采购竞争性磋商采购方式管理暂行办法》（财库〔2014〕214号）文件规定，竞争性磋商统一采用综合评分法。综合评分法，是指响应文件满足磋商文件全部实质性要求且按评审因素的量化指标评审得分最高的供应商为成交候选供应商的评审方法。</w:t>
      </w:r>
    </w:p>
    <w:p>
      <w:pPr>
        <w:snapToGrid w:val="0"/>
        <w:spacing w:line="400" w:lineRule="exact"/>
        <w:ind w:firstLine="420" w:firstLineChars="200"/>
        <w:rPr>
          <w:rFonts w:eastAsiaTheme="minorEastAsia"/>
          <w:sz w:val="21"/>
          <w:szCs w:val="21"/>
        </w:rPr>
      </w:pPr>
      <w:r>
        <w:rPr>
          <w:rFonts w:eastAsiaTheme="minorEastAsia"/>
          <w:sz w:val="21"/>
          <w:szCs w:val="21"/>
        </w:rPr>
        <w:t>综合评分法评审标准中的分值设置应当与评审因素的量化指标相对应。磋商文件中没有规定的评审标准不得作为评审依据。</w:t>
      </w:r>
    </w:p>
    <w:p>
      <w:pPr>
        <w:snapToGrid w:val="0"/>
        <w:spacing w:line="400" w:lineRule="exact"/>
        <w:ind w:firstLine="420" w:firstLineChars="200"/>
        <w:rPr>
          <w:rFonts w:eastAsiaTheme="minorEastAsia"/>
          <w:sz w:val="21"/>
          <w:szCs w:val="21"/>
        </w:rPr>
      </w:pPr>
      <w:r>
        <w:rPr>
          <w:rFonts w:eastAsiaTheme="minorEastAsia"/>
          <w:sz w:val="21"/>
          <w:szCs w:val="21"/>
        </w:rPr>
        <w:t>评审时，磋商小组各成员应当独立对每个有效响应的文件进行评价、打分，然后汇总每个供应商每项评分因素的得分。</w:t>
      </w:r>
    </w:p>
    <w:p>
      <w:pPr>
        <w:snapToGrid w:val="0"/>
        <w:spacing w:line="400" w:lineRule="exact"/>
        <w:ind w:firstLine="420" w:firstLineChars="200"/>
        <w:rPr>
          <w:rFonts w:eastAsiaTheme="minorEastAsia"/>
          <w:sz w:val="21"/>
          <w:szCs w:val="21"/>
        </w:rPr>
      </w:pPr>
      <w:r>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400" w:lineRule="exact"/>
        <w:ind w:firstLine="420" w:firstLineChars="200"/>
        <w:rPr>
          <w:rFonts w:eastAsiaTheme="minorEastAsia"/>
          <w:sz w:val="21"/>
          <w:szCs w:val="21"/>
        </w:rPr>
      </w:pPr>
      <w:r>
        <w:rPr>
          <w:rFonts w:eastAsiaTheme="minorEastAsia"/>
          <w:sz w:val="21"/>
          <w:szCs w:val="21"/>
        </w:rPr>
        <w:t>磋商报价得分=（磋商基准价/最后磋商报价）×价格权值×100。</w:t>
      </w:r>
    </w:p>
    <w:p>
      <w:pPr>
        <w:snapToGrid w:val="0"/>
        <w:spacing w:line="400" w:lineRule="exact"/>
        <w:ind w:firstLine="420" w:firstLineChars="200"/>
        <w:rPr>
          <w:rFonts w:eastAsiaTheme="minorEastAsia"/>
          <w:sz w:val="21"/>
          <w:szCs w:val="21"/>
        </w:rPr>
      </w:pPr>
      <w:r>
        <w:rPr>
          <w:rFonts w:eastAsiaTheme="minorEastAsia"/>
          <w:sz w:val="21"/>
          <w:szCs w:val="21"/>
        </w:rPr>
        <w:t>项目评审过程中，不得去掉最后报价中的最高报价和最低报价。</w:t>
      </w:r>
    </w:p>
    <w:p>
      <w:pPr>
        <w:spacing w:line="400" w:lineRule="exact"/>
        <w:ind w:firstLine="420" w:firstLineChars="200"/>
        <w:rPr>
          <w:rFonts w:eastAsiaTheme="minorEastAsia"/>
          <w:sz w:val="21"/>
          <w:szCs w:val="21"/>
        </w:rPr>
      </w:pPr>
      <w:r>
        <w:rPr>
          <w:rFonts w:eastAsiaTheme="minorEastAsia"/>
          <w:sz w:val="21"/>
          <w:szCs w:val="21"/>
        </w:rPr>
        <w:t>具体评分标准如下：</w:t>
      </w:r>
    </w:p>
    <w:tbl>
      <w:tblPr>
        <w:tblStyle w:val="46"/>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rPr>
                <w:rFonts w:ascii="Times New Roman" w:hAnsi="Times New Roman" w:cs="Times New Roman"/>
              </w:rPr>
            </w:pPr>
            <w:r>
              <w:rPr>
                <w:rFonts w:ascii="Times New Roman" w:hAnsi="Times New Roman" w:cs="Times New Roman"/>
              </w:rPr>
              <w:t>项目：</w:t>
            </w:r>
            <w:r>
              <w:fldChar w:fldCharType="begin"/>
            </w:r>
            <w:r>
              <w:instrText xml:space="preserve"> REF 项目名称 \h  \* MERGEFORMAT </w:instrText>
            </w:r>
            <w:r>
              <w:fldChar w:fldCharType="separate"/>
            </w:r>
            <w:r>
              <w:rPr>
                <w:rFonts w:ascii="Times New Roman" w:hAnsi="Times New Roman" w:cs="Times New Roman"/>
              </w:rPr>
              <w:t>中央财经大学</w:t>
            </w:r>
            <w:r>
              <w:rPr>
                <w:rFonts w:hint="eastAsia" w:ascii="Times New Roman" w:hAnsi="Times New Roman" w:cs="Times New Roman"/>
              </w:rPr>
              <w:t>后勤服务产业集团内部控制体系建设</w:t>
            </w:r>
            <w:r>
              <w:rPr>
                <w:rFonts w:ascii="Times New Roman" w:hAnsi="Times New Roman" w:cs="Times New Roman"/>
              </w:rPr>
              <w:t>采购项目</w:t>
            </w:r>
            <w:r>
              <w:rPr>
                <w:rFonts w:ascii="Times New Roman" w:hAnsi="Times New Roman" w:cs="Times New Roman"/>
              </w:rPr>
              <w:fldChar w:fldCharType="end"/>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114"/>
              <w:numPr>
                <w:ilvl w:val="0"/>
                <w:numId w:val="32"/>
              </w:numPr>
              <w:ind w:firstLineChars="0"/>
              <w:rPr>
                <w:rFonts w:ascii="Times New Roman" w:hAnsi="Times New Roman" w:cs="Times New Roman"/>
              </w:rPr>
            </w:pPr>
            <w:r>
              <w:rPr>
                <w:rFonts w:ascii="Times New Roman" w:hAnsi="Times New Roman" w:cs="Times New Roman"/>
              </w:rPr>
              <w:t>商务部分（</w:t>
            </w:r>
            <w:r>
              <w:rPr>
                <w:rFonts w:hint="eastAsia" w:ascii="Times New Roman" w:hAnsi="Times New Roman" w:cs="Times New Roman"/>
              </w:rPr>
              <w:t>20</w:t>
            </w:r>
            <w:r>
              <w:rPr>
                <w:rFonts w:ascii="Times New Roman" w:hAnsi="Times New Roman" w:cs="Times New Roman"/>
              </w:rPr>
              <w:t>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114"/>
              <w:ind w:left="422" w:leftChars="176" w:firstLine="0" w:firstLineChars="0"/>
              <w:rPr>
                <w:rFonts w:ascii="Times New Roman" w:hAnsi="Times New Roman" w:cs="Times New Roman"/>
              </w:rPr>
            </w:pPr>
            <w:r>
              <w:rPr>
                <w:rFonts w:hint="eastAsia" w:ascii="Times New Roman" w:hAnsi="Times New Roman" w:cs="Times New Roman"/>
              </w:rPr>
              <w:t>1、企业规模与信誉</w:t>
            </w:r>
            <w:r>
              <w:rPr>
                <w:rFonts w:ascii="Times New Roman" w:hAnsi="Times New Roman" w:cs="Times New Roman"/>
              </w:rPr>
              <w:t>（</w:t>
            </w:r>
            <w:r>
              <w:rPr>
                <w:rStyle w:val="45"/>
                <w:rFonts w:ascii="Times New Roman" w:hAnsi="Times New Roman" w:eastAsia="宋体" w:cs="Times New Roman"/>
                <w:kern w:val="0"/>
              </w:rPr>
              <w:commentReference w:id="5"/>
            </w:r>
            <w:r>
              <w:rPr>
                <w:rFonts w:hint="eastAsia" w:ascii="Times New Roman" w:hAnsi="Times New Roman" w:cs="Times New Roman"/>
              </w:rPr>
              <w:t>4</w:t>
            </w:r>
            <w:r>
              <w:rPr>
                <w:rFonts w:ascii="Times New Roman" w:hAnsi="Times New Roman" w:cs="Times New Roman"/>
              </w:rPr>
              <w:t>分）</w:t>
            </w:r>
          </w:p>
          <w:p>
            <w:pPr>
              <w:pStyle w:val="114"/>
              <w:ind w:left="422" w:leftChars="176" w:firstLine="0" w:firstLineChars="0"/>
              <w:rPr>
                <w:rFonts w:ascii="Times New Roman" w:hAnsi="Times New Roman" w:cs="Times New Roman"/>
              </w:rPr>
            </w:pPr>
            <w:r>
              <w:rPr>
                <w:rFonts w:hint="eastAsia" w:ascii="Times New Roman" w:hAnsi="Times New Roman" w:cs="Times New Roman"/>
              </w:rPr>
              <w:t>项目评审专家根据响应</w:t>
            </w:r>
            <w:r>
              <w:rPr>
                <w:rFonts w:hint="eastAsia"/>
              </w:rPr>
              <w:t>人</w:t>
            </w:r>
            <w:r>
              <w:rPr>
                <w:rFonts w:hint="eastAsia" w:ascii="Times New Roman" w:hAnsi="Times New Roman" w:cs="Times New Roman"/>
              </w:rPr>
              <w:t>响应文件中提供的企业资质</w:t>
            </w:r>
            <w:r>
              <w:rPr>
                <w:rFonts w:hint="eastAsia" w:ascii="Times New Roman" w:hAnsi="Times New Roman" w:eastAsia="宋体" w:cs="Times New Roman"/>
              </w:rPr>
              <w:t>资料及信誉证明，进行综合评审。</w:t>
            </w:r>
            <w:r>
              <w:rPr>
                <w:rFonts w:hint="eastAsia" w:ascii="Times New Roman" w:hAnsi="Times New Roman" w:cs="Times New Roman"/>
              </w:rPr>
              <w:t>优秀得4-5分，良好得2-3分，一般得1分，差得0分。</w:t>
            </w:r>
          </w:p>
          <w:p>
            <w:pPr>
              <w:pStyle w:val="114"/>
              <w:ind w:left="422" w:leftChars="176" w:firstLine="0" w:firstLineChars="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实施案例（</w:t>
            </w:r>
            <w:r>
              <w:rPr>
                <w:rFonts w:hint="eastAsia" w:ascii="Times New Roman" w:hAnsi="Times New Roman" w:eastAsia="宋体" w:cs="Times New Roman"/>
              </w:rPr>
              <w:t>16</w:t>
            </w:r>
            <w:r>
              <w:rPr>
                <w:rFonts w:ascii="Times New Roman" w:hAnsi="Times New Roman" w:cs="Times New Roman"/>
              </w:rPr>
              <w:t>分）</w:t>
            </w:r>
          </w:p>
          <w:p>
            <w:pPr>
              <w:pStyle w:val="114"/>
              <w:ind w:left="422" w:leftChars="176" w:firstLine="0" w:firstLineChars="0"/>
              <w:rPr>
                <w:rFonts w:ascii="Times New Roman" w:hAnsi="Times New Roman" w:cs="Times New Roman"/>
              </w:rPr>
            </w:pPr>
            <w:r>
              <w:rPr>
                <w:rFonts w:ascii="Times New Roman" w:hAnsi="Times New Roman" w:cs="Times New Roman"/>
              </w:rPr>
              <w:t>提供</w:t>
            </w:r>
            <w:r>
              <w:rPr>
                <w:rFonts w:hint="eastAsia" w:ascii="Times New Roman" w:hAnsi="Times New Roman" w:eastAsia="宋体" w:cs="Times New Roman"/>
              </w:rPr>
              <w:t>响应人近3年（201</w:t>
            </w:r>
            <w:r>
              <w:rPr>
                <w:rFonts w:hint="eastAsia" w:ascii="Times New Roman" w:hAnsi="Times New Roman" w:cs="Times New Roman"/>
              </w:rPr>
              <w:t>4</w:t>
            </w:r>
            <w:r>
              <w:rPr>
                <w:rFonts w:hint="eastAsia" w:ascii="Times New Roman" w:hAnsi="Times New Roman" w:eastAsia="宋体" w:cs="Times New Roman"/>
              </w:rPr>
              <w:t>年至今）承担过类似项目业绩（类似项目业绩指高校内部控制体系建设成功案例），每提供一个类似项目业绩得</w:t>
            </w:r>
            <w:r>
              <w:rPr>
                <w:rFonts w:hint="eastAsia" w:ascii="Times New Roman" w:hAnsi="Times New Roman" w:cs="Times New Roman"/>
              </w:rPr>
              <w:t>2</w:t>
            </w:r>
            <w:r>
              <w:rPr>
                <w:rFonts w:hint="eastAsia" w:ascii="Times New Roman" w:hAnsi="Times New Roman" w:eastAsia="宋体" w:cs="Times New Roman"/>
              </w:rPr>
              <w:t>分，最高</w:t>
            </w:r>
            <w:r>
              <w:rPr>
                <w:rFonts w:hint="eastAsia" w:ascii="Times New Roman" w:hAnsi="Times New Roman" w:cs="Times New Roman"/>
              </w:rPr>
              <w:t>1</w:t>
            </w:r>
            <w:r>
              <w:rPr>
                <w:rStyle w:val="45"/>
                <w:rFonts w:ascii="Times New Roman" w:hAnsi="Times New Roman" w:eastAsia="宋体" w:cs="Times New Roman"/>
                <w:kern w:val="0"/>
              </w:rPr>
              <w:commentReference w:id="6"/>
            </w:r>
            <w:r>
              <w:rPr>
                <w:rFonts w:hint="eastAsia" w:ascii="Times New Roman" w:hAnsi="Times New Roman" w:cs="Times New Roman"/>
              </w:rPr>
              <w:t>6</w:t>
            </w:r>
            <w:r>
              <w:rPr>
                <w:rFonts w:hint="eastAsia" w:ascii="Times New Roman" w:hAnsi="Times New Roman" w:eastAsia="宋体" w:cs="Times New Roman"/>
              </w:rPr>
              <w:t>分；</w:t>
            </w:r>
            <w:r>
              <w:rPr>
                <w:rFonts w:hint="eastAsia" w:ascii="Times New Roman" w:hAnsi="Times New Roman" w:eastAsia="宋体" w:cs="Times New Roman"/>
                <w:lang w:eastAsia="zh-CN"/>
              </w:rPr>
              <w:t>没有高校</w:t>
            </w:r>
            <w:r>
              <w:rPr>
                <w:rFonts w:hint="eastAsia" w:ascii="Times New Roman" w:hAnsi="Times New Roman" w:eastAsia="宋体" w:cs="Times New Roman"/>
              </w:rPr>
              <w:t>内部控制体系建设成功案例</w:t>
            </w:r>
            <w:r>
              <w:rPr>
                <w:rFonts w:hint="eastAsia" w:ascii="Times New Roman" w:hAnsi="Times New Roman" w:eastAsia="宋体" w:cs="Times New Roman"/>
                <w:lang w:eastAsia="zh-CN"/>
              </w:rPr>
              <w:t>的可</w:t>
            </w:r>
            <w:r>
              <w:rPr>
                <w:rFonts w:hint="eastAsia" w:ascii="Times New Roman" w:hAnsi="Times New Roman" w:eastAsia="宋体" w:cs="Times New Roman"/>
              </w:rPr>
              <w:t>提供其他企事业单位内部控制体系建设成功案例</w:t>
            </w:r>
            <w:r>
              <w:rPr>
                <w:rStyle w:val="45"/>
                <w:rFonts w:hint="eastAsia" w:ascii="Times New Roman" w:hAnsi="Times New Roman" w:eastAsia="宋体" w:cs="Times New Roman"/>
                <w:kern w:val="0"/>
              </w:rPr>
              <w:t>的，每提供一个得1分，提供企事业单位案例</w:t>
            </w:r>
            <w:r>
              <w:rPr>
                <w:rStyle w:val="45"/>
                <w:rFonts w:hint="eastAsia" w:ascii="Times New Roman" w:hAnsi="Times New Roman" w:eastAsia="宋体" w:cs="Times New Roman"/>
                <w:kern w:val="0"/>
                <w:lang w:eastAsia="zh-CN"/>
              </w:rPr>
              <w:t>的响应人此项</w:t>
            </w:r>
            <w:r>
              <w:rPr>
                <w:rStyle w:val="45"/>
                <w:rFonts w:hint="eastAsia" w:ascii="Times New Roman" w:hAnsi="Times New Roman" w:eastAsia="宋体" w:cs="Times New Roman"/>
                <w:kern w:val="0"/>
              </w:rPr>
              <w:t>最多得10分。</w:t>
            </w:r>
            <w:r>
              <w:rPr>
                <w:rStyle w:val="45"/>
                <w:rFonts w:hint="eastAsia" w:ascii="Times New Roman" w:hAnsi="Times New Roman" w:eastAsia="宋体" w:cs="Times New Roman"/>
                <w:kern w:val="0"/>
                <w:lang w:eastAsia="zh-CN"/>
              </w:rPr>
              <w:t>其他案例不得分。</w:t>
            </w:r>
            <w:r>
              <w:rPr>
                <w:rStyle w:val="45"/>
                <w:rFonts w:hint="eastAsia" w:ascii="Times New Roman" w:hAnsi="Times New Roman" w:eastAsia="宋体" w:cs="Times New Roman"/>
                <w:kern w:val="0"/>
              </w:rPr>
              <w:t>以上案例均</w:t>
            </w:r>
            <w:r>
              <w:rPr>
                <w:rFonts w:ascii="Times New Roman" w:hAnsi="Times New Roman" w:cs="Times New Roman"/>
              </w:rPr>
              <w:t>需提供证明材料</w:t>
            </w:r>
            <w:r>
              <w:rPr>
                <w:rFonts w:hint="eastAsia" w:ascii="Times New Roman" w:hAnsi="Times New Roman" w:cs="Times New Roman"/>
              </w:rPr>
              <w:t>（成交通知书和合同）</w:t>
            </w:r>
            <w:r>
              <w:rPr>
                <w:rFonts w:ascii="Times New Roman" w:hAnsi="Times New Roman" w:cs="Times New Roman"/>
              </w:rPr>
              <w:t>。</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2"/>
              </w:numPr>
              <w:ind w:firstLineChars="0"/>
              <w:rPr>
                <w:rFonts w:ascii="Times New Roman" w:hAnsi="Times New Roman" w:cs="Times New Roman"/>
              </w:rPr>
            </w:pPr>
            <w:r>
              <w:rPr>
                <w:rFonts w:ascii="Times New Roman" w:hAnsi="Times New Roman" w:cs="Times New Roman"/>
              </w:rPr>
              <w:t>技术部分（</w:t>
            </w:r>
            <w:r>
              <w:rPr>
                <w:rFonts w:hint="eastAsia" w:ascii="Times New Roman" w:hAnsi="Times New Roman" w:cs="Times New Roman"/>
              </w:rPr>
              <w:t>60</w:t>
            </w:r>
            <w:r>
              <w:rPr>
                <w:rFonts w:ascii="Times New Roman" w:hAnsi="Times New Roman" w:cs="Times New Roman"/>
              </w:rPr>
              <w:t>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114"/>
              <w:ind w:left="470" w:leftChars="174" w:hanging="52" w:hangingChars="25"/>
            </w:pPr>
            <w:r>
              <w:rPr>
                <w:rFonts w:hint="eastAsia" w:ascii="Times New Roman" w:hAnsi="Times New Roman" w:cs="Times New Roman"/>
              </w:rPr>
              <w:t>1、</w:t>
            </w:r>
            <w:r>
              <w:rPr>
                <w:rFonts w:hint="eastAsia" w:ascii="Times New Roman" w:hAnsi="Times New Roman" w:eastAsia="宋体" w:cs="Times New Roman"/>
              </w:rPr>
              <w:t>项目</w:t>
            </w:r>
            <w:r>
              <w:rPr>
                <w:rFonts w:hint="eastAsia" w:ascii="Times New Roman" w:hAnsi="Times New Roman" w:eastAsia="宋体" w:cs="Times New Roman"/>
                <w:lang w:eastAsia="zh-CN"/>
              </w:rPr>
              <w:t>建议</w:t>
            </w:r>
            <w:r>
              <w:rPr>
                <w:rFonts w:ascii="Times New Roman" w:hAnsi="Times New Roman" w:eastAsia="宋体" w:cs="Times New Roman"/>
              </w:rPr>
              <w:t>具体详实、实施方案针对性、适用性、可操作性强，项目工作方法和实施步骤合理，</w:t>
            </w:r>
            <w:r>
              <w:rPr>
                <w:rFonts w:hint="eastAsia" w:ascii="Times New Roman" w:hAnsi="Times New Roman" w:eastAsia="宋体" w:cs="Times New Roman"/>
              </w:rPr>
              <w:t>符合</w:t>
            </w:r>
            <w:r>
              <w:rPr>
                <w:rFonts w:ascii="宋体" w:hAnsi="宋体" w:eastAsia="宋体" w:cs="Times New Roman"/>
              </w:rPr>
              <w:t>采购人实际情况，</w:t>
            </w:r>
            <w:r>
              <w:rPr>
                <w:rFonts w:hint="eastAsia"/>
                <w:lang w:eastAsia="zh-CN"/>
              </w:rPr>
              <w:t>优秀</w:t>
            </w:r>
            <w:r>
              <w:rPr>
                <w:rFonts w:hint="eastAsia" w:ascii="宋体" w:hAnsi="宋体" w:eastAsia="宋体" w:cs="Times New Roman"/>
              </w:rPr>
              <w:t>得</w:t>
            </w:r>
            <w:r>
              <w:rPr>
                <w:rFonts w:hint="eastAsia" w:ascii="宋体" w:hAnsi="宋体" w:eastAsia="宋体" w:cs="Times New Roman"/>
                <w:lang w:val="en-US" w:eastAsia="zh-CN"/>
              </w:rPr>
              <w:t>8-</w:t>
            </w:r>
            <w:r>
              <w:rPr>
                <w:rFonts w:hint="eastAsia" w:ascii="宋体" w:hAnsi="宋体" w:eastAsia="宋体" w:cs="Times New Roman"/>
              </w:rPr>
              <w:t>10分</w:t>
            </w:r>
            <w:r>
              <w:rPr>
                <w:rFonts w:hint="eastAsia" w:ascii="宋体" w:hAnsi="宋体" w:eastAsia="宋体" w:cs="Times New Roman"/>
                <w:lang w:eastAsia="zh-CN"/>
              </w:rPr>
              <w:t>，良好得</w:t>
            </w:r>
            <w:r>
              <w:rPr>
                <w:rFonts w:hint="eastAsia" w:ascii="宋体" w:hAnsi="宋体" w:eastAsia="宋体" w:cs="Times New Roman"/>
                <w:lang w:val="en-US" w:eastAsia="zh-CN"/>
              </w:rPr>
              <w:t>4-7分，一般得1-3分，差不得分</w:t>
            </w:r>
            <w:r>
              <w:rPr>
                <w:rFonts w:hint="eastAsia"/>
              </w:rPr>
              <w:t>。（10分）</w:t>
            </w:r>
          </w:p>
          <w:p>
            <w:pPr>
              <w:pStyle w:val="114"/>
              <w:ind w:left="470" w:leftChars="174" w:hanging="52" w:hangingChars="25"/>
            </w:pPr>
            <w:r>
              <w:rPr>
                <w:rFonts w:hint="eastAsia"/>
              </w:rPr>
              <w:t>2、</w:t>
            </w:r>
            <w:r>
              <w:rPr>
                <w:rFonts w:hint="eastAsia" w:ascii="宋体" w:hAnsi="宋体" w:eastAsia="宋体" w:cs="Times New Roman"/>
              </w:rPr>
              <w:t>响应人项目组配置人员情况</w:t>
            </w:r>
            <w:r>
              <w:rPr>
                <w:rFonts w:hint="eastAsia"/>
              </w:rPr>
              <w:t>：</w:t>
            </w:r>
            <w:r>
              <w:rPr>
                <w:rFonts w:hint="eastAsia" w:ascii="宋体" w:hAnsi="宋体" w:eastAsia="宋体" w:cs="Times New Roman"/>
              </w:rPr>
              <w:t>拟现场</w:t>
            </w:r>
            <w:r>
              <w:rPr>
                <w:rFonts w:ascii="宋体" w:hAnsi="宋体" w:eastAsia="宋体" w:cs="Times New Roman"/>
              </w:rPr>
              <w:t>投入人员均具有3年以上（</w:t>
            </w:r>
            <w:r>
              <w:rPr>
                <w:rFonts w:hint="eastAsia" w:ascii="宋体" w:hAnsi="宋体" w:eastAsia="宋体" w:cs="Times New Roman"/>
              </w:rPr>
              <w:t>含3</w:t>
            </w:r>
            <w:r>
              <w:rPr>
                <w:rFonts w:ascii="宋体" w:hAnsi="宋体" w:eastAsia="宋体" w:cs="Times New Roman"/>
              </w:rPr>
              <w:t>年）</w:t>
            </w:r>
            <w:r>
              <w:rPr>
                <w:rFonts w:hint="eastAsia" w:ascii="宋体" w:hAnsi="宋体" w:eastAsia="宋体" w:cs="Times New Roman"/>
              </w:rPr>
              <w:t>内部</w:t>
            </w:r>
            <w:r>
              <w:rPr>
                <w:rFonts w:ascii="宋体" w:hAnsi="宋体" w:eastAsia="宋体" w:cs="Times New Roman"/>
              </w:rPr>
              <w:t>控制</w:t>
            </w:r>
            <w:r>
              <w:rPr>
                <w:rFonts w:hint="eastAsia" w:ascii="宋体" w:hAnsi="宋体" w:eastAsia="宋体" w:cs="Times New Roman"/>
              </w:rPr>
              <w:t>或</w:t>
            </w:r>
            <w:r>
              <w:rPr>
                <w:rFonts w:ascii="宋体" w:hAnsi="宋体" w:eastAsia="宋体" w:cs="Times New Roman"/>
              </w:rPr>
              <w:t>风险管理咨询服务经验的得3</w:t>
            </w:r>
            <w:r>
              <w:rPr>
                <w:rFonts w:hint="eastAsia" w:ascii="宋体" w:hAnsi="宋体" w:eastAsia="宋体" w:cs="Times New Roman"/>
              </w:rPr>
              <w:t>分</w:t>
            </w:r>
            <w:r>
              <w:rPr>
                <w:rFonts w:ascii="宋体" w:hAnsi="宋体" w:eastAsia="宋体" w:cs="Times New Roman"/>
              </w:rPr>
              <w:t>，超过</w:t>
            </w:r>
            <w:r>
              <w:rPr>
                <w:rFonts w:hint="eastAsia" w:ascii="宋体" w:hAnsi="宋体" w:eastAsia="宋体" w:cs="Times New Roman"/>
              </w:rPr>
              <w:t>5年（含5年）的</w:t>
            </w:r>
            <w:r>
              <w:rPr>
                <w:rFonts w:ascii="宋体" w:hAnsi="宋体" w:eastAsia="宋体" w:cs="Times New Roman"/>
              </w:rPr>
              <w:t>每有</w:t>
            </w:r>
            <w:r>
              <w:rPr>
                <w:rFonts w:hint="eastAsia" w:ascii="宋体" w:hAnsi="宋体" w:eastAsia="宋体" w:cs="Times New Roman"/>
              </w:rPr>
              <w:t>1人</w:t>
            </w:r>
            <w:r>
              <w:rPr>
                <w:rFonts w:ascii="宋体" w:hAnsi="宋体" w:eastAsia="宋体" w:cs="Times New Roman"/>
              </w:rPr>
              <w:t>加</w:t>
            </w:r>
            <w:r>
              <w:rPr>
                <w:rFonts w:hint="eastAsia" w:ascii="宋体" w:hAnsi="宋体" w:eastAsia="宋体" w:cs="Times New Roman"/>
              </w:rPr>
              <w:t>1分，</w:t>
            </w:r>
            <w:r>
              <w:rPr>
                <w:rFonts w:ascii="宋体" w:hAnsi="宋体" w:eastAsia="宋体" w:cs="Times New Roman"/>
              </w:rPr>
              <w:t>最多得</w:t>
            </w:r>
            <w:r>
              <w:rPr>
                <w:rFonts w:hint="eastAsia" w:ascii="宋体" w:hAnsi="宋体" w:eastAsia="宋体" w:cs="Times New Roman"/>
              </w:rPr>
              <w:t>5分；项目</w:t>
            </w:r>
            <w:r>
              <w:rPr>
                <w:rFonts w:ascii="宋体" w:hAnsi="宋体" w:eastAsia="宋体" w:cs="Times New Roman"/>
              </w:rPr>
              <w:t>负责人具有</w:t>
            </w:r>
            <w:r>
              <w:rPr>
                <w:rFonts w:hint="eastAsia" w:ascii="宋体" w:hAnsi="宋体" w:eastAsia="宋体" w:cs="Times New Roman"/>
              </w:rPr>
              <w:t>6年</w:t>
            </w:r>
            <w:r>
              <w:rPr>
                <w:rFonts w:ascii="宋体" w:hAnsi="宋体" w:eastAsia="宋体" w:cs="Times New Roman"/>
              </w:rPr>
              <w:t>内部控制或风险管理</w:t>
            </w:r>
            <w:r>
              <w:rPr>
                <w:rFonts w:hint="eastAsia" w:ascii="宋体" w:hAnsi="宋体" w:eastAsia="宋体" w:cs="Times New Roman"/>
              </w:rPr>
              <w:t>咨询</w:t>
            </w:r>
            <w:r>
              <w:rPr>
                <w:rFonts w:ascii="宋体" w:hAnsi="宋体" w:eastAsia="宋体" w:cs="Times New Roman"/>
              </w:rPr>
              <w:t>服务经验的得</w:t>
            </w:r>
            <w:r>
              <w:rPr>
                <w:rFonts w:hint="eastAsia" w:ascii="宋体" w:hAnsi="宋体" w:eastAsia="宋体" w:cs="Times New Roman"/>
              </w:rPr>
              <w:t>2分</w:t>
            </w:r>
            <w:r>
              <w:rPr>
                <w:rFonts w:ascii="宋体" w:hAnsi="宋体" w:eastAsia="宋体" w:cs="Times New Roman"/>
              </w:rPr>
              <w:t>，</w:t>
            </w:r>
            <w:r>
              <w:rPr>
                <w:rFonts w:hint="eastAsia" w:ascii="宋体" w:hAnsi="宋体" w:eastAsia="宋体" w:cs="Times New Roman"/>
              </w:rPr>
              <w:t>每</w:t>
            </w:r>
            <w:r>
              <w:rPr>
                <w:rFonts w:ascii="宋体" w:hAnsi="宋体" w:eastAsia="宋体" w:cs="Times New Roman"/>
              </w:rPr>
              <w:t>增加一年</w:t>
            </w:r>
            <w:r>
              <w:rPr>
                <w:rFonts w:hint="eastAsia" w:ascii="宋体" w:hAnsi="宋体" w:eastAsia="宋体" w:cs="Times New Roman"/>
              </w:rPr>
              <w:t>加1分</w:t>
            </w:r>
            <w:r>
              <w:rPr>
                <w:rFonts w:ascii="宋体" w:hAnsi="宋体" w:eastAsia="宋体" w:cs="Times New Roman"/>
              </w:rPr>
              <w:t>，</w:t>
            </w:r>
            <w:r>
              <w:rPr>
                <w:rFonts w:hint="eastAsia" w:ascii="宋体" w:hAnsi="宋体" w:eastAsia="宋体" w:cs="Times New Roman"/>
              </w:rPr>
              <w:t>最多</w:t>
            </w:r>
            <w:r>
              <w:rPr>
                <w:rFonts w:ascii="宋体" w:hAnsi="宋体" w:eastAsia="宋体" w:cs="Times New Roman"/>
              </w:rPr>
              <w:t>得</w:t>
            </w:r>
            <w:r>
              <w:rPr>
                <w:rFonts w:hint="eastAsia"/>
              </w:rPr>
              <w:t>5</w:t>
            </w:r>
            <w:r>
              <w:rPr>
                <w:rFonts w:hint="eastAsia" w:ascii="宋体" w:hAnsi="宋体" w:eastAsia="宋体" w:cs="Times New Roman"/>
              </w:rPr>
              <w:t>分；项目</w:t>
            </w:r>
            <w:r>
              <w:rPr>
                <w:rFonts w:ascii="宋体" w:hAnsi="宋体" w:eastAsia="宋体" w:cs="Times New Roman"/>
              </w:rPr>
              <w:t>负责人曾作为</w:t>
            </w:r>
            <w:r>
              <w:rPr>
                <w:rFonts w:hint="eastAsia" w:ascii="宋体" w:hAnsi="宋体" w:eastAsia="宋体" w:cs="Times New Roman"/>
              </w:rPr>
              <w:t>教育部直属</w:t>
            </w:r>
            <w:r>
              <w:rPr>
                <w:rFonts w:ascii="宋体" w:hAnsi="宋体" w:eastAsia="宋体" w:cs="Times New Roman"/>
              </w:rPr>
              <w:t>高校开展内部控制咨询服务</w:t>
            </w:r>
            <w:r>
              <w:rPr>
                <w:rFonts w:hint="eastAsia" w:ascii="宋体" w:hAnsi="宋体" w:eastAsia="宋体" w:cs="Times New Roman"/>
              </w:rPr>
              <w:t>的项目</w:t>
            </w:r>
            <w:r>
              <w:rPr>
                <w:rFonts w:ascii="宋体" w:hAnsi="宋体" w:eastAsia="宋体" w:cs="Times New Roman"/>
              </w:rPr>
              <w:t>负责人</w:t>
            </w:r>
            <w:r>
              <w:rPr>
                <w:rFonts w:hint="eastAsia" w:ascii="宋体" w:hAnsi="宋体" w:eastAsia="宋体" w:cs="Times New Roman"/>
              </w:rPr>
              <w:t>超过2次（含2次）的得2分</w:t>
            </w:r>
            <w:r>
              <w:rPr>
                <w:rFonts w:ascii="宋体" w:hAnsi="宋体" w:eastAsia="宋体" w:cs="Times New Roman"/>
              </w:rPr>
              <w:t>，每增加</w:t>
            </w:r>
            <w:r>
              <w:rPr>
                <w:rFonts w:hint="eastAsia" w:ascii="宋体" w:hAnsi="宋体" w:eastAsia="宋体" w:cs="Times New Roman"/>
              </w:rPr>
              <w:t>1次加1分</w:t>
            </w:r>
            <w:r>
              <w:rPr>
                <w:rFonts w:hint="eastAsia"/>
              </w:rPr>
              <w:t>，</w:t>
            </w:r>
            <w:r>
              <w:rPr>
                <w:rFonts w:ascii="宋体" w:hAnsi="宋体" w:eastAsia="宋体" w:cs="Times New Roman"/>
              </w:rPr>
              <w:t>最多得</w:t>
            </w:r>
            <w:r>
              <w:rPr>
                <w:rFonts w:hint="eastAsia" w:ascii="宋体" w:hAnsi="宋体" w:eastAsia="宋体" w:cs="Times New Roman"/>
              </w:rPr>
              <w:t>5分</w:t>
            </w:r>
            <w:r>
              <w:rPr>
                <w:rFonts w:hint="eastAsia"/>
              </w:rPr>
              <w:t>。以上需提供拟派驻人员的参与以上工作的证明材料，不提供材料不得分。（15分）</w:t>
            </w:r>
          </w:p>
          <w:p>
            <w:pPr>
              <w:pStyle w:val="114"/>
              <w:ind w:left="470" w:leftChars="174" w:hanging="52" w:hangingChars="25"/>
            </w:pPr>
            <w:r>
              <w:rPr>
                <w:rFonts w:hint="eastAsia"/>
              </w:rPr>
              <w:t>3、</w:t>
            </w:r>
            <w:r>
              <w:rPr>
                <w:rFonts w:hint="eastAsia" w:ascii="宋体" w:hAnsi="宋体" w:eastAsia="宋体" w:cs="Times New Roman"/>
              </w:rPr>
              <w:t>项目验收成果文件</w:t>
            </w:r>
            <w:r>
              <w:rPr>
                <w:rFonts w:hint="eastAsia"/>
              </w:rPr>
              <w:t>：</w:t>
            </w:r>
            <w:r>
              <w:rPr>
                <w:rFonts w:hint="eastAsia" w:ascii="宋体" w:hAnsi="宋体" w:eastAsia="宋体" w:cs="Times New Roman"/>
              </w:rPr>
              <w:t>针对本项目编制的项目</w:t>
            </w:r>
            <w:r>
              <w:rPr>
                <w:rFonts w:ascii="宋体" w:hAnsi="宋体" w:eastAsia="宋体" w:cs="Times New Roman"/>
              </w:rPr>
              <w:t>成果文件种类多、内容详实、丰富全面，项目验收标准有依据、明确合理、易于操作，</w:t>
            </w:r>
            <w:r>
              <w:rPr>
                <w:rFonts w:hint="eastAsia"/>
                <w:lang w:eastAsia="zh-CN"/>
              </w:rPr>
              <w:t>优秀</w:t>
            </w:r>
            <w:r>
              <w:rPr>
                <w:rFonts w:hint="eastAsia" w:ascii="宋体" w:hAnsi="宋体" w:eastAsia="宋体" w:cs="Times New Roman"/>
              </w:rPr>
              <w:t>得</w:t>
            </w:r>
            <w:r>
              <w:rPr>
                <w:rFonts w:hint="eastAsia" w:ascii="宋体" w:hAnsi="宋体" w:eastAsia="宋体" w:cs="Times New Roman"/>
                <w:lang w:val="en-US" w:eastAsia="zh-CN"/>
              </w:rPr>
              <w:t>8-</w:t>
            </w:r>
            <w:r>
              <w:rPr>
                <w:rFonts w:hint="eastAsia" w:ascii="宋体" w:hAnsi="宋体" w:eastAsia="宋体" w:cs="Times New Roman"/>
              </w:rPr>
              <w:t>10分</w:t>
            </w:r>
            <w:r>
              <w:rPr>
                <w:rFonts w:hint="eastAsia" w:ascii="宋体" w:hAnsi="宋体" w:eastAsia="宋体" w:cs="Times New Roman"/>
                <w:lang w:eastAsia="zh-CN"/>
              </w:rPr>
              <w:t>，良好得</w:t>
            </w:r>
            <w:r>
              <w:rPr>
                <w:rFonts w:hint="eastAsia" w:ascii="宋体" w:hAnsi="宋体" w:eastAsia="宋体" w:cs="Times New Roman"/>
                <w:lang w:val="en-US" w:eastAsia="zh-CN"/>
              </w:rPr>
              <w:t>4-7分，一般得1-3分</w:t>
            </w:r>
            <w:r>
              <w:rPr>
                <w:rFonts w:hint="eastAsia" w:ascii="宋体" w:hAnsi="宋体" w:eastAsia="宋体" w:cs="Times New Roman"/>
              </w:rPr>
              <w:t>，未提供相关内容的此栏不计分。</w:t>
            </w:r>
            <w:r>
              <w:rPr>
                <w:rFonts w:hint="eastAsia"/>
              </w:rPr>
              <w:t>（10分）</w:t>
            </w:r>
          </w:p>
          <w:p>
            <w:pPr>
              <w:pStyle w:val="114"/>
              <w:snapToGrid w:val="0"/>
              <w:ind w:left="470" w:leftChars="174" w:hanging="52" w:hangingChars="25"/>
            </w:pPr>
            <w:r>
              <w:rPr>
                <w:rFonts w:hint="eastAsia"/>
              </w:rPr>
              <w:t>4、</w:t>
            </w:r>
            <w:r>
              <w:rPr>
                <w:rFonts w:hint="eastAsia" w:ascii="宋体" w:hAnsi="宋体"/>
              </w:rPr>
              <w:t>项目服务措施及承诺</w:t>
            </w:r>
            <w:r>
              <w:rPr>
                <w:rFonts w:hint="eastAsia"/>
              </w:rPr>
              <w:t>售后技术服务情况及故障响应：</w:t>
            </w:r>
            <w:r>
              <w:rPr>
                <w:rFonts w:hint="eastAsia" w:ascii="宋体" w:hAnsi="宋体"/>
              </w:rPr>
              <w:t>针对本项目服务的力量、响应时间、服务内容，并根据项目特性、响应</w:t>
            </w:r>
            <w:r>
              <w:rPr>
                <w:rFonts w:hint="eastAsia"/>
              </w:rPr>
              <w:t>人实力及采购人要求编制各项投标文件中的服务措施及承诺，项目评审专家</w:t>
            </w:r>
            <w:r>
              <w:rPr>
                <w:rFonts w:hint="eastAsia" w:ascii="宋体" w:hAnsi="宋体"/>
              </w:rPr>
              <w:t>根据优劣进行综合评审。</w:t>
            </w:r>
            <w:r>
              <w:rPr>
                <w:rFonts w:hint="eastAsia"/>
                <w:lang w:eastAsia="zh-CN"/>
              </w:rPr>
              <w:t>优秀</w:t>
            </w:r>
            <w:r>
              <w:rPr>
                <w:rFonts w:hint="eastAsia" w:ascii="宋体" w:hAnsi="宋体" w:eastAsia="宋体" w:cs="Times New Roman"/>
              </w:rPr>
              <w:t>得</w:t>
            </w:r>
            <w:r>
              <w:rPr>
                <w:rFonts w:hint="eastAsia" w:ascii="宋体" w:hAnsi="宋体" w:eastAsia="宋体" w:cs="Times New Roman"/>
                <w:lang w:val="en-US" w:eastAsia="zh-CN"/>
              </w:rPr>
              <w:t>8-</w:t>
            </w:r>
            <w:r>
              <w:rPr>
                <w:rFonts w:hint="eastAsia" w:ascii="宋体" w:hAnsi="宋体" w:eastAsia="宋体" w:cs="Times New Roman"/>
              </w:rPr>
              <w:t>10分</w:t>
            </w:r>
            <w:r>
              <w:rPr>
                <w:rFonts w:hint="eastAsia" w:ascii="宋体" w:hAnsi="宋体" w:eastAsia="宋体" w:cs="Times New Roman"/>
                <w:lang w:eastAsia="zh-CN"/>
              </w:rPr>
              <w:t>，良好得</w:t>
            </w:r>
            <w:r>
              <w:rPr>
                <w:rFonts w:hint="eastAsia" w:ascii="宋体" w:hAnsi="宋体" w:eastAsia="宋体" w:cs="Times New Roman"/>
                <w:lang w:val="en-US" w:eastAsia="zh-CN"/>
              </w:rPr>
              <w:t>4-7分，一般得1-3分，差不得分</w:t>
            </w:r>
            <w:r>
              <w:rPr>
                <w:rFonts w:hint="eastAsia"/>
              </w:rPr>
              <w:t>。（10分）</w:t>
            </w:r>
          </w:p>
          <w:p>
            <w:pPr>
              <w:pStyle w:val="114"/>
              <w:ind w:left="470" w:leftChars="174" w:hanging="52" w:hangingChars="25"/>
              <w:rPr>
                <w:rFonts w:ascii="Times New Roman" w:hAnsi="Times New Roman" w:cs="Times New Roman"/>
              </w:rPr>
            </w:pPr>
            <w:r>
              <w:rPr>
                <w:rFonts w:hint="eastAsia"/>
              </w:rPr>
              <w:t>5、</w:t>
            </w:r>
            <w:r>
              <w:rPr>
                <w:rFonts w:hint="eastAsia" w:ascii="Times New Roman" w:hAnsi="Times New Roman" w:cs="Times New Roman"/>
              </w:rPr>
              <w:t>现场演示（15分）</w:t>
            </w:r>
          </w:p>
          <w:p>
            <w:pPr>
              <w:pStyle w:val="114"/>
              <w:snapToGrid w:val="0"/>
              <w:ind w:left="470" w:leftChars="174" w:hanging="52" w:hangingChars="25"/>
            </w:pPr>
            <w:r>
              <w:rPr>
                <w:rFonts w:hint="eastAsia" w:ascii="Times New Roman" w:hAnsi="Times New Roman" w:cs="Times New Roman"/>
              </w:rPr>
              <w:t>项目评审专家根据响应人现场演示的内容进行打分，优秀11-15分，一般6-10分，较差0-5分，无现场演示不得分。（15分）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0"/>
                <w:numId w:val="33"/>
              </w:numPr>
              <w:rPr>
                <w:rFonts w:ascii="Times New Roman" w:hAnsi="Times New Roman" w:cs="Times New Roman"/>
              </w:rPr>
            </w:pPr>
            <w:r>
              <w:rPr>
                <w:rFonts w:hint="eastAsia" w:ascii="Times New Roman" w:hAnsi="Times New Roman" w:cs="Times New Roman"/>
              </w:rPr>
              <w:t>价格分（20分）</w:t>
            </w:r>
          </w:p>
          <w:p>
            <w:pPr>
              <w:pStyle w:val="114"/>
              <w:rPr>
                <w:rFonts w:ascii="Times New Roman" w:hAnsi="Times New Roman" w:cs="Times New Roman"/>
              </w:rPr>
            </w:pPr>
            <w:r>
              <w:rPr>
                <w:rFonts w:hint="eastAsia" w:ascii="Times New Roman" w:hAnsi="Times New Roman" w:cs="Times New Roman"/>
              </w:rPr>
              <w:t xml:space="preserve">    </w:t>
            </w:r>
            <w:r>
              <w:rPr>
                <w:rFonts w:ascii="Times New Roman" w:hAnsi="Times New Roman" w:eastAsia="宋体" w:cs="Times New Roman"/>
              </w:rPr>
              <w:t>采用低价优先法计算</w:t>
            </w:r>
            <w:r>
              <w:rPr>
                <w:rFonts w:hint="eastAsia" w:ascii="Times New Roman" w:hAnsi="Times New Roman" w:cs="Times New Roman"/>
              </w:rPr>
              <w:t>，</w:t>
            </w:r>
            <w:r>
              <w:rPr>
                <w:rFonts w:ascii="Times New Roman" w:hAnsi="Times New Roman" w:cs="Times New Roman"/>
              </w:rPr>
              <w:t>满足磋商文件要求且价格最低的报价为评标基准价，其价格分为满分。</w:t>
            </w:r>
          </w:p>
          <w:p>
            <w:pPr>
              <w:pStyle w:val="114"/>
              <w:rPr>
                <w:rFonts w:ascii="Times New Roman" w:hAnsi="Times New Roman" w:cs="Times New Roman"/>
              </w:rPr>
            </w:pPr>
            <w:r>
              <w:rPr>
                <w:rFonts w:ascii="Times New Roman" w:hAnsi="Times New Roman" w:cs="Times New Roman"/>
              </w:rPr>
              <w:t>其他响应人的价格分统一按照下列公式计算：</w:t>
            </w:r>
          </w:p>
          <w:p>
            <w:pPr>
              <w:pStyle w:val="114"/>
              <w:numPr>
                <w:ilvl w:val="255"/>
                <w:numId w:val="0"/>
              </w:numPr>
              <w:spacing w:after="0"/>
              <w:rPr>
                <w:rFonts w:ascii="Times New Roman" w:hAnsi="Times New Roman" w:cs="Times New Roman"/>
              </w:rPr>
            </w:pPr>
            <w:r>
              <w:rPr>
                <w:rFonts w:ascii="Times New Roman" w:hAnsi="Times New Roman" w:cs="Times New Roman"/>
              </w:rPr>
              <w:t>磋商报价得分=（磋商基准价/最后磋商报价）×价格分。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4"/>
              <w:numPr>
                <w:ilvl w:val="255"/>
                <w:numId w:val="0"/>
              </w:numPr>
              <w:ind w:left="420" w:firstLine="420" w:firstLineChars="200"/>
              <w:rPr>
                <w:rFonts w:ascii="Times New Roman" w:hAnsi="Times New Roman" w:cs="Times New Roman"/>
              </w:rPr>
            </w:pPr>
            <w:r>
              <w:rPr>
                <w:rFonts w:hint="eastAsia" w:ascii="Times New Roman" w:hAnsi="Times New Roman" w:cs="Times New Roman"/>
              </w:rPr>
              <w:t>四、</w:t>
            </w:r>
            <w:r>
              <w:rPr>
                <w:rFonts w:ascii="Times New Roman" w:hAnsi="Times New Roman" w:cs="Times New Roman"/>
              </w:rPr>
              <w:t>总分计算</w:t>
            </w:r>
          </w:p>
          <w:p>
            <w:pPr>
              <w:pStyle w:val="114"/>
              <w:rPr>
                <w:rFonts w:ascii="Times New Roman" w:hAnsi="Times New Roman" w:cs="Times New Roman"/>
              </w:rPr>
            </w:pPr>
            <w:r>
              <w:rPr>
                <w:rFonts w:ascii="Times New Roman" w:hAnsi="Times New Roman" w:cs="Times New Roman"/>
              </w:rPr>
              <w:t>评标总得分＝（F1×A1＋F2×A2＋……＋Fn×An）/ 100；</w:t>
            </w:r>
          </w:p>
          <w:p>
            <w:pPr>
              <w:pStyle w:val="114"/>
              <w:rPr>
                <w:rFonts w:ascii="Times New Roman" w:hAnsi="Times New Roman" w:cs="Times New Roman"/>
                <w:b/>
                <w:bCs/>
              </w:rPr>
            </w:pPr>
            <w:r>
              <w:rPr>
                <w:rFonts w:ascii="Times New Roman" w:hAnsi="Times New Roman" w:cs="Times New Roman"/>
              </w:rPr>
              <w:t>F1、F2……Fn分别为各项评分因素的汇总得分；</w:t>
            </w:r>
          </w:p>
          <w:p>
            <w:pPr>
              <w:pStyle w:val="114"/>
              <w:rPr>
                <w:rFonts w:ascii="Times New Roman" w:hAnsi="Times New Roman" w:cs="Times New Roman"/>
              </w:rPr>
            </w:pPr>
            <w:r>
              <w:rPr>
                <w:rFonts w:ascii="Times New Roman" w:hAnsi="Times New Roman" w:cs="Times New Roman"/>
              </w:rPr>
              <w:t>A1、A2……An分别为各项评分因素分值(A1＋A2＋……＋An＝100)。</w:t>
            </w:r>
          </w:p>
        </w:tc>
      </w:tr>
    </w:tbl>
    <w:p>
      <w:pPr>
        <w:spacing w:beforeLines="100" w:line="400" w:lineRule="exact"/>
        <w:ind w:firstLine="420" w:firstLineChars="200"/>
        <w:rPr>
          <w:rFonts w:eastAsiaTheme="minorEastAsia"/>
          <w:bCs/>
          <w:sz w:val="21"/>
          <w:szCs w:val="21"/>
        </w:rPr>
      </w:pPr>
      <w:r>
        <w:rPr>
          <w:rFonts w:eastAsiaTheme="minorEastAsia"/>
          <w:bCs/>
          <w:sz w:val="21"/>
          <w:szCs w:val="21"/>
        </w:rPr>
        <w:t>根据财政部发布的《政府采购促进中小企业发展暂行办法》规定，对于非专门面向中小企业的项目，对小型和微型企业产品的价格给予6%的扣除，用扣除后的价格参与评审。</w:t>
      </w:r>
    </w:p>
    <w:p>
      <w:pPr>
        <w:spacing w:line="400" w:lineRule="exact"/>
        <w:ind w:firstLine="422" w:firstLineChars="200"/>
        <w:rPr>
          <w:rFonts w:eastAsiaTheme="minorEastAsia"/>
          <w:sz w:val="21"/>
          <w:szCs w:val="21"/>
        </w:rPr>
      </w:pPr>
      <w:r>
        <w:rPr>
          <w:rFonts w:eastAsiaTheme="minorEastAsia"/>
          <w:b/>
          <w:bCs/>
          <w:sz w:val="21"/>
          <w:szCs w:val="21"/>
        </w:rPr>
        <w:br w:type="page"/>
      </w:r>
    </w:p>
    <w:p>
      <w:pPr>
        <w:pStyle w:val="3"/>
        <w:adjustRightInd/>
        <w:spacing w:line="400" w:lineRule="exact"/>
        <w:ind w:left="420" w:hanging="420"/>
        <w:jc w:val="center"/>
        <w:textAlignment w:val="auto"/>
        <w:rPr>
          <w:rFonts w:asciiTheme="majorEastAsia" w:hAnsiTheme="majorEastAsia" w:eastAsiaTheme="majorEastAsia"/>
          <w:kern w:val="2"/>
          <w:szCs w:val="21"/>
        </w:rPr>
      </w:pPr>
      <w:commentRangeStart w:id="7"/>
      <w:bookmarkStart w:id="73" w:name="_Ref477961348"/>
      <w:bookmarkStart w:id="74" w:name="_Toc477456211"/>
      <w:bookmarkStart w:id="75" w:name="_Toc477459651"/>
      <w:r>
        <w:rPr>
          <w:rFonts w:asciiTheme="majorEastAsia" w:hAnsiTheme="majorEastAsia" w:eastAsiaTheme="majorEastAsia"/>
          <w:kern w:val="2"/>
          <w:szCs w:val="21"/>
        </w:rPr>
        <w:t>第五部分</w:t>
      </w:r>
      <w:bookmarkStart w:id="76" w:name="磋商服务具体需求"/>
      <w:r>
        <w:rPr>
          <w:rFonts w:hint="eastAsia" w:asciiTheme="majorEastAsia" w:hAnsiTheme="majorEastAsia" w:eastAsiaTheme="majorEastAsia"/>
          <w:kern w:val="2"/>
          <w:szCs w:val="21"/>
        </w:rPr>
        <w:t>内部控制体系建设</w:t>
      </w:r>
      <w:r>
        <w:rPr>
          <w:rFonts w:asciiTheme="majorEastAsia" w:hAnsiTheme="majorEastAsia" w:eastAsiaTheme="majorEastAsia"/>
          <w:kern w:val="2"/>
          <w:szCs w:val="21"/>
        </w:rPr>
        <w:t>具体需求</w:t>
      </w:r>
      <w:commentRangeEnd w:id="7"/>
      <w:r>
        <w:rPr>
          <w:rStyle w:val="45"/>
          <w:rFonts w:ascii="Times New Roman" w:hAnsi="Times New Roman" w:eastAsia="宋体"/>
          <w:b w:val="0"/>
          <w:bCs w:val="0"/>
        </w:rPr>
        <w:commentReference w:id="7"/>
      </w:r>
      <w:bookmarkEnd w:id="73"/>
      <w:bookmarkEnd w:id="74"/>
      <w:bookmarkEnd w:id="75"/>
      <w:bookmarkEnd w:id="76"/>
    </w:p>
    <w:p>
      <w:pPr>
        <w:pStyle w:val="114"/>
      </w:pPr>
      <w:bookmarkStart w:id="77" w:name="_Toc324062999"/>
      <w:r>
        <w:t>为了进一步提高</w:t>
      </w:r>
      <w:r>
        <w:rPr>
          <w:rFonts w:hint="eastAsia"/>
        </w:rPr>
        <w:t>中央财经大学后勤服务产业集团的</w:t>
      </w:r>
      <w:r>
        <w:t>内部管理水平，规范内部控制，加强廉政风险防控机制建设</w:t>
      </w:r>
      <w:r>
        <w:rPr>
          <w:rFonts w:hint="eastAsia"/>
        </w:rPr>
        <w:t>，</w:t>
      </w:r>
      <w:r>
        <w:t>实现控制目标</w:t>
      </w:r>
      <w:r>
        <w:rPr>
          <w:rFonts w:hint="eastAsia"/>
        </w:rPr>
        <w:t>，现需建设中央财经大学后勤服务产业集团内部控制体系，</w:t>
      </w:r>
      <w:r>
        <w:t>对</w:t>
      </w:r>
      <w:r>
        <w:rPr>
          <w:rFonts w:hint="eastAsia"/>
        </w:rPr>
        <w:t>集团内部</w:t>
      </w:r>
      <w:r>
        <w:t>经济活动的风险进行防范和管控。</w:t>
      </w:r>
    </w:p>
    <w:p>
      <w:pPr>
        <w:pStyle w:val="114"/>
      </w:pPr>
      <w:r>
        <w:rPr>
          <w:rFonts w:hint="eastAsia"/>
        </w:rPr>
        <w:t>一、总体目标</w:t>
      </w:r>
      <w:bookmarkEnd w:id="77"/>
    </w:p>
    <w:p>
      <w:pPr>
        <w:pStyle w:val="114"/>
      </w:pPr>
      <w:r>
        <w:rPr>
          <w:rFonts w:hint="eastAsia"/>
        </w:rPr>
        <w:t>1、满足监管要求</w:t>
      </w:r>
    </w:p>
    <w:p>
      <w:pPr>
        <w:pStyle w:val="114"/>
      </w:pPr>
      <w:r>
        <w:rPr>
          <w:rFonts w:hint="eastAsia"/>
        </w:rPr>
        <w:t>满足财政部《行政事业单位内部控制规范（试行）》对行政事业单位内部控制的要求；</w:t>
      </w:r>
    </w:p>
    <w:p>
      <w:pPr>
        <w:pStyle w:val="114"/>
      </w:pPr>
      <w:r>
        <w:rPr>
          <w:rFonts w:hint="eastAsia"/>
        </w:rPr>
        <w:t>满足财政部等部委《企业内部控制基本规范》及配套指引对企业内部控制的要求；</w:t>
      </w:r>
    </w:p>
    <w:p>
      <w:pPr>
        <w:pStyle w:val="114"/>
      </w:pPr>
      <w:r>
        <w:rPr>
          <w:rFonts w:hint="eastAsia"/>
        </w:rPr>
        <w:t>满足教育部《教育部直属高校经济活动内部控制指南（试行）》对直属高校内部控制的要求。</w:t>
      </w:r>
    </w:p>
    <w:p>
      <w:pPr>
        <w:pStyle w:val="114"/>
      </w:pPr>
      <w:r>
        <w:rPr>
          <w:rFonts w:hint="eastAsia"/>
        </w:rPr>
        <w:t>满足中央财经大学对后勤服务产业集团（以下简称“后勤集团”）关于内部控制的监管要求。</w:t>
      </w:r>
    </w:p>
    <w:p>
      <w:pPr>
        <w:pStyle w:val="114"/>
      </w:pPr>
      <w:r>
        <w:rPr>
          <w:rFonts w:hint="eastAsia"/>
        </w:rPr>
        <w:t>2、全面提升后勤集团管理水平</w:t>
      </w:r>
    </w:p>
    <w:p>
      <w:pPr>
        <w:pStyle w:val="114"/>
      </w:pPr>
      <w:r>
        <w:rPr>
          <w:rFonts w:hint="eastAsia"/>
        </w:rPr>
        <w:t>引进现代风险管理理念，全面评估后勤集团面临的各项风险，明确风险应对策略，提高后勤集团风险管理水平，有效防控后勤集团管理相关风险；</w:t>
      </w:r>
    </w:p>
    <w:p>
      <w:pPr>
        <w:pStyle w:val="114"/>
      </w:pPr>
      <w:r>
        <w:rPr>
          <w:rFonts w:hint="eastAsia"/>
        </w:rPr>
        <w:t>全面梳理后勤集团内控的现状，发现内部控制存在的缺陷，系统完善内部控制，构建充分可操作的内部控制体系；</w:t>
      </w:r>
    </w:p>
    <w:p>
      <w:pPr>
        <w:pStyle w:val="114"/>
      </w:pPr>
      <w:r>
        <w:rPr>
          <w:rFonts w:hint="eastAsia"/>
        </w:rPr>
        <w:t>通过系统的流程梳理和管控设计，推动后勤集团管理的规范化、精细化管理水平。</w:t>
      </w:r>
    </w:p>
    <w:p>
      <w:pPr>
        <w:pStyle w:val="114"/>
      </w:pPr>
      <w:r>
        <w:rPr>
          <w:rFonts w:hint="eastAsia"/>
        </w:rPr>
        <w:t>3、指出未来发展路径</w:t>
      </w:r>
    </w:p>
    <w:p>
      <w:pPr>
        <w:pStyle w:val="114"/>
      </w:pPr>
      <w:r>
        <w:rPr>
          <w:rFonts w:hint="eastAsia"/>
        </w:rPr>
        <w:t>对比国内外高校后勤管理的内部控制先进经验，指出后勤集团内部控制的发展路径</w:t>
      </w:r>
      <w:r>
        <w:rPr>
          <w:rFonts w:hint="eastAsia"/>
          <w:lang w:val="en-US" w:eastAsia="zh-CN"/>
        </w:rPr>
        <w:t>,形成发展方案</w:t>
      </w:r>
      <w:r>
        <w:rPr>
          <w:rFonts w:hint="eastAsia"/>
        </w:rPr>
        <w:t>；</w:t>
      </w:r>
    </w:p>
    <w:p>
      <w:pPr>
        <w:pStyle w:val="114"/>
      </w:pPr>
      <w:r>
        <w:rPr>
          <w:rFonts w:hint="eastAsia"/>
        </w:rPr>
        <w:t>推动后勤集团管理创新，为高等院校后勤管理内部控制建设提供先进经验。</w:t>
      </w:r>
    </w:p>
    <w:p>
      <w:pPr>
        <w:pStyle w:val="114"/>
      </w:pPr>
      <w:bookmarkStart w:id="78" w:name="_Toc324063000"/>
      <w:r>
        <w:rPr>
          <w:rFonts w:hint="eastAsia"/>
        </w:rPr>
        <w:t>二、具体目标</w:t>
      </w:r>
      <w:bookmarkEnd w:id="78"/>
    </w:p>
    <w:p>
      <w:pPr>
        <w:pStyle w:val="114"/>
      </w:pPr>
      <w:r>
        <w:rPr>
          <w:rFonts w:hint="eastAsia"/>
        </w:rPr>
        <w:t>1、构建“三位一体”内部控制实务体系，具体包括：</w:t>
      </w:r>
    </w:p>
    <w:p>
      <w:pPr>
        <w:pStyle w:val="114"/>
      </w:pPr>
      <w:r>
        <w:rPr>
          <w:rFonts w:hint="eastAsia"/>
        </w:rPr>
        <w:t>构建内部控制标准体系，确保风险得到全方位、全过程控制；</w:t>
      </w:r>
    </w:p>
    <w:p>
      <w:pPr>
        <w:pStyle w:val="114"/>
      </w:pPr>
      <w:r>
        <w:rPr>
          <w:rFonts w:hint="eastAsia"/>
        </w:rPr>
        <w:t>开展风险评估；</w:t>
      </w:r>
    </w:p>
    <w:p>
      <w:pPr>
        <w:pStyle w:val="114"/>
      </w:pPr>
      <w:r>
        <w:rPr>
          <w:rFonts w:hint="eastAsia"/>
        </w:rPr>
        <w:t>开展流程管控设计</w:t>
      </w:r>
      <w:r>
        <w:t></w:t>
      </w:r>
      <w:r>
        <w:rPr>
          <w:rFonts w:hint="eastAsia"/>
        </w:rPr>
        <w:t>；</w:t>
      </w:r>
    </w:p>
    <w:p>
      <w:pPr>
        <w:pStyle w:val="114"/>
      </w:pPr>
      <w:r>
        <w:rPr>
          <w:rFonts w:hint="eastAsia"/>
        </w:rPr>
        <w:t>制定内部控制手册。</w:t>
      </w:r>
    </w:p>
    <w:p>
      <w:pPr>
        <w:pStyle w:val="114"/>
      </w:pPr>
      <w:r>
        <w:rPr>
          <w:rFonts w:hint="eastAsia"/>
        </w:rPr>
        <w:t>2、辅助构建内部控制落地实施体系，确保内部控制能充分落地实施。</w:t>
      </w:r>
    </w:p>
    <w:p>
      <w:pPr>
        <w:pStyle w:val="114"/>
      </w:pPr>
      <w:r>
        <w:rPr>
          <w:rFonts w:hint="eastAsia"/>
        </w:rPr>
        <w:t>流程固化与优化；</w:t>
      </w:r>
    </w:p>
    <w:p>
      <w:pPr>
        <w:pStyle w:val="114"/>
      </w:pPr>
      <w:r>
        <w:rPr>
          <w:rFonts w:hint="eastAsia"/>
        </w:rPr>
        <w:t>部门岗位职责完善；</w:t>
      </w:r>
    </w:p>
    <w:p>
      <w:pPr>
        <w:pStyle w:val="114"/>
      </w:pPr>
      <w:r>
        <w:rPr>
          <w:rFonts w:hint="eastAsia"/>
        </w:rPr>
        <w:t>授权体系完善；</w:t>
      </w:r>
    </w:p>
    <w:p>
      <w:pPr>
        <w:pStyle w:val="114"/>
      </w:pPr>
      <w:r>
        <w:rPr>
          <w:rFonts w:hint="eastAsia"/>
        </w:rPr>
        <w:t>表单体系完善；</w:t>
      </w:r>
    </w:p>
    <w:p>
      <w:pPr>
        <w:pStyle w:val="114"/>
      </w:pPr>
      <w:r>
        <w:rPr>
          <w:rFonts w:hint="eastAsia"/>
        </w:rPr>
        <w:t>组织机构完善；</w:t>
      </w:r>
    </w:p>
    <w:p>
      <w:pPr>
        <w:pStyle w:val="114"/>
      </w:pPr>
      <w:r>
        <w:rPr>
          <w:rFonts w:hint="eastAsia"/>
        </w:rPr>
        <w:t>管理制度完善。</w:t>
      </w:r>
    </w:p>
    <w:p>
      <w:pPr>
        <w:pStyle w:val="114"/>
      </w:pPr>
      <w:r>
        <w:rPr>
          <w:rFonts w:hint="eastAsia"/>
        </w:rPr>
        <w:t>3、辅助构建内部控制实施保障体系，确保内部控制能得到充分有效执行</w:t>
      </w:r>
    </w:p>
    <w:p>
      <w:pPr>
        <w:pStyle w:val="114"/>
      </w:pPr>
      <w:r>
        <w:rPr>
          <w:rFonts w:hint="eastAsia"/>
        </w:rPr>
        <w:t>文化保障；</w:t>
      </w:r>
    </w:p>
    <w:p>
      <w:pPr>
        <w:pStyle w:val="114"/>
      </w:pPr>
      <w:r>
        <w:rPr>
          <w:rFonts w:hint="eastAsia"/>
        </w:rPr>
        <w:t>组织保障；</w:t>
      </w:r>
    </w:p>
    <w:p>
      <w:pPr>
        <w:pStyle w:val="114"/>
      </w:pPr>
      <w:r>
        <w:rPr>
          <w:rFonts w:hint="eastAsia"/>
        </w:rPr>
        <w:t>监督保障；</w:t>
      </w:r>
    </w:p>
    <w:p>
      <w:pPr>
        <w:pStyle w:val="114"/>
      </w:pPr>
      <w:r>
        <w:rPr>
          <w:rFonts w:hint="eastAsia"/>
        </w:rPr>
        <w:t>机制保障；</w:t>
      </w:r>
    </w:p>
    <w:p>
      <w:pPr>
        <w:pStyle w:val="114"/>
      </w:pPr>
      <w:r>
        <w:rPr>
          <w:rFonts w:hint="eastAsia"/>
        </w:rPr>
        <w:t>信息系统保障。</w:t>
      </w:r>
    </w:p>
    <w:p>
      <w:pPr>
        <w:pStyle w:val="114"/>
      </w:pPr>
      <w:r>
        <w:rPr>
          <w:rFonts w:hint="eastAsia"/>
        </w:rPr>
        <w:t>三、本项目招标范围及售后服务</w:t>
      </w:r>
    </w:p>
    <w:p>
      <w:pPr>
        <w:pStyle w:val="114"/>
      </w:pPr>
      <w:r>
        <w:rPr>
          <w:rFonts w:hint="eastAsia"/>
        </w:rPr>
        <w:t>1、安排专业咨询团队，梳理后勤集团关键业务流程的内控情况，完善后勤集团的内控评价体系，优化后勤集团内控制度。</w:t>
      </w:r>
    </w:p>
    <w:p>
      <w:pPr>
        <w:pStyle w:val="114"/>
        <w:rPr>
          <w:rFonts w:hint="eastAsia"/>
        </w:rPr>
      </w:pPr>
      <w:r>
        <w:rPr>
          <w:rFonts w:hint="eastAsia"/>
        </w:rPr>
        <w:t>2、在协助招标人内部控制体系正式运行3个月后，还应提供为期一年的跟踪支持服务，协助内部控制体系持续改进，服务内容至少应包括：组织后勤集团内部培训，帮助职员学习相关制度，为内部控制系统实施提供指导，提供电话、电子邮件支持以及时解决运行中遇到的问题，以邮件方式提供内部控制领域的最新动态信息。</w:t>
      </w:r>
    </w:p>
    <w:p>
      <w:pPr>
        <w:pStyle w:val="114"/>
        <w:rPr>
          <w:rFonts w:hint="eastAsia"/>
        </w:rPr>
      </w:pPr>
      <w:r>
        <w:rPr>
          <w:rFonts w:hint="eastAsia"/>
        </w:rPr>
        <w:t>四、项目周期</w:t>
      </w:r>
    </w:p>
    <w:p>
      <w:pPr>
        <w:pStyle w:val="114"/>
        <w:rPr>
          <w:rFonts w:hint="eastAsia"/>
        </w:rPr>
      </w:pPr>
      <w:r>
        <w:rPr>
          <w:rFonts w:hint="eastAsia"/>
        </w:rPr>
        <w:t>1、在2018年5月之前，分阶段完成后勤集团内部控制体系的建立工作，形成相应的工作成果。</w:t>
      </w:r>
    </w:p>
    <w:p>
      <w:pPr>
        <w:pStyle w:val="114"/>
        <w:rPr>
          <w:rFonts w:hint="eastAsia"/>
        </w:rPr>
      </w:pPr>
      <w:r>
        <w:rPr>
          <w:rFonts w:hint="eastAsia"/>
        </w:rPr>
        <w:t>2、在2018年7月之前，通过后勤集团的内部控制体系建设专家评审会。</w:t>
      </w:r>
    </w:p>
    <w:p>
      <w:pPr>
        <w:pStyle w:val="114"/>
        <w:rPr>
          <w:rFonts w:hint="eastAsia"/>
        </w:rPr>
      </w:pPr>
      <w:r>
        <w:rPr>
          <w:rFonts w:hint="eastAsia"/>
        </w:rPr>
        <w:t>3、在2018年9月之前，完成后勤集团内部控制自我评价，接受后勤集团内部控制体系建设领导小组及专家对后勤集团内部控制评价检查，落实缺陷整改意见。</w:t>
      </w:r>
    </w:p>
    <w:p>
      <w:pPr>
        <w:pStyle w:val="114"/>
        <w:rPr>
          <w:rFonts w:hint="eastAsia"/>
        </w:rPr>
      </w:pPr>
      <w:r>
        <w:rPr>
          <w:rFonts w:hint="eastAsia"/>
        </w:rPr>
        <w:t>4、招标人有权根据后勤集团要求、实际情况调整和修改项目周期及各阶段时间安排。</w:t>
      </w:r>
    </w:p>
    <w:p>
      <w:pPr>
        <w:pStyle w:val="114"/>
        <w:rPr>
          <w:rFonts w:hint="eastAsia"/>
        </w:rPr>
      </w:pPr>
      <w:r>
        <w:rPr>
          <w:rFonts w:hint="eastAsia"/>
        </w:rPr>
        <w:t>五、项目成果</w:t>
      </w:r>
    </w:p>
    <w:p>
      <w:pPr>
        <w:pStyle w:val="114"/>
        <w:rPr>
          <w:rFonts w:hint="eastAsia"/>
        </w:rPr>
      </w:pPr>
      <w:r>
        <w:rPr>
          <w:rFonts w:hint="eastAsia"/>
        </w:rPr>
        <w:t>投标人应完成的项目成果，包含但不限于：</w:t>
      </w:r>
    </w:p>
    <w:p>
      <w:pPr>
        <w:pStyle w:val="114"/>
        <w:rPr>
          <w:rFonts w:hint="eastAsia"/>
        </w:rPr>
      </w:pPr>
      <w:r>
        <w:rPr>
          <w:rFonts w:hint="eastAsia"/>
        </w:rPr>
        <w:t>1、过程性成果</w:t>
      </w:r>
    </w:p>
    <w:p>
      <w:pPr>
        <w:pStyle w:val="114"/>
        <w:rPr>
          <w:rFonts w:hint="eastAsia"/>
        </w:rPr>
      </w:pPr>
      <w:r>
        <w:rPr>
          <w:rFonts w:hint="eastAsia"/>
        </w:rPr>
        <w:t>流程目录</w:t>
      </w:r>
    </w:p>
    <w:p>
      <w:pPr>
        <w:pStyle w:val="114"/>
        <w:rPr>
          <w:rFonts w:hint="eastAsia"/>
        </w:rPr>
      </w:pPr>
      <w:r>
        <w:rPr>
          <w:rFonts w:hint="eastAsia"/>
        </w:rPr>
        <w:t>现状流程图</w:t>
      </w:r>
    </w:p>
    <w:p>
      <w:pPr>
        <w:pStyle w:val="114"/>
        <w:rPr>
          <w:rFonts w:hint="eastAsia"/>
        </w:rPr>
      </w:pPr>
      <w:r>
        <w:rPr>
          <w:rFonts w:hint="eastAsia"/>
        </w:rPr>
        <w:t>业务层面风险数据库</w:t>
      </w:r>
    </w:p>
    <w:p>
      <w:pPr>
        <w:pStyle w:val="114"/>
        <w:rPr>
          <w:rFonts w:hint="eastAsia"/>
        </w:rPr>
      </w:pPr>
      <w:r>
        <w:rPr>
          <w:rFonts w:hint="eastAsia"/>
        </w:rPr>
        <w:t>单位层面风险清单</w:t>
      </w:r>
    </w:p>
    <w:p>
      <w:pPr>
        <w:pStyle w:val="114"/>
        <w:rPr>
          <w:rFonts w:hint="eastAsia"/>
        </w:rPr>
      </w:pPr>
      <w:r>
        <w:rPr>
          <w:rFonts w:hint="eastAsia"/>
        </w:rPr>
        <w:t>风险成因分析表</w:t>
      </w:r>
    </w:p>
    <w:p>
      <w:pPr>
        <w:pStyle w:val="114"/>
        <w:rPr>
          <w:rFonts w:hint="eastAsia"/>
        </w:rPr>
      </w:pPr>
      <w:r>
        <w:rPr>
          <w:rFonts w:hint="eastAsia"/>
        </w:rPr>
        <w:t>风险坐标图</w:t>
      </w:r>
    </w:p>
    <w:p>
      <w:pPr>
        <w:pStyle w:val="114"/>
        <w:rPr>
          <w:rFonts w:hint="eastAsia"/>
        </w:rPr>
      </w:pPr>
      <w:r>
        <w:rPr>
          <w:rFonts w:hint="eastAsia"/>
        </w:rPr>
        <w:t>内部控制现状评估报告</w:t>
      </w:r>
    </w:p>
    <w:p>
      <w:pPr>
        <w:pStyle w:val="114"/>
        <w:rPr>
          <w:rFonts w:hint="eastAsia"/>
        </w:rPr>
      </w:pPr>
      <w:r>
        <w:rPr>
          <w:rFonts w:hint="eastAsia"/>
        </w:rPr>
        <w:t>内部控制落地实施方案</w:t>
      </w:r>
    </w:p>
    <w:p>
      <w:pPr>
        <w:pStyle w:val="114"/>
        <w:rPr>
          <w:rFonts w:hint="eastAsia"/>
        </w:rPr>
      </w:pPr>
      <w:r>
        <w:rPr>
          <w:rFonts w:hint="eastAsia"/>
        </w:rPr>
        <w:t>内部控制理论与实务培训</w:t>
      </w:r>
    </w:p>
    <w:p>
      <w:pPr>
        <w:pStyle w:val="114"/>
        <w:rPr>
          <w:rFonts w:hint="eastAsia"/>
        </w:rPr>
      </w:pPr>
      <w:r>
        <w:rPr>
          <w:rFonts w:hint="eastAsia"/>
        </w:rPr>
        <w:t>2、内部控制设计类成果</w:t>
      </w:r>
    </w:p>
    <w:p>
      <w:pPr>
        <w:pStyle w:val="114"/>
        <w:rPr>
          <w:rFonts w:hint="eastAsia"/>
        </w:rPr>
      </w:pPr>
      <w:r>
        <w:rPr>
          <w:rFonts w:hint="eastAsia"/>
        </w:rPr>
        <w:t>业务流程框架</w:t>
      </w:r>
    </w:p>
    <w:p>
      <w:pPr>
        <w:pStyle w:val="114"/>
        <w:rPr>
          <w:rFonts w:hint="eastAsia"/>
        </w:rPr>
      </w:pPr>
      <w:r>
        <w:rPr>
          <w:rFonts w:hint="eastAsia"/>
        </w:rPr>
        <w:t>内部控制管理规范总册</w:t>
      </w:r>
    </w:p>
    <w:p>
      <w:pPr>
        <w:pStyle w:val="114"/>
        <w:rPr>
          <w:rFonts w:hint="eastAsia"/>
        </w:rPr>
      </w:pPr>
      <w:r>
        <w:rPr>
          <w:rFonts w:hint="eastAsia"/>
        </w:rPr>
        <w:t>风险评估规范手册</w:t>
      </w:r>
    </w:p>
    <w:p>
      <w:pPr>
        <w:pStyle w:val="114"/>
        <w:rPr>
          <w:rFonts w:hint="eastAsia"/>
        </w:rPr>
      </w:pPr>
      <w:r>
        <w:rPr>
          <w:rFonts w:hint="eastAsia"/>
        </w:rPr>
        <w:t>内部控制流程控制规范手册</w:t>
      </w:r>
    </w:p>
    <w:p>
      <w:pPr>
        <w:pStyle w:val="114"/>
        <w:rPr>
          <w:rFonts w:hint="eastAsia"/>
        </w:rPr>
      </w:pPr>
      <w:r>
        <w:rPr>
          <w:rFonts w:hint="eastAsia"/>
        </w:rPr>
        <w:t>内部控制岗位授权规范手册</w:t>
      </w:r>
    </w:p>
    <w:p>
      <w:pPr>
        <w:pStyle w:val="114"/>
        <w:rPr>
          <w:rFonts w:hint="eastAsia"/>
        </w:rPr>
      </w:pPr>
      <w:r>
        <w:rPr>
          <w:rFonts w:hint="eastAsia"/>
        </w:rPr>
        <w:t>制度规范手册</w:t>
      </w:r>
    </w:p>
    <w:p>
      <w:pPr>
        <w:pStyle w:val="114"/>
        <w:rPr>
          <w:rFonts w:hint="eastAsia"/>
        </w:rPr>
      </w:pPr>
      <w:r>
        <w:rPr>
          <w:rFonts w:hint="eastAsia"/>
        </w:rPr>
        <w:t>内部控制评价规范手册</w:t>
      </w:r>
    </w:p>
    <w:p>
      <w:pPr>
        <w:pStyle w:val="114"/>
        <w:rPr>
          <w:rFonts w:hint="eastAsia"/>
        </w:rPr>
      </w:pPr>
      <w:r>
        <w:rPr>
          <w:rFonts w:hint="eastAsia"/>
        </w:rPr>
        <w:t>3、内部控制执行类成果</w:t>
      </w:r>
    </w:p>
    <w:p>
      <w:pPr>
        <w:pStyle w:val="114"/>
        <w:rPr>
          <w:rFonts w:hint="eastAsia"/>
        </w:rPr>
      </w:pPr>
      <w:r>
        <w:rPr>
          <w:rFonts w:hint="eastAsia"/>
        </w:rPr>
        <w:t>内部控制自评报告</w:t>
      </w:r>
    </w:p>
    <w:p>
      <w:pPr>
        <w:pStyle w:val="114"/>
        <w:rPr>
          <w:rFonts w:hint="eastAsia"/>
        </w:rPr>
      </w:pPr>
      <w:r>
        <w:rPr>
          <w:rFonts w:hint="eastAsia"/>
        </w:rPr>
        <w:t>内部控制缺陷整改报告</w:t>
      </w:r>
    </w:p>
    <w:p>
      <w:pPr>
        <w:pStyle w:val="114"/>
        <w:rPr>
          <w:rFonts w:hint="eastAsia"/>
        </w:rPr>
      </w:pPr>
      <w:r>
        <w:rPr>
          <w:rFonts w:hint="eastAsia"/>
        </w:rPr>
        <w:t>4、内部控制基础类成果</w:t>
      </w:r>
    </w:p>
    <w:p>
      <w:pPr>
        <w:pStyle w:val="114"/>
        <w:rPr>
          <w:rFonts w:hint="eastAsia"/>
        </w:rPr>
      </w:pPr>
      <w:r>
        <w:rPr>
          <w:rFonts w:hint="eastAsia"/>
        </w:rPr>
        <w:t>内部控制评价与考核相关制度</w:t>
      </w:r>
    </w:p>
    <w:p>
      <w:pPr>
        <w:pStyle w:val="114"/>
        <w:rPr>
          <w:rFonts w:hint="eastAsia"/>
        </w:rPr>
      </w:pPr>
      <w:r>
        <w:rPr>
          <w:rFonts w:hint="eastAsia"/>
        </w:rPr>
        <w:t>5、其他成果</w:t>
      </w:r>
    </w:p>
    <w:p>
      <w:pPr>
        <w:pStyle w:val="114"/>
        <w:rPr>
          <w:rFonts w:hint="eastAsia"/>
        </w:rPr>
      </w:pPr>
      <w:r>
        <w:rPr>
          <w:rFonts w:hint="eastAsia"/>
        </w:rPr>
        <w:t>内部控制建设自验收报告</w:t>
      </w:r>
    </w:p>
    <w:p>
      <w:pPr>
        <w:pStyle w:val="114"/>
        <w:rPr>
          <w:rFonts w:hint="eastAsia"/>
        </w:rPr>
      </w:pPr>
      <w:r>
        <w:rPr>
          <w:rFonts w:hint="eastAsia"/>
        </w:rPr>
        <w:t>六、项目验收</w:t>
      </w:r>
    </w:p>
    <w:p>
      <w:pPr>
        <w:pStyle w:val="114"/>
        <w:rPr>
          <w:rFonts w:hint="eastAsia"/>
        </w:rPr>
      </w:pPr>
      <w:r>
        <w:rPr>
          <w:rFonts w:hint="eastAsia"/>
        </w:rPr>
        <w:t>1、验收标准。</w:t>
      </w:r>
    </w:p>
    <w:p>
      <w:pPr>
        <w:pStyle w:val="114"/>
        <w:rPr>
          <w:rFonts w:hint="eastAsia"/>
        </w:rPr>
      </w:pPr>
      <w:r>
        <w:rPr>
          <w:rFonts w:hint="eastAsia"/>
        </w:rPr>
        <w:t>建立的内部控制体系符合招标人认可的设计要求。</w:t>
      </w:r>
    </w:p>
    <w:p>
      <w:pPr>
        <w:pStyle w:val="114"/>
        <w:rPr>
          <w:rFonts w:hint="eastAsia"/>
        </w:rPr>
      </w:pPr>
      <w:r>
        <w:rPr>
          <w:rFonts w:hint="eastAsia"/>
        </w:rPr>
        <w:t>2、验收形式。</w:t>
      </w:r>
    </w:p>
    <w:p>
      <w:pPr>
        <w:pStyle w:val="114"/>
        <w:rPr>
          <w:rFonts w:hint="eastAsia"/>
        </w:rPr>
      </w:pPr>
      <w:r>
        <w:rPr>
          <w:rFonts w:hint="eastAsia"/>
        </w:rPr>
        <w:t>通过由后期集团主持召开的内部控制建设项目专家评审会和自我评价检查。</w:t>
      </w:r>
    </w:p>
    <w:p>
      <w:pPr>
        <w:pStyle w:val="114"/>
        <w:rPr>
          <w:rFonts w:hint="eastAsia"/>
        </w:rPr>
      </w:pPr>
      <w:r>
        <w:rPr>
          <w:rFonts w:hint="eastAsia"/>
        </w:rPr>
        <w:t>3、交付件。</w:t>
      </w:r>
    </w:p>
    <w:p>
      <w:pPr>
        <w:pStyle w:val="114"/>
        <w:rPr>
          <w:rFonts w:hint="eastAsia"/>
        </w:rPr>
      </w:pPr>
      <w:r>
        <w:rPr>
          <w:rFonts w:hint="eastAsia"/>
        </w:rPr>
        <w:t>验收需交付文档清单包含但不限于：</w:t>
      </w:r>
    </w:p>
    <w:p>
      <w:pPr>
        <w:pStyle w:val="114"/>
        <w:rPr>
          <w:rFonts w:hint="eastAsia"/>
        </w:rPr>
      </w:pPr>
      <w:r>
        <w:rPr>
          <w:rFonts w:hint="eastAsia"/>
        </w:rPr>
        <w:t>后勤集团内部控制手册</w:t>
      </w:r>
    </w:p>
    <w:p>
      <w:pPr>
        <w:pStyle w:val="114"/>
        <w:rPr>
          <w:rFonts w:hint="eastAsia"/>
        </w:rPr>
      </w:pPr>
      <w:r>
        <w:rPr>
          <w:rFonts w:hint="eastAsia"/>
        </w:rPr>
        <w:t>风险评估规范手册</w:t>
      </w:r>
    </w:p>
    <w:p>
      <w:pPr>
        <w:pStyle w:val="114"/>
        <w:rPr>
          <w:rFonts w:hint="eastAsia"/>
        </w:rPr>
      </w:pPr>
      <w:r>
        <w:rPr>
          <w:rFonts w:hint="eastAsia"/>
        </w:rPr>
        <w:t>内控自评报告与缺陷整改报告</w:t>
      </w:r>
    </w:p>
    <w:p>
      <w:pPr>
        <w:pStyle w:val="114"/>
      </w:pPr>
      <w:r>
        <w:rPr>
          <w:rFonts w:hint="eastAsia"/>
        </w:rPr>
        <w:t>内控评价与考核相关制度七、付款方式</w:t>
      </w:r>
    </w:p>
    <w:p>
      <w:pPr>
        <w:pStyle w:val="114"/>
      </w:pPr>
      <w:r>
        <w:rPr>
          <w:rFonts w:hint="eastAsia"/>
        </w:rPr>
        <w:t>合同生效后，甲方分三期向乙方支付相应服务费：</w:t>
      </w:r>
    </w:p>
    <w:p>
      <w:pPr>
        <w:pStyle w:val="114"/>
      </w:pPr>
      <w:r>
        <w:rPr>
          <w:rFonts w:hint="eastAsia"/>
        </w:rPr>
        <w:t>合同生效后10个工作日内付款至合同金额的30%；工作成果经甲方初步确认后10个工作日内付款至合同金额的90%；待合同义务全部履行并经甲方验收后10个工作日内付款至合同金额的100%。</w:t>
      </w:r>
    </w:p>
    <w:p>
      <w:pPr>
        <w:pStyle w:val="114"/>
      </w:pPr>
      <w:r>
        <w:br w:type="page"/>
      </w:r>
    </w:p>
    <w:p>
      <w:pPr>
        <w:widowControl/>
        <w:adjustRightInd/>
        <w:spacing w:line="240" w:lineRule="auto"/>
        <w:textAlignment w:val="auto"/>
        <w:rPr>
          <w:rFonts w:eastAsiaTheme="minorEastAsia"/>
          <w:kern w:val="2"/>
          <w:sz w:val="21"/>
          <w:szCs w:val="22"/>
        </w:rPr>
      </w:pPr>
    </w:p>
    <w:p>
      <w:pPr>
        <w:pStyle w:val="3"/>
        <w:adjustRightInd/>
        <w:spacing w:line="415" w:lineRule="auto"/>
        <w:ind w:left="420" w:hanging="420"/>
        <w:jc w:val="center"/>
        <w:textAlignment w:val="auto"/>
        <w:rPr>
          <w:rFonts w:ascii="Times New Roman" w:hAnsi="Times New Roman" w:eastAsiaTheme="majorEastAsia"/>
          <w:kern w:val="2"/>
        </w:rPr>
      </w:pPr>
      <w:bookmarkStart w:id="79" w:name="_Toc477456212"/>
      <w:bookmarkStart w:id="80" w:name="_Toc477459652"/>
      <w:r>
        <w:rPr>
          <w:rFonts w:ascii="Times New Roman" w:hAnsi="Times New Roman" w:eastAsiaTheme="majorEastAsia"/>
          <w:kern w:val="2"/>
        </w:rPr>
        <w:t>第六部分</w:t>
      </w:r>
      <w:bookmarkStart w:id="81" w:name="响应文件格式"/>
      <w:bookmarkStart w:id="82" w:name="_Toc86202632"/>
      <w:r>
        <w:rPr>
          <w:rFonts w:ascii="Times New Roman" w:hAnsi="Times New Roman" w:eastAsiaTheme="majorEastAsia"/>
          <w:kern w:val="2"/>
        </w:rPr>
        <w:t>响应文件格式</w:t>
      </w:r>
      <w:bookmarkEnd w:id="79"/>
      <w:bookmarkEnd w:id="80"/>
      <w:bookmarkEnd w:id="81"/>
      <w:bookmarkEnd w:id="82"/>
    </w:p>
    <w:p>
      <w:pPr>
        <w:pStyle w:val="4"/>
        <w:numPr>
          <w:ilvl w:val="0"/>
          <w:numId w:val="34"/>
        </w:numPr>
        <w:adjustRightInd/>
        <w:spacing w:line="415" w:lineRule="auto"/>
        <w:jc w:val="both"/>
        <w:textAlignment w:val="auto"/>
        <w:rPr>
          <w:rFonts w:eastAsiaTheme="minorEastAsia"/>
          <w:kern w:val="2"/>
        </w:rPr>
      </w:pPr>
      <w:bookmarkStart w:id="83" w:name="_Toc477459653"/>
      <w:bookmarkStart w:id="84" w:name="_Toc86202633"/>
      <w:r>
        <w:rPr>
          <w:rFonts w:eastAsiaTheme="minorEastAsia"/>
          <w:kern w:val="2"/>
        </w:rPr>
        <w:t>响应人提交文件须知</w:t>
      </w:r>
      <w:bookmarkEnd w:id="83"/>
      <w:bookmarkEnd w:id="84"/>
    </w:p>
    <w:p>
      <w:pPr>
        <w:numPr>
          <w:ilvl w:val="0"/>
          <w:numId w:val="35"/>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pPr>
        <w:numPr>
          <w:ilvl w:val="0"/>
          <w:numId w:val="35"/>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pPr>
        <w:numPr>
          <w:ilvl w:val="0"/>
          <w:numId w:val="35"/>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pPr>
        <w:numPr>
          <w:ilvl w:val="0"/>
          <w:numId w:val="35"/>
        </w:numPr>
        <w:spacing w:line="400" w:lineRule="exact"/>
        <w:textAlignment w:val="auto"/>
        <w:rPr>
          <w:rFonts w:eastAsiaTheme="minorEastAsia"/>
          <w:sz w:val="21"/>
          <w:szCs w:val="21"/>
        </w:rPr>
      </w:pPr>
      <w:r>
        <w:rPr>
          <w:rFonts w:eastAsiaTheme="minorEastAsia"/>
          <w:sz w:val="21"/>
          <w:szCs w:val="21"/>
        </w:rPr>
        <w:t>磋商小组将应用响应人提交的资料并根据自己的判断，决定响应人履行合同的合格性及能力。</w:t>
      </w:r>
    </w:p>
    <w:p>
      <w:pPr>
        <w:numPr>
          <w:ilvl w:val="0"/>
          <w:numId w:val="35"/>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pPr>
        <w:numPr>
          <w:ilvl w:val="0"/>
          <w:numId w:val="35"/>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pPr>
        <w:pStyle w:val="4"/>
        <w:numPr>
          <w:ilvl w:val="0"/>
          <w:numId w:val="34"/>
        </w:numPr>
        <w:adjustRightInd/>
        <w:spacing w:line="415" w:lineRule="auto"/>
        <w:jc w:val="both"/>
        <w:textAlignment w:val="auto"/>
        <w:rPr>
          <w:rFonts w:eastAsiaTheme="minorEastAsia"/>
          <w:kern w:val="2"/>
        </w:rPr>
      </w:pPr>
      <w:r>
        <w:rPr>
          <w:rFonts w:eastAsiaTheme="minorEastAsia"/>
          <w:kern w:val="2"/>
        </w:rPr>
        <w:br w:type="page"/>
      </w:r>
      <w:bookmarkStart w:id="85" w:name="_Toc477459654"/>
      <w:r>
        <w:rPr>
          <w:rFonts w:eastAsiaTheme="minorEastAsia"/>
          <w:kern w:val="2"/>
        </w:rPr>
        <w:t>响应文件顺序</w:t>
      </w:r>
      <w:bookmarkEnd w:id="85"/>
    </w:p>
    <w:p>
      <w:pPr>
        <w:pStyle w:val="114"/>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响应人应严格按照本部分约定的顺序填写和提交规定的全部格式文件以及其他有关资料，混乱的编排导致磋商文件被误读或查找不到，后果由响应人承担。</w:t>
      </w:r>
    </w:p>
    <w:p>
      <w:pPr>
        <w:pStyle w:val="114"/>
        <w:numPr>
          <w:ilvl w:val="0"/>
          <w:numId w:val="36"/>
        </w:numPr>
        <w:ind w:firstLineChars="0"/>
        <w:rPr>
          <w:rFonts w:ascii="Times New Roman" w:hAnsi="Times New Roman" w:cs="Times New Roman"/>
        </w:rPr>
      </w:pPr>
      <w:r>
        <w:fldChar w:fldCharType="begin"/>
      </w:r>
      <w:r>
        <w:instrText xml:space="preserve"> REF _Ref477452230 \h  \* MERGEFORMAT </w:instrText>
      </w:r>
      <w:r>
        <w:fldChar w:fldCharType="separate"/>
      </w:r>
      <w:r>
        <w:rPr>
          <w:rFonts w:ascii="Times New Roman" w:hAnsi="Times New Roman" w:cs="Times New Roman"/>
        </w:rPr>
        <w:t>响应确认函</w:t>
      </w:r>
      <w:r>
        <w:rPr>
          <w:rFonts w:ascii="Times New Roman" w:hAnsi="Times New Roman" w:cs="Times New Roman"/>
        </w:rPr>
        <w:fldChar w:fldCharType="end"/>
      </w:r>
      <w:r>
        <w:rPr>
          <w:rFonts w:ascii="Times New Roman" w:hAnsi="Times New Roman" w:cs="Times New Roman"/>
        </w:rPr>
        <w:t>：见</w:t>
      </w:r>
      <w:r>
        <w:fldChar w:fldCharType="begin"/>
      </w:r>
      <w:r>
        <w:instrText xml:space="preserve"> REF _Ref477452230 \r \h  \* MERGEFORMAT </w:instrText>
      </w:r>
      <w:r>
        <w:fldChar w:fldCharType="separate"/>
      </w:r>
      <w:r>
        <w:rPr>
          <w:rFonts w:hint="eastAsia" w:ascii="Times New Roman" w:hAnsi="Times New Roman" w:cs="Times New Roman"/>
        </w:rPr>
        <w:t>附件1</w:t>
      </w:r>
      <w:r>
        <w:rPr>
          <w:rFonts w:hint="eastAsia" w:ascii="Times New Roman" w:hAnsi="Times New Roman" w:cs="Times New Roman"/>
        </w:rPr>
        <w:fldChar w:fldCharType="end"/>
      </w:r>
      <w:r>
        <w:rPr>
          <w:rFonts w:ascii="Times New Roman" w:hAnsi="Times New Roman" w:cs="Times New Roman"/>
        </w:rPr>
        <w:t>；</w:t>
      </w:r>
    </w:p>
    <w:p>
      <w:pPr>
        <w:pStyle w:val="114"/>
        <w:numPr>
          <w:ilvl w:val="0"/>
          <w:numId w:val="36"/>
        </w:numPr>
        <w:ind w:firstLineChars="0"/>
        <w:rPr>
          <w:rFonts w:ascii="Times New Roman" w:hAnsi="Times New Roman" w:cs="Times New Roman"/>
        </w:rPr>
      </w:pPr>
      <w:r>
        <w:fldChar w:fldCharType="begin"/>
      </w:r>
      <w:r>
        <w:instrText xml:space="preserve"> REF _Ref477452364 \h  \* MERGEFORMAT </w:instrText>
      </w:r>
      <w:r>
        <w:fldChar w:fldCharType="separate"/>
      </w:r>
      <w:r>
        <w:rPr>
          <w:rFonts w:ascii="Times New Roman" w:hAnsi="Times New Roman" w:cs="Times New Roman"/>
        </w:rPr>
        <w:t>响应函</w:t>
      </w:r>
      <w:r>
        <w:rPr>
          <w:rFonts w:ascii="Times New Roman" w:hAnsi="Times New Roman" w:cs="Times New Roman"/>
        </w:rPr>
        <w:fldChar w:fldCharType="end"/>
      </w:r>
      <w:r>
        <w:rPr>
          <w:rFonts w:ascii="Times New Roman" w:hAnsi="Times New Roman" w:cs="Times New Roman"/>
        </w:rPr>
        <w:t>：见</w:t>
      </w:r>
      <w:r>
        <w:fldChar w:fldCharType="begin"/>
      </w:r>
      <w:r>
        <w:instrText xml:space="preserve"> REF _Ref477452364 \r \h  \* MERGEFORMAT </w:instrText>
      </w:r>
      <w:r>
        <w:fldChar w:fldCharType="separate"/>
      </w:r>
      <w:r>
        <w:rPr>
          <w:rFonts w:hint="eastAsia" w:ascii="Times New Roman" w:hAnsi="Times New Roman" w:cs="Times New Roman"/>
        </w:rPr>
        <w:t>附件2</w:t>
      </w:r>
      <w:r>
        <w:rPr>
          <w:rFonts w:hint="eastAsia" w:ascii="Times New Roman" w:hAnsi="Times New Roman" w:cs="Times New Roman"/>
        </w:rPr>
        <w:fldChar w:fldCharType="end"/>
      </w:r>
      <w:r>
        <w:rPr>
          <w:rFonts w:ascii="Times New Roman" w:hAnsi="Times New Roman" w:cs="Times New Roman"/>
        </w:rPr>
        <w:t>；</w:t>
      </w:r>
    </w:p>
    <w:p>
      <w:pPr>
        <w:pStyle w:val="114"/>
        <w:numPr>
          <w:ilvl w:val="0"/>
          <w:numId w:val="36"/>
        </w:numPr>
        <w:ind w:firstLineChars="0"/>
        <w:rPr>
          <w:rFonts w:ascii="Times New Roman" w:hAnsi="Times New Roman" w:cs="Times New Roman"/>
        </w:rPr>
      </w:pPr>
      <w:r>
        <w:fldChar w:fldCharType="begin"/>
      </w:r>
      <w:r>
        <w:instrText xml:space="preserve"> REF _Ref477452442 \h  \* MERGEFORMAT </w:instrText>
      </w:r>
      <w:r>
        <w:fldChar w:fldCharType="separate"/>
      </w:r>
      <w:r>
        <w:rPr>
          <w:rFonts w:ascii="Times New Roman" w:hAnsi="Times New Roman" w:cs="Times New Roman"/>
        </w:rPr>
        <w:t>法定代表人授权委托书</w:t>
      </w:r>
      <w:r>
        <w:rPr>
          <w:rFonts w:ascii="Times New Roman" w:hAnsi="Times New Roman" w:cs="Times New Roman"/>
        </w:rPr>
        <w:fldChar w:fldCharType="end"/>
      </w:r>
      <w:r>
        <w:rPr>
          <w:rFonts w:ascii="Times New Roman" w:hAnsi="Times New Roman" w:cs="Times New Roman"/>
        </w:rPr>
        <w:t>：见</w:t>
      </w:r>
      <w:r>
        <w:fldChar w:fldCharType="begin"/>
      </w:r>
      <w:r>
        <w:instrText xml:space="preserve"> REF _Ref477452408 \r \h  \* MERGEFORMAT </w:instrText>
      </w:r>
      <w:r>
        <w:fldChar w:fldCharType="separate"/>
      </w:r>
      <w:r>
        <w:rPr>
          <w:rFonts w:hint="eastAsia" w:ascii="Times New Roman" w:hAnsi="Times New Roman" w:cs="Times New Roman"/>
        </w:rPr>
        <w:t>附件3</w:t>
      </w:r>
      <w:r>
        <w:rPr>
          <w:rFonts w:hint="eastAsia" w:ascii="Times New Roman" w:hAnsi="Times New Roman" w:cs="Times New Roman"/>
        </w:rPr>
        <w:fldChar w:fldCharType="end"/>
      </w:r>
      <w:r>
        <w:rPr>
          <w:rFonts w:ascii="Times New Roman" w:hAnsi="Times New Roman" w:cs="Times New Roman"/>
        </w:rPr>
        <w:t>；</w:t>
      </w:r>
    </w:p>
    <w:p>
      <w:pPr>
        <w:pStyle w:val="96"/>
        <w:numPr>
          <w:ilvl w:val="0"/>
          <w:numId w:val="36"/>
        </w:numPr>
        <w:ind w:firstLineChars="0"/>
        <w:rPr>
          <w:rFonts w:eastAsiaTheme="minorEastAsia"/>
          <w:szCs w:val="22"/>
        </w:rPr>
      </w:pPr>
      <w:r>
        <w:rPr>
          <w:rFonts w:eastAsiaTheme="minorEastAsia"/>
          <w:szCs w:val="22"/>
        </w:rPr>
        <w:t>有效的企业法人营业执照或事业单位法人证书、组织机构代码、税务登记证（副本复印件并加盖响应人公章；按规定需要年检的，年检章要清楚）；</w:t>
      </w:r>
    </w:p>
    <w:p>
      <w:pPr>
        <w:pStyle w:val="96"/>
        <w:numPr>
          <w:ilvl w:val="0"/>
          <w:numId w:val="36"/>
        </w:numPr>
        <w:ind w:firstLineChars="0"/>
        <w:rPr>
          <w:rFonts w:eastAsiaTheme="minorEastAsia"/>
          <w:szCs w:val="22"/>
        </w:rPr>
      </w:pPr>
      <w:r>
        <w:rPr>
          <w:rFonts w:eastAsiaTheme="minorEastAsia"/>
          <w:szCs w:val="22"/>
        </w:rPr>
        <w:t>三年无违法违纪申明、近三个月缴纳社会保障金证明、近三个月缴纳税收证明、上一年度财务审计报告（复印件须加盖响应人公章）；</w:t>
      </w:r>
    </w:p>
    <w:p>
      <w:pPr>
        <w:pStyle w:val="96"/>
        <w:numPr>
          <w:ilvl w:val="0"/>
          <w:numId w:val="36"/>
        </w:numPr>
        <w:ind w:firstLineChars="0"/>
        <w:rPr>
          <w:rFonts w:eastAsiaTheme="minorEastAsia"/>
          <w:szCs w:val="22"/>
        </w:rPr>
      </w:pPr>
      <w:r>
        <w:rPr>
          <w:rFonts w:eastAsiaTheme="minorEastAsia"/>
          <w:szCs w:val="22"/>
        </w:rPr>
        <w:t>按照“响应人（或响应产品）资质要求”规定提交的相关证明文件；</w:t>
      </w:r>
    </w:p>
    <w:p>
      <w:pPr>
        <w:pStyle w:val="114"/>
        <w:numPr>
          <w:ilvl w:val="0"/>
          <w:numId w:val="36"/>
        </w:numPr>
        <w:ind w:firstLineChars="0"/>
        <w:rPr>
          <w:rFonts w:ascii="Times New Roman" w:hAnsi="Times New Roman" w:cs="Times New Roman"/>
        </w:rPr>
      </w:pPr>
      <w:r>
        <w:rPr>
          <w:rFonts w:ascii="Times New Roman" w:hAnsi="Times New Roman" w:cs="Times New Roman"/>
        </w:rPr>
        <w:t>业绩证明材料：（案例、合同介绍及相关证明材料）；</w:t>
      </w:r>
    </w:p>
    <w:p>
      <w:pPr>
        <w:pStyle w:val="114"/>
        <w:numPr>
          <w:ilvl w:val="0"/>
          <w:numId w:val="36"/>
        </w:numPr>
        <w:ind w:firstLineChars="0"/>
        <w:rPr>
          <w:rFonts w:ascii="Times New Roman" w:hAnsi="Times New Roman" w:cs="Times New Roman"/>
        </w:rPr>
      </w:pPr>
      <w:r>
        <w:fldChar w:fldCharType="begin"/>
      </w:r>
      <w:r>
        <w:instrText xml:space="preserve"> REF _Ref477454981 \h  \* MERGEFORMAT </w:instrText>
      </w:r>
      <w:r>
        <w:fldChar w:fldCharType="separate"/>
      </w:r>
      <w:r>
        <w:rPr>
          <w:rFonts w:ascii="Times New Roman" w:hAnsi="Times New Roman" w:cs="Times New Roman"/>
        </w:rPr>
        <w:t>商务条款偏离表</w:t>
      </w:r>
      <w:r>
        <w:rPr>
          <w:rFonts w:ascii="Times New Roman" w:hAnsi="Times New Roman" w:cs="Times New Roman"/>
        </w:rPr>
        <w:fldChar w:fldCharType="end"/>
      </w:r>
      <w:r>
        <w:rPr>
          <w:rFonts w:ascii="Times New Roman" w:hAnsi="Times New Roman" w:cs="Times New Roman"/>
        </w:rPr>
        <w:t>：见</w:t>
      </w:r>
      <w:r>
        <w:fldChar w:fldCharType="begin"/>
      </w:r>
      <w:r>
        <w:instrText xml:space="preserve"> REF _Ref477454981 \r \h  \* MERGEFORMAT </w:instrText>
      </w:r>
      <w:r>
        <w:fldChar w:fldCharType="separate"/>
      </w:r>
      <w:r>
        <w:rPr>
          <w:rFonts w:hint="eastAsia" w:ascii="Times New Roman" w:hAnsi="Times New Roman" w:cs="Times New Roman"/>
        </w:rPr>
        <w:t>附件4</w:t>
      </w:r>
      <w:r>
        <w:rPr>
          <w:rFonts w:hint="eastAsia" w:ascii="Times New Roman" w:hAnsi="Times New Roman" w:cs="Times New Roman"/>
        </w:rPr>
        <w:fldChar w:fldCharType="end"/>
      </w:r>
      <w:r>
        <w:rPr>
          <w:rFonts w:ascii="Times New Roman" w:hAnsi="Times New Roman" w:cs="Times New Roman"/>
        </w:rPr>
        <w:t>；</w:t>
      </w:r>
    </w:p>
    <w:p>
      <w:pPr>
        <w:pStyle w:val="96"/>
        <w:numPr>
          <w:ilvl w:val="0"/>
          <w:numId w:val="36"/>
        </w:numPr>
        <w:ind w:firstLineChars="0"/>
      </w:pPr>
      <w:r>
        <w:rPr>
          <w:rFonts w:eastAsiaTheme="minorEastAsia"/>
          <w:szCs w:val="22"/>
        </w:rPr>
        <w:t>响应人认为需要提供的其他商务资料；</w:t>
      </w:r>
    </w:p>
    <w:p>
      <w:pPr>
        <w:pStyle w:val="96"/>
        <w:numPr>
          <w:ilvl w:val="0"/>
          <w:numId w:val="36"/>
        </w:numPr>
        <w:ind w:firstLineChars="0"/>
      </w:pPr>
      <w:r>
        <w:fldChar w:fldCharType="begin"/>
      </w:r>
      <w:r>
        <w:instrText xml:space="preserve"> REF _Ref477454967 \h  \* MERGEFORMAT </w:instrText>
      </w:r>
      <w:r>
        <w:fldChar w:fldCharType="separate"/>
      </w:r>
      <w:r>
        <w:rPr>
          <w:rFonts w:eastAsiaTheme="minorEastAsia"/>
        </w:rPr>
        <w:t>报价一览表</w:t>
      </w:r>
      <w:r>
        <w:rPr>
          <w:rFonts w:eastAsiaTheme="minorEastAsia"/>
        </w:rPr>
        <w:fldChar w:fldCharType="end"/>
      </w:r>
      <w:r>
        <w:t>：见</w:t>
      </w:r>
      <w:r>
        <w:fldChar w:fldCharType="begin"/>
      </w:r>
      <w:r>
        <w:instrText xml:space="preserve"> REF _Ref477454967 \r \h  \* MERGEFORMAT </w:instrText>
      </w:r>
      <w:r>
        <w:fldChar w:fldCharType="separate"/>
      </w:r>
      <w:r>
        <w:rPr>
          <w:rFonts w:hint="eastAsia"/>
        </w:rPr>
        <w:t>附件5</w:t>
      </w:r>
      <w:r>
        <w:rPr>
          <w:rFonts w:hint="eastAsia"/>
        </w:rPr>
        <w:fldChar w:fldCharType="end"/>
      </w:r>
      <w:r>
        <w:t>；</w:t>
      </w:r>
    </w:p>
    <w:p>
      <w:pPr>
        <w:pStyle w:val="96"/>
        <w:numPr>
          <w:ilvl w:val="0"/>
          <w:numId w:val="36"/>
        </w:numPr>
        <w:ind w:firstLineChars="0"/>
      </w:pPr>
      <w:r>
        <w:tab/>
      </w:r>
      <w:r>
        <w:t>响应人自行编写的技术文件，包括但不限于：</w:t>
      </w:r>
    </w:p>
    <w:p>
      <w:pPr>
        <w:numPr>
          <w:ilvl w:val="0"/>
          <w:numId w:val="37"/>
        </w:numPr>
        <w:spacing w:line="400" w:lineRule="exact"/>
        <w:textAlignment w:val="auto"/>
        <w:rPr>
          <w:rFonts w:eastAsiaTheme="minorEastAsia"/>
          <w:sz w:val="21"/>
          <w:szCs w:val="21"/>
        </w:rPr>
      </w:pPr>
      <w:r>
        <w:rPr>
          <w:rFonts w:eastAsiaTheme="minorEastAsia"/>
          <w:sz w:val="21"/>
          <w:szCs w:val="21"/>
        </w:rPr>
        <w:t>技术部分的点对点应答。应答内容应按照磋商文件技术部分需求中的要求进行应答（详见磋商文件技术部分）；</w:t>
      </w:r>
    </w:p>
    <w:p>
      <w:pPr>
        <w:numPr>
          <w:ilvl w:val="0"/>
          <w:numId w:val="37"/>
        </w:numPr>
        <w:spacing w:line="400" w:lineRule="exact"/>
        <w:textAlignment w:val="auto"/>
        <w:rPr>
          <w:rFonts w:eastAsiaTheme="minorEastAsia"/>
          <w:sz w:val="21"/>
          <w:szCs w:val="21"/>
        </w:rPr>
      </w:pPr>
      <w:r>
        <w:rPr>
          <w:rFonts w:eastAsiaTheme="minorEastAsia"/>
          <w:sz w:val="21"/>
          <w:szCs w:val="21"/>
        </w:rPr>
        <w:t>服务方案和项目时间安排；</w:t>
      </w:r>
    </w:p>
    <w:p>
      <w:pPr>
        <w:numPr>
          <w:ilvl w:val="0"/>
          <w:numId w:val="37"/>
        </w:numPr>
        <w:spacing w:line="400" w:lineRule="exact"/>
        <w:textAlignment w:val="auto"/>
        <w:rPr>
          <w:rFonts w:eastAsiaTheme="minorEastAsia"/>
          <w:sz w:val="21"/>
          <w:szCs w:val="21"/>
        </w:rPr>
      </w:pPr>
      <w:r>
        <w:rPr>
          <w:rFonts w:eastAsiaTheme="minorEastAsia"/>
          <w:sz w:val="21"/>
          <w:szCs w:val="21"/>
        </w:rPr>
        <w:t>项目参与人员简介；</w:t>
      </w:r>
    </w:p>
    <w:p>
      <w:pPr>
        <w:numPr>
          <w:ilvl w:val="0"/>
          <w:numId w:val="37"/>
        </w:numPr>
        <w:spacing w:line="400" w:lineRule="exact"/>
        <w:textAlignment w:val="auto"/>
        <w:rPr>
          <w:rFonts w:eastAsiaTheme="minorEastAsia"/>
          <w:sz w:val="21"/>
          <w:szCs w:val="21"/>
        </w:rPr>
      </w:pPr>
      <w:r>
        <w:rPr>
          <w:rFonts w:eastAsiaTheme="minorEastAsia"/>
          <w:sz w:val="21"/>
          <w:szCs w:val="21"/>
        </w:rPr>
        <w:t>技术规格响应；</w:t>
      </w:r>
    </w:p>
    <w:p>
      <w:pPr>
        <w:numPr>
          <w:ilvl w:val="0"/>
          <w:numId w:val="37"/>
        </w:numPr>
        <w:spacing w:line="400" w:lineRule="exact"/>
        <w:textAlignment w:val="auto"/>
        <w:rPr>
          <w:rFonts w:eastAsiaTheme="minorEastAsia"/>
          <w:sz w:val="21"/>
          <w:szCs w:val="21"/>
        </w:rPr>
      </w:pPr>
      <w:r>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37"/>
        </w:numPr>
        <w:spacing w:line="400" w:lineRule="exact"/>
        <w:textAlignment w:val="auto"/>
        <w:rPr>
          <w:rFonts w:eastAsiaTheme="minorEastAsia"/>
          <w:sz w:val="21"/>
          <w:szCs w:val="21"/>
        </w:rPr>
      </w:pPr>
      <w:r>
        <w:rPr>
          <w:rFonts w:eastAsiaTheme="minorEastAsia"/>
          <w:sz w:val="21"/>
          <w:szCs w:val="21"/>
        </w:rPr>
        <w:t>服务网点、服务环境及路线；</w:t>
      </w:r>
    </w:p>
    <w:p>
      <w:pPr>
        <w:numPr>
          <w:ilvl w:val="0"/>
          <w:numId w:val="37"/>
        </w:numPr>
        <w:spacing w:line="400" w:lineRule="exact"/>
        <w:textAlignment w:val="auto"/>
        <w:rPr>
          <w:rFonts w:eastAsiaTheme="minorEastAsia"/>
          <w:sz w:val="21"/>
          <w:szCs w:val="21"/>
        </w:rPr>
      </w:pPr>
      <w:r>
        <w:rPr>
          <w:rFonts w:eastAsiaTheme="minorEastAsia"/>
          <w:sz w:val="21"/>
          <w:szCs w:val="21"/>
        </w:rPr>
        <w:t>项目组织实施保障方案；</w:t>
      </w:r>
    </w:p>
    <w:p>
      <w:pPr>
        <w:numPr>
          <w:ilvl w:val="0"/>
          <w:numId w:val="37"/>
        </w:numPr>
        <w:spacing w:line="400" w:lineRule="exact"/>
        <w:textAlignment w:val="auto"/>
        <w:rPr>
          <w:rFonts w:eastAsiaTheme="minorEastAsia"/>
          <w:sz w:val="21"/>
          <w:szCs w:val="21"/>
        </w:rPr>
      </w:pPr>
      <w:r>
        <w:rPr>
          <w:rFonts w:eastAsiaTheme="minorEastAsia"/>
          <w:sz w:val="21"/>
          <w:szCs w:val="21"/>
        </w:rPr>
        <w:t>应急预案；</w:t>
      </w:r>
    </w:p>
    <w:p>
      <w:pPr>
        <w:numPr>
          <w:ilvl w:val="0"/>
          <w:numId w:val="37"/>
        </w:numPr>
        <w:spacing w:line="400" w:lineRule="exact"/>
        <w:textAlignment w:val="auto"/>
        <w:rPr>
          <w:rFonts w:eastAsiaTheme="minorEastAsia"/>
          <w:sz w:val="21"/>
          <w:szCs w:val="21"/>
        </w:rPr>
      </w:pPr>
      <w:r>
        <w:rPr>
          <w:rFonts w:eastAsiaTheme="minorEastAsia"/>
          <w:sz w:val="21"/>
          <w:szCs w:val="21"/>
        </w:rPr>
        <w:t>节能减排方案；</w:t>
      </w:r>
    </w:p>
    <w:p>
      <w:pPr>
        <w:numPr>
          <w:ilvl w:val="0"/>
          <w:numId w:val="37"/>
        </w:numPr>
        <w:spacing w:line="400" w:lineRule="exact"/>
        <w:textAlignment w:val="auto"/>
        <w:rPr>
          <w:rFonts w:eastAsiaTheme="minorEastAsia"/>
          <w:sz w:val="21"/>
          <w:szCs w:val="21"/>
        </w:rPr>
      </w:pPr>
      <w:r>
        <w:rPr>
          <w:rFonts w:eastAsiaTheme="minorEastAsia"/>
          <w:sz w:val="21"/>
          <w:szCs w:val="21"/>
        </w:rPr>
        <w:t>其他需要说明的问题。</w:t>
      </w:r>
    </w:p>
    <w:p>
      <w:pPr>
        <w:pStyle w:val="96"/>
        <w:numPr>
          <w:ilvl w:val="0"/>
          <w:numId w:val="36"/>
        </w:numPr>
        <w:ind w:firstLineChars="0"/>
      </w:pPr>
      <w:r>
        <w:fldChar w:fldCharType="begin"/>
      </w:r>
      <w:r>
        <w:instrText xml:space="preserve"> REF _Ref477454972 \h  \* MERGEFORMAT </w:instrText>
      </w:r>
      <w:r>
        <w:fldChar w:fldCharType="separate"/>
      </w:r>
      <w:r>
        <w:rPr>
          <w:rFonts w:eastAsiaTheme="minorEastAsia"/>
        </w:rPr>
        <w:t>响应人货物、服务项目偏离表</w:t>
      </w:r>
      <w:r>
        <w:rPr>
          <w:rFonts w:eastAsiaTheme="minorEastAsia"/>
        </w:rPr>
        <w:fldChar w:fldCharType="end"/>
      </w:r>
      <w:r>
        <w:t>：见</w:t>
      </w:r>
      <w:r>
        <w:fldChar w:fldCharType="begin"/>
      </w:r>
      <w:r>
        <w:instrText xml:space="preserve"> REF _Ref477454972 \r \h  \* MERGEFORMAT </w:instrText>
      </w:r>
      <w:r>
        <w:fldChar w:fldCharType="separate"/>
      </w:r>
      <w:r>
        <w:rPr>
          <w:rFonts w:hint="eastAsia"/>
        </w:rPr>
        <w:t>附件6</w:t>
      </w:r>
      <w:r>
        <w:rPr>
          <w:rFonts w:hint="eastAsia"/>
        </w:rPr>
        <w:fldChar w:fldCharType="end"/>
      </w:r>
      <w:r>
        <w:t>；</w:t>
      </w:r>
    </w:p>
    <w:p>
      <w:pPr>
        <w:pStyle w:val="96"/>
        <w:numPr>
          <w:ilvl w:val="0"/>
          <w:numId w:val="36"/>
        </w:numPr>
        <w:ind w:firstLineChars="0"/>
      </w:pPr>
      <w:r>
        <w:t>本文件要求提供的和响应人认为需要提供的其他说明和资料。</w:t>
      </w:r>
    </w:p>
    <w:p>
      <w:pPr>
        <w:widowControl/>
        <w:adjustRightInd/>
        <w:spacing w:line="240" w:lineRule="auto"/>
        <w:textAlignment w:val="auto"/>
      </w:pPr>
      <w:r>
        <w:br w:type="page"/>
      </w:r>
    </w:p>
    <w:p>
      <w:pPr>
        <w:pStyle w:val="4"/>
        <w:numPr>
          <w:ilvl w:val="0"/>
          <w:numId w:val="38"/>
        </w:numPr>
        <w:adjustRightInd/>
        <w:spacing w:line="415" w:lineRule="auto"/>
        <w:ind w:left="420"/>
        <w:jc w:val="both"/>
        <w:textAlignment w:val="auto"/>
        <w:rPr>
          <w:rFonts w:eastAsiaTheme="minorEastAsia"/>
          <w:kern w:val="2"/>
        </w:rPr>
      </w:pPr>
      <w:bookmarkStart w:id="86" w:name="_Ref477452230"/>
      <w:bookmarkStart w:id="87" w:name="_Toc477459655"/>
      <w:bookmarkStart w:id="88" w:name="_Toc86202634"/>
      <w:r>
        <w:rPr>
          <w:rFonts w:eastAsiaTheme="minorEastAsia"/>
          <w:kern w:val="2"/>
        </w:rPr>
        <w:t>响应确认函</w:t>
      </w:r>
      <w:bookmarkEnd w:id="86"/>
      <w:bookmarkEnd w:id="87"/>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Lines="100" w:line="400" w:lineRule="exact"/>
        <w:rPr>
          <w:sz w:val="21"/>
          <w:szCs w:val="21"/>
        </w:rPr>
      </w:pPr>
      <w:r>
        <w:rPr>
          <w:sz w:val="21"/>
          <w:szCs w:val="21"/>
        </w:rPr>
        <w:t>中央财经大学招标与采购事务中心：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w:t>
      </w:r>
      <w:r>
        <w:rPr>
          <w:rFonts w:hint="eastAsia"/>
          <w:sz w:val="21"/>
          <w:szCs w:val="21"/>
        </w:rPr>
        <w:t>，</w:t>
      </w:r>
      <w:r>
        <w:rPr>
          <w:sz w:val="21"/>
          <w:szCs w:val="21"/>
        </w:rPr>
        <w:t>全面理解磋商文件所有内容与要求的基础上，确定将于</w:t>
      </w:r>
      <w:r>
        <w:rPr>
          <w:szCs w:val="21"/>
        </w:rPr>
        <w:t>年月日点分，</w:t>
      </w:r>
      <w:r>
        <w:rPr>
          <w:sz w:val="21"/>
          <w:szCs w:val="21"/>
        </w:rPr>
        <w:t>在中央财经大学</w:t>
      </w:r>
      <w:r>
        <w:rPr>
          <w:rFonts w:hint="eastAsia"/>
          <w:sz w:val="21"/>
          <w:szCs w:val="21"/>
          <w:lang w:eastAsia="zh-CN"/>
        </w:rPr>
        <w:t>学六楼</w:t>
      </w:r>
      <w:r>
        <w:rPr>
          <w:rFonts w:hint="eastAsia"/>
          <w:sz w:val="21"/>
          <w:szCs w:val="21"/>
          <w:lang w:val="en-US" w:eastAsia="zh-CN"/>
        </w:rPr>
        <w:t>201室</w:t>
      </w:r>
      <w:r>
        <w:rPr>
          <w:sz w:val="21"/>
          <w:szCs w:val="21"/>
        </w:rPr>
        <w:t>，参与</w:t>
      </w:r>
      <w:r>
        <w:fldChar w:fldCharType="begin"/>
      </w:r>
      <w:r>
        <w:instrText xml:space="preserve"> REF 项目名称 \h  \* MERGEFORMAT </w:instrText>
      </w:r>
      <w:r>
        <w:fldChar w:fldCharType="separate"/>
      </w:r>
      <w:r>
        <w:t>中央财经大学</w:t>
      </w:r>
      <w:r>
        <w:rPr>
          <w:rFonts w:hint="eastAsia"/>
        </w:rPr>
        <w:t xml:space="preserve">     </w:t>
      </w:r>
      <w:r>
        <w:t>采购项目</w:t>
      </w:r>
      <w:r>
        <w:fldChar w:fldCharType="end"/>
      </w:r>
      <w:r>
        <w:rPr>
          <w:sz w:val="21"/>
          <w:szCs w:val="21"/>
        </w:rPr>
        <w:t>的磋商，项目编号：JC-</w:t>
      </w:r>
      <w:r>
        <w:rPr>
          <w:rFonts w:hint="eastAsia"/>
          <w:sz w:val="21"/>
          <w:szCs w:val="21"/>
        </w:rPr>
        <w:t>20170</w:t>
      </w:r>
      <w:r>
        <w:rPr>
          <w:rFonts w:hint="eastAsia"/>
          <w:sz w:val="21"/>
          <w:szCs w:val="21"/>
          <w:lang w:val="en-US" w:eastAsia="zh-CN"/>
        </w:rPr>
        <w:t>15</w:t>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（单位公章）：</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年月日</w:t>
      </w:r>
    </w:p>
    <w:p>
      <w:pPr>
        <w:pStyle w:val="114"/>
        <w:rPr>
          <w:rFonts w:ascii="Times New Roman" w:hAnsi="Times New Roman" w:cs="Times New Roman"/>
          <w:color w:val="000000"/>
          <w:szCs w:val="21"/>
        </w:rPr>
      </w:pPr>
      <w:r>
        <w:rPr>
          <w:rFonts w:ascii="Times New Roman" w:hAnsi="Times New Roman" w:cs="Times New Roman"/>
        </w:rPr>
        <w:fldChar w:fldCharType="begin"/>
      </w:r>
      <w:r>
        <w:rPr>
          <w:rFonts w:ascii="Times New Roman" w:hAnsi="Times New Roman" w:cs="Times New Roman"/>
        </w:rPr>
        <w:instrText xml:space="preserve"> REF 确认函说明 \h  \* MERGEFORMAT </w:instrText>
      </w:r>
      <w:r>
        <w:rPr>
          <w:rFonts w:ascii="Times New Roman" w:hAnsi="Times New Roman" w:cs="Times New Roman"/>
        </w:rPr>
        <w:fldChar w:fldCharType="separate"/>
      </w:r>
      <w:r>
        <w:rPr>
          <w:rFonts w:ascii="Times New Roman" w:hAnsi="Times New Roman" w:cs="Times New Roman"/>
        </w:rPr>
        <w:t>请确认参加磋商的供应商于</w:t>
      </w:r>
      <w:r>
        <w:rPr>
          <w:rFonts w:hint="eastAsia" w:ascii="Times New Roman" w:hAnsi="Times New Roman" w:cs="Times New Roman"/>
        </w:rPr>
        <w:t>201</w:t>
      </w:r>
      <w:r>
        <w:rPr>
          <w:rFonts w:hint="eastAsia" w:ascii="Times New Roman" w:hAnsi="Times New Roman" w:cs="Times New Roman"/>
          <w:lang w:val="en-US" w:eastAsia="zh-CN"/>
        </w:rPr>
        <w:t>8</w:t>
      </w:r>
      <w:r>
        <w:rPr>
          <w:rFonts w:ascii="Times New Roman" w:hAnsi="Times New Roman" w:cs="Times New Roman"/>
        </w:rPr>
        <w:t>年</w:t>
      </w:r>
      <w:r>
        <w:rPr>
          <w:rFonts w:hint="eastAsia" w:ascii="Times New Roman" w:hAnsi="Times New Roman" w:cs="Times New Roman"/>
        </w:rPr>
        <w:t>1</w:t>
      </w:r>
      <w:r>
        <w:rPr>
          <w:rFonts w:ascii="Times New Roman" w:hAnsi="Times New Roman" w:cs="Times New Roman"/>
        </w:rPr>
        <w:t>月</w:t>
      </w:r>
      <w:r>
        <w:rPr>
          <w:rFonts w:hint="eastAsia" w:ascii="Times New Roman" w:hAnsi="Times New Roman" w:cs="Times New Roman"/>
          <w:lang w:val="en-US" w:eastAsia="zh-CN"/>
        </w:rPr>
        <w:t>12</w:t>
      </w:r>
      <w:r>
        <w:rPr>
          <w:rFonts w:ascii="Times New Roman" w:hAnsi="Times New Roman" w:cs="Times New Roman"/>
        </w:rPr>
        <w:t>日15:00前传真至我单位，同时将盖章扫描件发送至邮箱：cgzx@cufe.edu.cn，邮件主题为“磋商确认函+公司简称+项目名称+项目编号”。</w:t>
      </w:r>
    </w:p>
    <w:p>
      <w:pPr>
        <w:pStyle w:val="102"/>
        <w:spacing w:before="0" w:after="0" w:line="400" w:lineRule="exact"/>
        <w:ind w:left="0" w:leftChars="0" w:firstLine="480"/>
        <w:rPr>
          <w:rFonts w:eastAsiaTheme="minorEastAsia"/>
          <w:color w:val="000000"/>
          <w:sz w:val="21"/>
          <w:szCs w:val="21"/>
        </w:rPr>
      </w:pPr>
      <w:r>
        <w:fldChar w:fldCharType="end"/>
      </w:r>
      <w:r>
        <w:fldChar w:fldCharType="begin"/>
      </w:r>
      <w:r>
        <w:instrText xml:space="preserve"> REF 项目联系信息 \h  \* MERGEFORMAT </w:instrText>
      </w:r>
      <w:r>
        <w:fldChar w:fldCharType="separate"/>
      </w:r>
      <w:r>
        <w:rPr>
          <w:rFonts w:eastAsiaTheme="minorEastAsia"/>
          <w:color w:val="000000"/>
          <w:sz w:val="21"/>
          <w:szCs w:val="21"/>
        </w:rPr>
        <w:t>联系人：闫老师，王老师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联系邮箱：cgzx</w:t>
      </w:r>
      <w:r>
        <w:t>@cufe.edu.cn</w:t>
      </w:r>
    </w:p>
    <w:p>
      <w:pPr>
        <w:pStyle w:val="102"/>
        <w:spacing w:before="0" w:after="0" w:line="400" w:lineRule="exact"/>
        <w:ind w:left="0" w:leftChars="0" w:firstLine="480"/>
        <w:rPr>
          <w:rFonts w:eastAsiaTheme="minorEastAsia"/>
          <w:sz w:val="21"/>
          <w:szCs w:val="21"/>
        </w:rPr>
      </w:pPr>
      <w:r>
        <w:fldChar w:fldCharType="end"/>
      </w:r>
    </w:p>
    <w:p>
      <w:pPr>
        <w:widowControl/>
        <w:adjustRightInd/>
        <w:spacing w:line="240" w:lineRule="auto"/>
        <w:textAlignment w:val="auto"/>
        <w:rPr>
          <w:rFonts w:eastAsiaTheme="minorEastAsia"/>
          <w:sz w:val="21"/>
          <w:szCs w:val="21"/>
        </w:rPr>
      </w:pPr>
      <w:r>
        <w:rPr>
          <w:rFonts w:eastAsiaTheme="minorEastAsia"/>
          <w:sz w:val="21"/>
          <w:szCs w:val="21"/>
        </w:rPr>
        <w:br w:type="page"/>
      </w:r>
    </w:p>
    <w:p>
      <w:pPr>
        <w:pStyle w:val="4"/>
        <w:numPr>
          <w:ilvl w:val="0"/>
          <w:numId w:val="38"/>
        </w:numPr>
        <w:adjustRightInd/>
        <w:spacing w:line="415" w:lineRule="auto"/>
        <w:ind w:left="420"/>
        <w:jc w:val="both"/>
        <w:textAlignment w:val="auto"/>
        <w:rPr>
          <w:rFonts w:eastAsiaTheme="minorEastAsia"/>
          <w:kern w:val="2"/>
        </w:rPr>
      </w:pPr>
      <w:bookmarkStart w:id="89" w:name="_Toc477459656"/>
      <w:bookmarkStart w:id="90" w:name="_Ref477452364"/>
      <w:r>
        <w:rPr>
          <w:rFonts w:eastAsiaTheme="minorEastAsia"/>
          <w:kern w:val="2"/>
        </w:rPr>
        <w:t>响应函</w:t>
      </w:r>
      <w:bookmarkEnd w:id="88"/>
      <w:bookmarkEnd w:id="89"/>
      <w:bookmarkEnd w:id="90"/>
    </w:p>
    <w:p>
      <w:pPr>
        <w:pStyle w:val="114"/>
        <w:rPr>
          <w:rFonts w:ascii="Times New Roman" w:hAnsi="Times New Roman" w:cs="Times New Roman"/>
        </w:rPr>
      </w:pPr>
      <w:r>
        <w:rPr>
          <w:rFonts w:ascii="Times New Roman" w:hAnsi="Times New Roman" w:cs="Times New Roman"/>
        </w:rPr>
        <w:t>致中央财经大学：</w:t>
      </w:r>
    </w:p>
    <w:p>
      <w:pPr>
        <w:spacing w:line="400" w:lineRule="exact"/>
        <w:ind w:firstLine="420" w:firstLineChars="20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rFonts w:eastAsiaTheme="minorEastAsia"/>
          <w:sz w:val="21"/>
          <w:szCs w:val="21"/>
        </w:rPr>
      </w:pPr>
      <w:r>
        <w:rPr>
          <w:rFonts w:eastAsiaTheme="minorEastAsia"/>
          <w:sz w:val="21"/>
          <w:szCs w:val="21"/>
        </w:rPr>
        <w:t>我方承诺：具备《中华人民共和国政府采购法》中规定的参加政府采购活动的供应商应当具备的条件：</w:t>
      </w:r>
    </w:p>
    <w:p>
      <w:pPr>
        <w:numPr>
          <w:ilvl w:val="0"/>
          <w:numId w:val="39"/>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39"/>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39"/>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39"/>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pPr>
        <w:numPr>
          <w:ilvl w:val="0"/>
          <w:numId w:val="39"/>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spacing w:line="400" w:lineRule="exact"/>
        <w:ind w:firstLine="420" w:firstLineChars="200"/>
        <w:rPr>
          <w:rFonts w:eastAsiaTheme="minorEastAsia"/>
          <w:sz w:val="21"/>
          <w:szCs w:val="21"/>
        </w:rPr>
      </w:pPr>
      <w:r>
        <w:rPr>
          <w:rFonts w:eastAsiaTheme="minor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eastAsiaTheme="minorEastAsia"/>
          <w:sz w:val="21"/>
          <w:szCs w:val="21"/>
        </w:rPr>
        <w:t>项目</w:t>
      </w:r>
      <w:r>
        <w:rPr>
          <w:rFonts w:eastAsiaTheme="minorEastAsia"/>
          <w:sz w:val="21"/>
          <w:szCs w:val="21"/>
        </w:rPr>
        <w:fldChar w:fldCharType="end"/>
      </w:r>
      <w:r>
        <w:rPr>
          <w:rFonts w:eastAsiaTheme="minorEastAsia"/>
          <w:sz w:val="21"/>
          <w:szCs w:val="21"/>
        </w:rPr>
        <w:t>采购有关问题的通知（财库〔2011〕59号）》通知要求。</w:t>
      </w:r>
    </w:p>
    <w:p>
      <w:pPr>
        <w:spacing w:line="400" w:lineRule="exact"/>
        <w:ind w:firstLine="420" w:firstLineChars="200"/>
        <w:rPr>
          <w:rFonts w:eastAsiaTheme="minorEastAsia"/>
          <w:sz w:val="21"/>
          <w:szCs w:val="21"/>
        </w:rPr>
      </w:pPr>
      <w:r>
        <w:rPr>
          <w:rFonts w:eastAsiaTheme="minorEastAsia"/>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rFonts w:eastAsiaTheme="minorEastAsia"/>
          <w:sz w:val="21"/>
          <w:szCs w:val="21"/>
        </w:rPr>
      </w:pPr>
      <w:r>
        <w:rPr>
          <w:rFonts w:eastAsiaTheme="minorEastAsia"/>
          <w:sz w:val="21"/>
          <w:szCs w:val="21"/>
        </w:rPr>
        <w:t>我方同意：在本项目磋商文件中规定的响应有效期内遵守本响应文件中的承诺且在此期限期满之前均具有约束力。</w:t>
      </w:r>
    </w:p>
    <w:p>
      <w:pPr>
        <w:spacing w:line="400" w:lineRule="exact"/>
        <w:ind w:firstLine="420" w:firstLineChars="200"/>
        <w:rPr>
          <w:rFonts w:eastAsiaTheme="minorEastAsia"/>
          <w:sz w:val="21"/>
          <w:szCs w:val="21"/>
        </w:rPr>
      </w:pPr>
      <w:r>
        <w:rPr>
          <w:rFonts w:eastAsiaTheme="minorEastAsia"/>
          <w:sz w:val="21"/>
          <w:szCs w:val="21"/>
        </w:rPr>
        <w:t>我方承诺：完全理解响应报价若超过项目预算金额时，响应将被拒绝。</w:t>
      </w:r>
    </w:p>
    <w:p>
      <w:pPr>
        <w:spacing w:line="400" w:lineRule="exact"/>
        <w:ind w:firstLine="420" w:firstLineChars="20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rFonts w:eastAsiaTheme="minorEastAsia"/>
          <w:sz w:val="21"/>
          <w:szCs w:val="21"/>
        </w:rPr>
      </w:pPr>
      <w:r>
        <w:rPr>
          <w:rFonts w:eastAsiaTheme="minorEastAsia"/>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pPr>
        <w:spacing w:line="400" w:lineRule="exact"/>
        <w:ind w:firstLine="420" w:firstLineChars="200"/>
        <w:rPr>
          <w:rFonts w:eastAsiaTheme="minorEastAsia"/>
          <w:sz w:val="21"/>
          <w:szCs w:val="21"/>
        </w:rPr>
      </w:pPr>
      <w:r>
        <w:rPr>
          <w:rFonts w:eastAsiaTheme="minorEastAsia"/>
          <w:sz w:val="21"/>
          <w:szCs w:val="21"/>
        </w:rPr>
        <w:t>我方完全理解：贵方不一定接受最低价的响应或收到的任何响应。</w:t>
      </w:r>
    </w:p>
    <w:p>
      <w:pPr>
        <w:spacing w:line="400" w:lineRule="exact"/>
        <w:ind w:firstLine="420" w:firstLineChars="20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pPr>
        <w:spacing w:line="400" w:lineRule="exact"/>
        <w:ind w:firstLine="420" w:firstLineChars="20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pPr>
        <w:spacing w:line="400" w:lineRule="exact"/>
        <w:ind w:firstLine="420" w:firstLineChars="200"/>
        <w:rPr>
          <w:rFonts w:eastAsiaTheme="minorEastAsia"/>
          <w:sz w:val="21"/>
          <w:szCs w:val="21"/>
        </w:rPr>
      </w:pPr>
      <w:r>
        <w:rPr>
          <w:rFonts w:eastAsiaTheme="minorEastAsia"/>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rFonts w:eastAsiaTheme="minorEastAsia"/>
          <w:sz w:val="21"/>
          <w:szCs w:val="21"/>
        </w:rPr>
      </w:pPr>
      <w:r>
        <w:rPr>
          <w:rFonts w:eastAsiaTheme="minorEastAsia"/>
          <w:sz w:val="21"/>
          <w:szCs w:val="21"/>
        </w:rPr>
        <w:t>我方承诺：接受磋商文件的全部条款且无任何异议，保证遵守磋商文件的规定。</w:t>
      </w:r>
    </w:p>
    <w:p>
      <w:pPr>
        <w:spacing w:line="400" w:lineRule="exact"/>
        <w:ind w:firstLine="420" w:firstLineChars="200"/>
        <w:rPr>
          <w:rFonts w:eastAsiaTheme="minorEastAsia"/>
          <w:sz w:val="21"/>
          <w:szCs w:val="21"/>
        </w:rPr>
      </w:pPr>
      <w:r>
        <w:rPr>
          <w:rFonts w:eastAsiaTheme="minorEastAsia"/>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40"/>
        </w:numPr>
        <w:spacing w:line="400" w:lineRule="exact"/>
        <w:textAlignment w:val="auto"/>
        <w:rPr>
          <w:rFonts w:eastAsiaTheme="minorEastAsia"/>
          <w:sz w:val="21"/>
          <w:szCs w:val="21"/>
        </w:rPr>
      </w:pPr>
      <w:r>
        <w:rPr>
          <w:rFonts w:eastAsiaTheme="minorEastAsia"/>
          <w:sz w:val="21"/>
          <w:szCs w:val="21"/>
        </w:rPr>
        <w:t>提供虚假材料谋取成交、成交的；</w:t>
      </w:r>
    </w:p>
    <w:p>
      <w:pPr>
        <w:numPr>
          <w:ilvl w:val="0"/>
          <w:numId w:val="40"/>
        </w:numPr>
        <w:spacing w:line="400" w:lineRule="exact"/>
        <w:textAlignment w:val="auto"/>
        <w:rPr>
          <w:rFonts w:eastAsiaTheme="minorEastAsia"/>
          <w:sz w:val="21"/>
          <w:szCs w:val="21"/>
        </w:rPr>
      </w:pPr>
      <w:r>
        <w:rPr>
          <w:rFonts w:eastAsiaTheme="minorEastAsia"/>
          <w:sz w:val="21"/>
          <w:szCs w:val="21"/>
        </w:rPr>
        <w:t>采取不正当手段诋毁、排挤其他供应商的；</w:t>
      </w:r>
    </w:p>
    <w:p>
      <w:pPr>
        <w:numPr>
          <w:ilvl w:val="0"/>
          <w:numId w:val="40"/>
        </w:numPr>
        <w:spacing w:line="400" w:lineRule="exact"/>
        <w:textAlignment w:val="auto"/>
        <w:rPr>
          <w:rFonts w:eastAsiaTheme="minorEastAsia"/>
          <w:sz w:val="21"/>
          <w:szCs w:val="21"/>
        </w:rPr>
      </w:pPr>
      <w:r>
        <w:rPr>
          <w:rFonts w:eastAsiaTheme="minorEastAsia"/>
          <w:sz w:val="21"/>
          <w:szCs w:val="21"/>
        </w:rPr>
        <w:t>与采购人、其它供应商或者采购人工作人员恶意串通的；</w:t>
      </w:r>
    </w:p>
    <w:p>
      <w:pPr>
        <w:numPr>
          <w:ilvl w:val="0"/>
          <w:numId w:val="40"/>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pPr>
        <w:numPr>
          <w:ilvl w:val="0"/>
          <w:numId w:val="40"/>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pPr>
        <w:numPr>
          <w:ilvl w:val="0"/>
          <w:numId w:val="40"/>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pPr>
        <w:spacing w:line="400" w:lineRule="exact"/>
        <w:ind w:firstLine="420" w:firstLineChars="200"/>
      </w:pPr>
      <w:r>
        <w:rPr>
          <w:rFonts w:eastAsiaTheme="minorEastAsia"/>
          <w:sz w:val="21"/>
          <w:szCs w:val="21"/>
        </w:rPr>
        <w:t>与本响应有关的一切往来通讯请寄：</w:t>
      </w:r>
      <w:r>
        <w:t>地址：</w:t>
      </w:r>
    </w:p>
    <w:p>
      <w:pPr>
        <w:pStyle w:val="114"/>
        <w:rPr>
          <w:rFonts w:ascii="Times New Roman" w:hAnsi="Times New Roman" w:cs="Times New Roman"/>
        </w:rPr>
      </w:pPr>
      <w:r>
        <w:rPr>
          <w:rFonts w:ascii="Times New Roman" w:hAnsi="Times New Roman" w:cs="Times New Roman"/>
        </w:rPr>
        <w:t>邮编：</w:t>
      </w:r>
    </w:p>
    <w:p>
      <w:pPr>
        <w:pStyle w:val="114"/>
        <w:rPr>
          <w:rFonts w:ascii="Times New Roman" w:hAnsi="Times New Roman" w:cs="Times New Roman"/>
        </w:rPr>
      </w:pPr>
      <w:r>
        <w:rPr>
          <w:rFonts w:ascii="Times New Roman" w:hAnsi="Times New Roman" w:cs="Times New Roman"/>
        </w:rPr>
        <w:t>电话：</w:t>
      </w:r>
    </w:p>
    <w:p>
      <w:pPr>
        <w:pStyle w:val="114"/>
        <w:rPr>
          <w:rFonts w:ascii="Times New Roman" w:hAnsi="Times New Roman" w:cs="Times New Roman"/>
        </w:rPr>
      </w:pPr>
      <w:r>
        <w:rPr>
          <w:rFonts w:ascii="Times New Roman" w:hAnsi="Times New Roman" w:cs="Times New Roman"/>
        </w:rPr>
        <w:t>传真：</w:t>
      </w:r>
    </w:p>
    <w:p>
      <w:pPr>
        <w:pStyle w:val="114"/>
        <w:rPr>
          <w:rFonts w:ascii="Times New Roman" w:hAnsi="Times New Roman" w:cs="Times New Roman"/>
        </w:rPr>
      </w:pPr>
      <w:r>
        <w:rPr>
          <w:rFonts w:ascii="Times New Roman" w:hAnsi="Times New Roman" w:cs="Times New Roman"/>
        </w:rPr>
        <w:t>响应人代表姓名：</w:t>
      </w:r>
    </w:p>
    <w:p>
      <w:pPr>
        <w:pStyle w:val="114"/>
        <w:rPr>
          <w:rFonts w:ascii="Times New Roman" w:hAnsi="Times New Roman" w:cs="Times New Roman"/>
        </w:rPr>
      </w:pPr>
      <w:r>
        <w:rPr>
          <w:rFonts w:ascii="Times New Roman" w:hAnsi="Times New Roman" w:cs="Times New Roman"/>
        </w:rPr>
        <w:t>响应人代表联系电话</w:t>
      </w:r>
    </w:p>
    <w:p>
      <w:pPr>
        <w:spacing w:line="400" w:lineRule="exact"/>
        <w:ind w:firstLine="480" w:firstLineChars="200"/>
      </w:pPr>
      <w:r>
        <w:t>电子邮箱:</w:t>
      </w:r>
      <w:r>
        <w:rPr>
          <w:szCs w:val="21"/>
        </w:rPr>
        <w:tab/>
      </w:r>
      <w:r>
        <w:t>响应人名称：（加盖公章）</w:t>
      </w:r>
    </w:p>
    <w:p>
      <w:pPr>
        <w:pStyle w:val="114"/>
        <w:rPr>
          <w:rFonts w:ascii="Times New Roman" w:hAnsi="Times New Roman" w:cs="Times New Roman"/>
        </w:rPr>
      </w:pPr>
      <w:r>
        <w:rPr>
          <w:rFonts w:ascii="Times New Roman" w:hAnsi="Times New Roman" w:cs="Times New Roman"/>
        </w:rPr>
        <w:t>响应人代表签字：</w:t>
      </w:r>
    </w:p>
    <w:p>
      <w:pPr>
        <w:pStyle w:val="114"/>
        <w:jc w:val="right"/>
        <w:rPr>
          <w:rFonts w:ascii="Times New Roman" w:hAnsi="Times New Roman" w:cs="Times New Roman"/>
        </w:rPr>
      </w:pPr>
      <w:r>
        <w:rPr>
          <w:rFonts w:ascii="Times New Roman" w:hAnsi="Times New Roman" w:cs="Times New Roman"/>
        </w:rPr>
        <w:t>年月日</w:t>
      </w:r>
    </w:p>
    <w:p>
      <w:pPr>
        <w:tabs>
          <w:tab w:val="left" w:pos="1200"/>
        </w:tabs>
        <w:spacing w:line="400" w:lineRule="exact"/>
        <w:ind w:firstLine="420" w:firstLineChars="200"/>
        <w:rPr>
          <w:rFonts w:eastAsiaTheme="minorEastAsia"/>
          <w:sz w:val="21"/>
          <w:szCs w:val="21"/>
        </w:rPr>
      </w:pPr>
    </w:p>
    <w:p>
      <w:pPr>
        <w:spacing w:line="400" w:lineRule="exact"/>
        <w:ind w:left="420" w:firstLine="420" w:firstLineChars="20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pPr>
        <w:pStyle w:val="4"/>
        <w:numPr>
          <w:ilvl w:val="0"/>
          <w:numId w:val="38"/>
        </w:numPr>
        <w:adjustRightInd/>
        <w:spacing w:line="415" w:lineRule="auto"/>
        <w:ind w:left="420"/>
        <w:jc w:val="both"/>
        <w:textAlignment w:val="auto"/>
        <w:rPr>
          <w:rFonts w:eastAsiaTheme="minorEastAsia"/>
          <w:kern w:val="2"/>
        </w:rPr>
      </w:pPr>
      <w:bookmarkStart w:id="91" w:name="_Ref477452408"/>
      <w:bookmarkStart w:id="92" w:name="_Toc86202635"/>
      <w:bookmarkStart w:id="93" w:name="_Ref477452442"/>
      <w:bookmarkStart w:id="94" w:name="_Toc477459657"/>
      <w:r>
        <w:rPr>
          <w:rFonts w:eastAsiaTheme="minorEastAsia"/>
          <w:kern w:val="2"/>
        </w:rPr>
        <w:t>法定代表人授权委托书</w:t>
      </w:r>
      <w:bookmarkEnd w:id="91"/>
      <w:bookmarkEnd w:id="92"/>
      <w:bookmarkEnd w:id="93"/>
      <w:bookmarkEnd w:id="94"/>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致：中央财经大学</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本授权书声明：注册于（响应人住址）的（响应人名称）法定代表人（法定代表人姓名、职务）代表本公司授权在下面签字的（响应人代表姓名、职务）为本公司的合法代理人，就贵方组织的</w:t>
      </w:r>
      <w:r>
        <w:fldChar w:fldCharType="begin"/>
      </w:r>
      <w:r>
        <w:instrText xml:space="preserve"> REF 项目名称 \h  \* MERGEFORMAT </w:instrText>
      </w:r>
      <w:r>
        <w:fldChar w:fldCharType="separate"/>
      </w:r>
      <w:r>
        <w:rPr>
          <w:rFonts w:asciiTheme="minorHAnsi" w:hAnsiTheme="minorHAnsi"/>
        </w:rPr>
        <w:t>中央财经大学采购项目</w:t>
      </w:r>
      <w:r>
        <w:rPr>
          <w:rFonts w:asciiTheme="minorHAnsi" w:hAnsiTheme="minorHAnsi"/>
        </w:rPr>
        <w:fldChar w:fldCharType="end"/>
      </w:r>
      <w:r>
        <w:rPr>
          <w:rFonts w:asciiTheme="minorHAnsi" w:hAnsiTheme="minorHAnsi"/>
        </w:rPr>
        <w:t>，项目编号：，以本公司名义处理一切与之有关的事务。</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本授权书于年月日签字生效，特此声明。</w:t>
      </w: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法定代表人签字（或盖章）：</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响应人代表签字：</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ab/>
      </w:r>
      <w:r>
        <w:rPr>
          <w:rFonts w:asciiTheme="minorHAnsi" w:hAnsiTheme="minorHAnsi"/>
        </w:rPr>
        <w:t>响应人名称：（加盖公章）</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年月日</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附：响应人代表身份证复印件：</w:t>
      </w: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正面：</w:t>
      </w: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r>
        <w:rPr>
          <w:rFonts w:asciiTheme="minorHAnsi" w:hAnsiTheme="minorHAnsi"/>
        </w:rPr>
        <w:t>反面</w:t>
      </w: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pBdr>
          <w:top w:val="dashed" w:color="auto" w:sz="4" w:space="1"/>
          <w:left w:val="dashed" w:color="auto" w:sz="4" w:space="4"/>
          <w:bottom w:val="dashed" w:color="auto" w:sz="4" w:space="1"/>
          <w:right w:val="dashed" w:color="auto" w:sz="4" w:space="4"/>
        </w:pBdr>
        <w:rPr>
          <w:rFonts w:asciiTheme="minorHAnsi" w:hAnsiTheme="minorHAnsi"/>
        </w:rPr>
      </w:pPr>
    </w:p>
    <w:p>
      <w:pPr>
        <w:pStyle w:val="114"/>
        <w:rPr>
          <w:rFonts w:ascii="Times New Roman" w:hAnsi="Times New Roman" w:cs="Times New Roman"/>
        </w:rPr>
      </w:pPr>
    </w:p>
    <w:p>
      <w:pPr>
        <w:pStyle w:val="114"/>
        <w:rPr>
          <w:rFonts w:ascii="Times New Roman" w:hAnsi="Times New Roman" w:cs="Times New Roman"/>
        </w:rPr>
      </w:pPr>
      <w:bookmarkStart w:id="95" w:name="_Ref477452413"/>
      <w:bookmarkStart w:id="96" w:name="_Toc86202648"/>
      <w:bookmarkStart w:id="97" w:name="_Ref477452443"/>
      <w:r>
        <w:rPr>
          <w:rFonts w:ascii="Times New Roman" w:hAnsi="Times New Roman" w:cs="Times New Roman"/>
        </w:rPr>
        <w:t>注：除可填报项目外，对本委托书的任何实质性修改将被视为非实质性响应，从而导致该响应被拒绝。</w:t>
      </w:r>
      <w:r>
        <w:rPr>
          <w:rFonts w:ascii="Times New Roman" w:hAnsi="Times New Roman" w:cs="Times New Roman"/>
        </w:rPr>
        <w:br w:type="page"/>
      </w:r>
    </w:p>
    <w:p>
      <w:pPr>
        <w:pStyle w:val="4"/>
        <w:numPr>
          <w:ilvl w:val="0"/>
          <w:numId w:val="38"/>
        </w:numPr>
        <w:adjustRightInd/>
        <w:spacing w:line="415" w:lineRule="auto"/>
        <w:ind w:left="420"/>
        <w:jc w:val="both"/>
        <w:textAlignment w:val="auto"/>
        <w:rPr>
          <w:rFonts w:eastAsiaTheme="minorEastAsia"/>
          <w:kern w:val="2"/>
        </w:rPr>
      </w:pPr>
      <w:bookmarkStart w:id="98" w:name="_Ref477454981"/>
      <w:bookmarkStart w:id="99" w:name="_Toc477459658"/>
      <w:r>
        <w:rPr>
          <w:rFonts w:eastAsiaTheme="minorEastAsia"/>
          <w:kern w:val="2"/>
        </w:rPr>
        <w:t>商务条款偏离表</w:t>
      </w:r>
      <w:bookmarkEnd w:id="95"/>
      <w:bookmarkEnd w:id="96"/>
      <w:bookmarkEnd w:id="97"/>
      <w:bookmarkEnd w:id="98"/>
      <w:bookmarkEnd w:id="99"/>
    </w:p>
    <w:p>
      <w:pPr>
        <w:spacing w:line="400" w:lineRule="exact"/>
        <w:ind w:firstLine="420" w:firstLineChars="200"/>
        <w:jc w:val="both"/>
        <w:rPr>
          <w:rFonts w:eastAsiaTheme="minorEastAsia"/>
          <w:sz w:val="21"/>
          <w:szCs w:val="21"/>
        </w:rPr>
      </w:pPr>
      <w:bookmarkStart w:id="100" w:name="_Toc86202649"/>
      <w:r>
        <w:rPr>
          <w:rFonts w:eastAsiaTheme="minorEastAsia"/>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80" w:firstLineChars="200"/>
        <w:jc w:val="both"/>
        <w:rPr>
          <w:rFonts w:eastAsiaTheme="minorEastAsia"/>
          <w:sz w:val="21"/>
          <w:szCs w:val="21"/>
          <w:u w:val="single"/>
        </w:rPr>
      </w:pPr>
      <w:r>
        <w:pict>
          <v:rect id="矩形 3" o:spid="_x0000_s1026" o:spt="1" style="position:absolute;left:0pt;margin-left:-2.95pt;margin-top:1.6pt;height:256.2pt;width:460.2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v:path/>
            <v:fill focussize="0,0"/>
            <v:stroke weight="1pt" dashstyle="dash"/>
            <v:imagedata o:title=""/>
            <o:lock v:ext="edit"/>
          </v:rect>
        </w:pict>
      </w:r>
      <w:r>
        <w:rPr>
          <w:rFonts w:eastAsiaTheme="minorEastAsia"/>
          <w:sz w:val="21"/>
          <w:szCs w:val="21"/>
        </w:rPr>
        <w:t>项目名称：</w:t>
      </w:r>
    </w:p>
    <w:p>
      <w:pPr>
        <w:spacing w:line="400" w:lineRule="exact"/>
        <w:ind w:firstLine="420" w:firstLineChars="200"/>
        <w:jc w:val="both"/>
        <w:rPr>
          <w:rFonts w:eastAsiaTheme="minorEastAsia"/>
          <w:sz w:val="21"/>
          <w:szCs w:val="21"/>
          <w:u w:val="single"/>
        </w:rPr>
      </w:pPr>
      <w:r>
        <w:rPr>
          <w:rFonts w:eastAsiaTheme="minorEastAsia"/>
          <w:sz w:val="21"/>
          <w:szCs w:val="21"/>
        </w:rPr>
        <w:t>项目编号：</w:t>
      </w:r>
    </w:p>
    <w:p>
      <w:pPr>
        <w:spacing w:line="400" w:lineRule="exact"/>
        <w:ind w:firstLine="420" w:firstLineChars="200"/>
        <w:jc w:val="both"/>
        <w:rPr>
          <w:rFonts w:eastAsiaTheme="minorEastAsia"/>
          <w:sz w:val="21"/>
          <w:szCs w:val="21"/>
          <w:u w:val="single"/>
        </w:rPr>
      </w:pPr>
      <w:r>
        <w:rPr>
          <w:rFonts w:eastAsiaTheme="minorEastAsia"/>
          <w:sz w:val="21"/>
          <w:szCs w:val="21"/>
        </w:rPr>
        <w:t>响应人名称：</w:t>
      </w:r>
    </w:p>
    <w:p>
      <w:pPr>
        <w:spacing w:line="400" w:lineRule="exact"/>
        <w:ind w:firstLine="420" w:firstLineChars="200"/>
        <w:jc w:val="both"/>
        <w:rPr>
          <w:rFonts w:eastAsiaTheme="minorEastAsia"/>
          <w:sz w:val="21"/>
          <w:szCs w:val="21"/>
          <w:u w:val="single"/>
        </w:rPr>
      </w:pPr>
      <w:r>
        <w:rPr>
          <w:rFonts w:eastAsiaTheme="minorEastAsia"/>
          <w:sz w:val="21"/>
          <w:szCs w:val="21"/>
        </w:rPr>
        <w:t>包号：（以包为单位分别填写，没有分包的项目本栏可不填写）</w:t>
      </w:r>
    </w:p>
    <w:p>
      <w:pPr>
        <w:spacing w:line="400" w:lineRule="exact"/>
        <w:ind w:firstLine="420" w:firstLineChars="200"/>
        <w:jc w:val="both"/>
        <w:rPr>
          <w:rFonts w:eastAsiaTheme="minorEastAsia"/>
          <w:sz w:val="21"/>
          <w:szCs w:val="22"/>
        </w:rPr>
      </w:pPr>
    </w:p>
    <w:tbl>
      <w:tblPr>
        <w:tblStyle w:val="46"/>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r>
              <w:rPr>
                <w:rFonts w:eastAsiaTheme="minorEastAsia"/>
                <w:sz w:val="21"/>
                <w:szCs w:val="21"/>
              </w:rPr>
              <w:t>序号</w:t>
            </w:r>
          </w:p>
        </w:tc>
        <w:tc>
          <w:tcPr>
            <w:tcW w:w="1800" w:type="dxa"/>
          </w:tcPr>
          <w:p>
            <w:pPr>
              <w:spacing w:line="400" w:lineRule="exact"/>
              <w:jc w:val="center"/>
              <w:rPr>
                <w:rFonts w:eastAsiaTheme="minorEastAsia"/>
                <w:sz w:val="21"/>
                <w:szCs w:val="21"/>
              </w:rPr>
            </w:pPr>
            <w:r>
              <w:rPr>
                <w:rFonts w:eastAsiaTheme="minorEastAsia"/>
                <w:sz w:val="21"/>
                <w:szCs w:val="21"/>
              </w:rPr>
              <w:t>磋商文件条目号</w:t>
            </w:r>
          </w:p>
        </w:tc>
        <w:tc>
          <w:tcPr>
            <w:tcW w:w="2400" w:type="dxa"/>
          </w:tcPr>
          <w:p>
            <w:pPr>
              <w:spacing w:line="400" w:lineRule="exact"/>
              <w:jc w:val="center"/>
              <w:rPr>
                <w:rFonts w:eastAsiaTheme="minorEastAsia"/>
                <w:sz w:val="21"/>
                <w:szCs w:val="21"/>
              </w:rPr>
            </w:pPr>
            <w:r>
              <w:rPr>
                <w:rFonts w:eastAsiaTheme="minorEastAsia"/>
                <w:sz w:val="21"/>
                <w:szCs w:val="21"/>
              </w:rPr>
              <w:t>磋商文件商务文件要求</w:t>
            </w:r>
          </w:p>
        </w:tc>
        <w:tc>
          <w:tcPr>
            <w:tcW w:w="2294" w:type="dxa"/>
          </w:tcPr>
          <w:p>
            <w:pPr>
              <w:spacing w:line="400" w:lineRule="exact"/>
              <w:jc w:val="center"/>
              <w:rPr>
                <w:rFonts w:eastAsiaTheme="minorEastAsia"/>
                <w:sz w:val="21"/>
                <w:szCs w:val="21"/>
              </w:rPr>
            </w:pPr>
            <w:r>
              <w:rPr>
                <w:rFonts w:eastAsiaTheme="minorEastAsia"/>
                <w:sz w:val="21"/>
                <w:szCs w:val="21"/>
              </w:rPr>
              <w:t>响应文件的应答</w:t>
            </w:r>
          </w:p>
        </w:tc>
        <w:tc>
          <w:tcPr>
            <w:tcW w:w="1801" w:type="dxa"/>
          </w:tcPr>
          <w:p>
            <w:pPr>
              <w:spacing w:line="400" w:lineRule="exact"/>
              <w:jc w:val="center"/>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p>
        </w:tc>
        <w:tc>
          <w:tcPr>
            <w:tcW w:w="1800" w:type="dxa"/>
          </w:tcPr>
          <w:p>
            <w:pPr>
              <w:spacing w:line="400" w:lineRule="exact"/>
              <w:jc w:val="both"/>
              <w:rPr>
                <w:rFonts w:eastAsiaTheme="minorEastAsia"/>
                <w:sz w:val="21"/>
                <w:szCs w:val="21"/>
              </w:rPr>
            </w:pPr>
          </w:p>
        </w:tc>
        <w:tc>
          <w:tcPr>
            <w:tcW w:w="2400" w:type="dxa"/>
          </w:tcPr>
          <w:p>
            <w:pPr>
              <w:spacing w:line="400" w:lineRule="exact"/>
              <w:jc w:val="both"/>
              <w:rPr>
                <w:rFonts w:eastAsiaTheme="minorEastAsia"/>
                <w:sz w:val="21"/>
                <w:szCs w:val="21"/>
              </w:rPr>
            </w:pPr>
          </w:p>
        </w:tc>
        <w:tc>
          <w:tcPr>
            <w:tcW w:w="2294"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801" w:type="dxa"/>
          </w:tcPr>
          <w:p>
            <w:pPr>
              <w:spacing w:line="400" w:lineRule="exact"/>
              <w:jc w:val="both"/>
              <w:rPr>
                <w:rFonts w:eastAsiaTheme="minorEastAsia"/>
                <w:sz w:val="21"/>
                <w:szCs w:val="21"/>
              </w:rPr>
            </w:pPr>
          </w:p>
        </w:tc>
      </w:tr>
    </w:tbl>
    <w:p>
      <w:pPr>
        <w:spacing w:line="400" w:lineRule="exact"/>
        <w:ind w:firstLine="420" w:firstLineChars="200"/>
        <w:jc w:val="both"/>
        <w:rPr>
          <w:rFonts w:eastAsiaTheme="minorEastAsia"/>
          <w:sz w:val="21"/>
          <w:szCs w:val="21"/>
        </w:rPr>
      </w:pPr>
    </w:p>
    <w:p>
      <w:pPr>
        <w:spacing w:line="400" w:lineRule="exact"/>
        <w:ind w:firstLine="420" w:firstLineChars="200"/>
        <w:jc w:val="both"/>
        <w:rPr>
          <w:rFonts w:eastAsiaTheme="minorEastAsia"/>
          <w:sz w:val="21"/>
          <w:szCs w:val="21"/>
        </w:rPr>
      </w:pPr>
      <w:r>
        <w:rPr>
          <w:rFonts w:eastAsiaTheme="minorEastAsia"/>
          <w:sz w:val="21"/>
          <w:szCs w:val="21"/>
        </w:rPr>
        <w:t>响应人名称：（加盖公章）</w:t>
      </w:r>
    </w:p>
    <w:p>
      <w:pPr>
        <w:spacing w:line="400" w:lineRule="exact"/>
        <w:ind w:firstLine="420" w:firstLineChars="200"/>
        <w:jc w:val="both"/>
        <w:rPr>
          <w:rFonts w:eastAsiaTheme="minorEastAsia"/>
          <w:sz w:val="21"/>
          <w:szCs w:val="21"/>
          <w:u w:val="single"/>
        </w:rPr>
      </w:pPr>
      <w:r>
        <w:rPr>
          <w:rFonts w:eastAsiaTheme="minorEastAsia"/>
          <w:sz w:val="21"/>
          <w:szCs w:val="21"/>
        </w:rPr>
        <w:t>响应人代表签字：</w:t>
      </w:r>
    </w:p>
    <w:p>
      <w:pPr>
        <w:pStyle w:val="114"/>
        <w:jc w:val="right"/>
        <w:rPr>
          <w:rFonts w:ascii="Times New Roman" w:hAnsi="Times New Roman" w:cs="Times New Roman"/>
        </w:rPr>
      </w:pPr>
      <w:r>
        <w:rPr>
          <w:rFonts w:ascii="Times New Roman" w:hAnsi="Times New Roman" w:cs="Times New Roman"/>
        </w:rPr>
        <w:t>年月日</w:t>
      </w:r>
    </w:p>
    <w:p>
      <w:pPr>
        <w:pStyle w:val="114"/>
        <w:rPr>
          <w:rFonts w:ascii="Times New Roman" w:hAnsi="Times New Roman" w:cs="Times New Roman"/>
        </w:rPr>
      </w:pPr>
    </w:p>
    <w:p>
      <w:pPr>
        <w:pStyle w:val="114"/>
        <w:rPr>
          <w:rFonts w:ascii="Times New Roman" w:hAnsi="Times New Roman" w:cs="Times New Roman"/>
        </w:rPr>
      </w:pPr>
      <w:r>
        <w:rPr>
          <w:rFonts w:ascii="Times New Roman" w:hAnsi="Times New Roman" w:cs="Times New Roman"/>
        </w:rPr>
        <w:t>注：本表格式可自制，若无商务偏离，请注明。</w:t>
      </w:r>
    </w:p>
    <w:bookmarkEnd w:id="100"/>
    <w:p>
      <w:pPr>
        <w:pStyle w:val="82"/>
        <w:spacing w:line="400" w:lineRule="exact"/>
        <w:rPr>
          <w:rFonts w:ascii="Times New Roman" w:hAnsi="Times New Roman" w:cs="Times New Roman" w:eastAsiaTheme="minorEastAsia"/>
          <w:color w:val="auto"/>
          <w:szCs w:val="21"/>
        </w:rPr>
        <w:sectPr>
          <w:footerReference r:id="rId9" w:type="first"/>
          <w:pgSz w:w="11909" w:h="16834"/>
          <w:pgMar w:top="1418" w:right="1418" w:bottom="1418" w:left="1559" w:header="851" w:footer="851" w:gutter="0"/>
          <w:pgNumType w:start="1"/>
          <w:cols w:space="720" w:num="1"/>
          <w:titlePg/>
        </w:sectPr>
      </w:pPr>
    </w:p>
    <w:p>
      <w:pPr>
        <w:pStyle w:val="4"/>
        <w:numPr>
          <w:ilvl w:val="0"/>
          <w:numId w:val="38"/>
        </w:numPr>
        <w:adjustRightInd/>
        <w:spacing w:line="415" w:lineRule="auto"/>
        <w:ind w:left="420"/>
        <w:jc w:val="both"/>
        <w:textAlignment w:val="auto"/>
        <w:rPr>
          <w:rFonts w:eastAsiaTheme="minorEastAsia"/>
          <w:kern w:val="2"/>
        </w:rPr>
      </w:pPr>
      <w:bookmarkStart w:id="101" w:name="_Toc477459659"/>
      <w:r>
        <w:pict>
          <v:rect id="_x0000_s1028" o:spid="_x0000_s1028" o:spt="1" style="position:absolute;left:0pt;margin-left:-4.45pt;margin-top:52.95pt;height:321.25pt;width:474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v:path/>
            <v:fill focussize="0,0"/>
            <v:stroke weight="1pt" dashstyle="dash"/>
            <v:imagedata o:title=""/>
            <o:lock v:ext="edit"/>
          </v:rect>
        </w:pict>
      </w:r>
      <w:bookmarkStart w:id="102" w:name="_Ref477454967"/>
      <w:r>
        <w:rPr>
          <w:rFonts w:eastAsiaTheme="minorEastAsia"/>
          <w:kern w:val="2"/>
        </w:rPr>
        <w:t>报价一览表</w:t>
      </w:r>
      <w:bookmarkEnd w:id="101"/>
      <w:bookmarkEnd w:id="102"/>
    </w:p>
    <w:p>
      <w:pPr>
        <w:pStyle w:val="114"/>
        <w:rPr>
          <w:rFonts w:ascii="Times New Roman" w:hAnsi="Times New Roman" w:cs="Times New Roman"/>
        </w:rPr>
      </w:pPr>
      <w:r>
        <w:rPr>
          <w:rFonts w:ascii="Times New Roman" w:hAnsi="Times New Roman" w:cs="Times New Roman"/>
        </w:rPr>
        <w:t>项目名称：中央财经大学</w:t>
      </w:r>
      <w:r>
        <w:rPr>
          <w:rFonts w:hint="eastAsia" w:ascii="Times New Roman" w:hAnsi="Times New Roman" w:cs="Times New Roman"/>
        </w:rPr>
        <w:t>后勤服务产业集团内部控制体系建设采购项目</w:t>
      </w:r>
    </w:p>
    <w:p>
      <w:pPr>
        <w:pStyle w:val="114"/>
        <w:rPr>
          <w:rFonts w:ascii="Times New Roman" w:hAnsi="Times New Roman" w:cs="Times New Roman"/>
        </w:rPr>
      </w:pPr>
      <w:r>
        <w:rPr>
          <w:rFonts w:ascii="Times New Roman" w:hAnsi="Times New Roman" w:cs="Times New Roman"/>
        </w:rPr>
        <w:t>项目编号：</w:t>
      </w:r>
    </w:p>
    <w:p>
      <w:pPr>
        <w:pStyle w:val="114"/>
        <w:rPr>
          <w:rFonts w:ascii="Times New Roman" w:hAnsi="Times New Roman" w:cs="Times New Roman"/>
        </w:rPr>
      </w:pPr>
      <w:r>
        <w:rPr>
          <w:rFonts w:ascii="Times New Roman" w:hAnsi="Times New Roman" w:cs="Times New Roman"/>
        </w:rPr>
        <w:t>响应人名称：</w:t>
      </w:r>
    </w:p>
    <w:p>
      <w:pPr>
        <w:pStyle w:val="114"/>
        <w:rPr>
          <w:rFonts w:ascii="Times New Roman" w:hAnsi="Times New Roman" w:cs="Times New Roman"/>
        </w:rPr>
      </w:pPr>
      <w:r>
        <w:rPr>
          <w:rFonts w:ascii="Times New Roman" w:hAnsi="Times New Roman" w:cs="Times New Roman"/>
        </w:rPr>
        <w:t>包号：（以包为单位分别填报，如无此项可不填写）</w:t>
      </w:r>
    </w:p>
    <w:p>
      <w:pPr>
        <w:pStyle w:val="114"/>
        <w:rPr>
          <w:rFonts w:ascii="Times New Roman" w:hAnsi="Times New Roman" w:cs="Times New Roman"/>
          <w:b/>
          <w:color w:val="000000"/>
          <w:u w:val="single"/>
        </w:rPr>
      </w:pPr>
      <w:r>
        <w:rPr>
          <w:rFonts w:ascii="Times New Roman" w:hAnsi="Times New Roman" w:cs="Times New Roman"/>
        </w:rPr>
        <w:t>价格单位：人</w:t>
      </w:r>
      <w:r>
        <w:rPr>
          <w:rFonts w:ascii="Times New Roman" w:hAnsi="Times New Roman" w:cs="Times New Roman"/>
          <w:szCs w:val="21"/>
        </w:rPr>
        <w:t>民币元</w:t>
      </w:r>
    </w:p>
    <w:tbl>
      <w:tblPr>
        <w:tblStyle w:val="46"/>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hint="eastAsia" w:ascii="Times New Roman" w:hAnsi="Times New Roman" w:cs="Times New Roman"/>
              </w:rPr>
              <w:t>服务</w:t>
            </w:r>
            <w:r>
              <w:rPr>
                <w:rFonts w:ascii="Times New Roman" w:hAnsi="Times New Roman" w:cs="Times New Roman"/>
              </w:rPr>
              <w:t>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hint="eastAsia" w:ascii="Times New Roman" w:hAnsi="Times New Roman" w:cs="Times New Roman"/>
              </w:rPr>
              <w:t>服务</w:t>
            </w:r>
            <w:r>
              <w:rPr>
                <w:rFonts w:ascii="Times New Roman" w:hAnsi="Times New Roman" w:cs="Times New Roman"/>
              </w:rPr>
              <w:t>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1112"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中央财经大学</w:t>
            </w:r>
            <w:r>
              <w:rPr>
                <w:rFonts w:hint="eastAsia" w:ascii="Times New Roman" w:hAnsi="Times New Roman" w:cs="Times New Roman"/>
              </w:rPr>
              <w:t>后勤服务产业集团内部控制体系建设</w:t>
            </w:r>
          </w:p>
        </w:tc>
        <w:tc>
          <w:tcPr>
            <w:tcW w:w="709"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887"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小写：元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114"/>
              <w:ind w:firstLine="0" w:firstLineChars="0"/>
              <w:rPr>
                <w:rFonts w:ascii="Times New Roman" w:hAnsi="Times New Roman" w:cs="Times New Roman"/>
              </w:rPr>
            </w:pPr>
            <w:r>
              <w:rPr>
                <w:rFonts w:ascii="Times New Roman" w:hAnsi="Times New Roman" w:cs="Times New Roman"/>
              </w:rPr>
              <w:t>大写：元</w:t>
            </w:r>
          </w:p>
        </w:tc>
      </w:tr>
    </w:tbl>
    <w:p>
      <w:pPr>
        <w:pStyle w:val="23"/>
        <w:tabs>
          <w:tab w:val="left" w:pos="5580"/>
        </w:tabs>
        <w:spacing w:before="120" w:line="400" w:lineRule="exact"/>
        <w:ind w:firstLine="420" w:firstLineChars="200"/>
        <w:rPr>
          <w:rFonts w:ascii="Times New Roman" w:hAnsi="Times New Roman" w:eastAsiaTheme="minorEastAsia"/>
          <w:b/>
          <w:color w:val="000000"/>
        </w:rPr>
      </w:pPr>
    </w:p>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jc w:val="right"/>
        <w:rPr>
          <w:rFonts w:ascii="Times New Roman" w:hAnsi="Times New Roman" w:cs="Times New Roman"/>
        </w:rPr>
      </w:pPr>
      <w:r>
        <w:rPr>
          <w:rFonts w:ascii="Times New Roman" w:hAnsi="Times New Roman" w:cs="Times New Roman"/>
        </w:rPr>
        <w:t>年月日</w:t>
      </w:r>
    </w:p>
    <w:p>
      <w:pPr>
        <w:pStyle w:val="23"/>
        <w:tabs>
          <w:tab w:val="left" w:pos="5580"/>
        </w:tabs>
        <w:spacing w:before="120" w:line="400" w:lineRule="exact"/>
        <w:ind w:firstLine="420" w:firstLineChars="200"/>
        <w:rPr>
          <w:rFonts w:ascii="Times New Roman" w:hAnsi="Times New Roman" w:eastAsiaTheme="minorEastAsia"/>
          <w:color w:val="000000"/>
        </w:rPr>
      </w:pPr>
    </w:p>
    <w:p>
      <w:pPr>
        <w:pStyle w:val="114"/>
        <w:rPr>
          <w:rFonts w:ascii="Times New Roman" w:hAnsi="Times New Roman" w:cs="Times New Roman"/>
        </w:rPr>
      </w:pPr>
      <w:r>
        <w:rPr>
          <w:rFonts w:ascii="Times New Roman" w:hAnsi="Times New Roman" w:cs="Times New Roman"/>
        </w:rPr>
        <w:t>注：1、此表应按响应人须知的规定密封标记并单独递交。</w:t>
      </w:r>
    </w:p>
    <w:p>
      <w:pPr>
        <w:pStyle w:val="114"/>
        <w:rPr>
          <w:rFonts w:ascii="Times New Roman" w:hAnsi="Times New Roman" w:cs="Times New Roman"/>
        </w:rPr>
      </w:pPr>
      <w:r>
        <w:rPr>
          <w:rFonts w:ascii="Times New Roman" w:hAnsi="Times New Roman" w:cs="Times New Roman"/>
        </w:rPr>
        <w:t>2、各项货物详细技术性能应另页描述。</w:t>
      </w:r>
    </w:p>
    <w:p>
      <w:pPr>
        <w:pStyle w:val="114"/>
        <w:rPr>
          <w:rFonts w:ascii="Times New Roman" w:hAnsi="Times New Roman" w:cs="Times New Roman"/>
        </w:rPr>
        <w:sectPr>
          <w:pgSz w:w="11906" w:h="16838"/>
          <w:pgMar w:top="1134" w:right="1134" w:bottom="1021" w:left="1418" w:header="851" w:footer="851" w:gutter="0"/>
          <w:cols w:space="720" w:num="1"/>
          <w:docGrid w:type="linesAndChars" w:linePitch="312" w:charSpace="0"/>
        </w:sectPr>
      </w:pPr>
      <w:r>
        <w:rPr>
          <w:rFonts w:ascii="Times New Roman" w:hAnsi="Times New Roman" w:cs="Times New Roman"/>
        </w:rPr>
        <w:t>3、除可填报项目外，对本表的任何实质性修改将被视为非实质性响应，从而导致响应被拒绝。</w:t>
      </w:r>
    </w:p>
    <w:p>
      <w:pPr>
        <w:pStyle w:val="4"/>
        <w:numPr>
          <w:ilvl w:val="0"/>
          <w:numId w:val="38"/>
        </w:numPr>
        <w:adjustRightInd/>
        <w:spacing w:line="415" w:lineRule="auto"/>
        <w:ind w:left="420"/>
        <w:jc w:val="both"/>
        <w:textAlignment w:val="auto"/>
        <w:rPr>
          <w:rFonts w:eastAsiaTheme="minorEastAsia"/>
          <w:kern w:val="2"/>
        </w:rPr>
      </w:pPr>
      <w:bookmarkStart w:id="103" w:name="_Ref477454972"/>
      <w:bookmarkStart w:id="104" w:name="_Toc477459660"/>
      <w:bookmarkStart w:id="105" w:name="_Toc86202659"/>
      <w:r>
        <w:rPr>
          <w:rFonts w:eastAsiaTheme="minorEastAsia"/>
          <w:kern w:val="2"/>
        </w:rPr>
        <w:t>响应人货物、服务项目偏离表</w:t>
      </w:r>
      <w:bookmarkEnd w:id="103"/>
      <w:bookmarkEnd w:id="104"/>
      <w:bookmarkEnd w:id="105"/>
    </w:p>
    <w:p>
      <w:pPr>
        <w:spacing w:line="400" w:lineRule="exact"/>
        <w:ind w:firstLine="420" w:firstLineChars="200"/>
        <w:jc w:val="both"/>
        <w:rPr>
          <w:rFonts w:eastAsiaTheme="minorEastAsia"/>
          <w:sz w:val="21"/>
          <w:szCs w:val="21"/>
        </w:rPr>
      </w:pPr>
      <w:r>
        <w:rPr>
          <w:rFonts w:eastAsiaTheme="minorEastAsia"/>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rFonts w:eastAsiaTheme="minorEastAsia"/>
          <w:sz w:val="21"/>
          <w:szCs w:val="21"/>
        </w:rPr>
      </w:pPr>
      <w:r>
        <w:pict>
          <v:rect id="矩形 5" o:spid="_x0000_s1027" o:spt="1" style="position:absolute;left:0pt;margin-left:0.05pt;margin-top:10.8pt;height:271.2pt;width:449.4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v:path/>
            <v:fill focussize="0,0"/>
            <v:stroke weight="1pt" dashstyle="dash"/>
            <v:imagedata o:title=""/>
            <o:lock v:ext="edit"/>
          </v:rect>
        </w:pict>
      </w:r>
    </w:p>
    <w:p>
      <w:pPr>
        <w:spacing w:line="400" w:lineRule="exact"/>
        <w:ind w:firstLine="420" w:firstLineChars="200"/>
        <w:rPr>
          <w:rFonts w:eastAsiaTheme="minorEastAsia"/>
          <w:sz w:val="21"/>
          <w:szCs w:val="21"/>
          <w:u w:val="single"/>
        </w:rPr>
      </w:pPr>
      <w:r>
        <w:rPr>
          <w:rFonts w:eastAsiaTheme="minorEastAsia"/>
          <w:sz w:val="21"/>
          <w:szCs w:val="21"/>
        </w:rPr>
        <w:t>项目名称：</w:t>
      </w:r>
      <w:r>
        <w:t>中央财经大学</w:t>
      </w:r>
      <w:r>
        <w:rPr>
          <w:rFonts w:hint="eastAsia"/>
        </w:rPr>
        <w:t>后勤服务产业集团内部控制体系建设采购项目</w:t>
      </w:r>
    </w:p>
    <w:p>
      <w:pPr>
        <w:spacing w:line="400" w:lineRule="exact"/>
        <w:ind w:firstLine="420" w:firstLineChars="200"/>
        <w:rPr>
          <w:rFonts w:eastAsiaTheme="minorEastAsia"/>
          <w:sz w:val="21"/>
          <w:szCs w:val="21"/>
          <w:u w:val="single"/>
        </w:rPr>
      </w:pPr>
      <w:r>
        <w:rPr>
          <w:rFonts w:eastAsiaTheme="minorEastAsia"/>
          <w:sz w:val="21"/>
          <w:szCs w:val="21"/>
        </w:rPr>
        <w:t>项目编号：</w:t>
      </w:r>
    </w:p>
    <w:p>
      <w:pPr>
        <w:spacing w:line="400" w:lineRule="exact"/>
        <w:ind w:firstLine="420" w:firstLineChars="200"/>
        <w:rPr>
          <w:rFonts w:eastAsiaTheme="minorEastAsia"/>
          <w:sz w:val="21"/>
          <w:szCs w:val="21"/>
        </w:rPr>
      </w:pPr>
      <w:r>
        <w:rPr>
          <w:rFonts w:eastAsiaTheme="minorEastAsia"/>
          <w:sz w:val="21"/>
          <w:szCs w:val="21"/>
        </w:rPr>
        <w:t>响应人名称：</w:t>
      </w:r>
    </w:p>
    <w:p>
      <w:pPr>
        <w:pStyle w:val="114"/>
        <w:rPr>
          <w:rFonts w:ascii="Times New Roman" w:hAnsi="Times New Roman" w:cs="Times New Roman"/>
        </w:rPr>
      </w:pPr>
      <w:r>
        <w:rPr>
          <w:rFonts w:ascii="Times New Roman" w:hAnsi="Times New Roman" w:cs="Times New Roman"/>
          <w:szCs w:val="21"/>
        </w:rPr>
        <w:t>包号：</w:t>
      </w:r>
      <w:r>
        <w:rPr>
          <w:rFonts w:ascii="Times New Roman" w:hAnsi="Times New Roman" w:cs="Times New Roman"/>
        </w:rPr>
        <w:t>（以包为单位分别填报，如无此项可不填写）</w:t>
      </w:r>
    </w:p>
    <w:p>
      <w:pPr>
        <w:spacing w:line="400" w:lineRule="exact"/>
        <w:ind w:firstLine="420" w:firstLineChars="200"/>
        <w:rPr>
          <w:rFonts w:eastAsiaTheme="minorEastAsia"/>
          <w:sz w:val="21"/>
          <w:szCs w:val="21"/>
        </w:rPr>
      </w:pPr>
    </w:p>
    <w:tbl>
      <w:tblPr>
        <w:tblStyle w:val="46"/>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r>
              <w:rPr>
                <w:rFonts w:eastAsiaTheme="minorEastAsia"/>
                <w:sz w:val="21"/>
                <w:szCs w:val="21"/>
              </w:rPr>
              <w:t>序号</w:t>
            </w:r>
          </w:p>
        </w:tc>
        <w:tc>
          <w:tcPr>
            <w:tcW w:w="1779" w:type="dxa"/>
          </w:tcPr>
          <w:p>
            <w:pPr>
              <w:spacing w:line="400" w:lineRule="exact"/>
              <w:jc w:val="both"/>
              <w:rPr>
                <w:rFonts w:eastAsiaTheme="minorEastAsia"/>
                <w:sz w:val="21"/>
                <w:szCs w:val="21"/>
              </w:rPr>
            </w:pPr>
            <w:r>
              <w:rPr>
                <w:rFonts w:eastAsiaTheme="minorEastAsia"/>
                <w:sz w:val="21"/>
                <w:szCs w:val="21"/>
              </w:rPr>
              <w:t>磋商文件指标项</w:t>
            </w:r>
          </w:p>
        </w:tc>
        <w:tc>
          <w:tcPr>
            <w:tcW w:w="1701" w:type="dxa"/>
          </w:tcPr>
          <w:p>
            <w:pPr>
              <w:spacing w:line="400" w:lineRule="exact"/>
              <w:jc w:val="center"/>
              <w:rPr>
                <w:rFonts w:eastAsiaTheme="minorEastAsia"/>
                <w:sz w:val="21"/>
                <w:szCs w:val="21"/>
              </w:rPr>
            </w:pPr>
            <w:r>
              <w:rPr>
                <w:rFonts w:eastAsiaTheme="minorEastAsia"/>
                <w:sz w:val="21"/>
                <w:szCs w:val="21"/>
              </w:rPr>
              <w:t>磋商文件要求</w:t>
            </w:r>
          </w:p>
        </w:tc>
        <w:tc>
          <w:tcPr>
            <w:tcW w:w="2551" w:type="dxa"/>
          </w:tcPr>
          <w:p>
            <w:pPr>
              <w:spacing w:line="400" w:lineRule="exact"/>
              <w:jc w:val="both"/>
              <w:rPr>
                <w:rFonts w:eastAsiaTheme="minorEastAsia"/>
                <w:sz w:val="21"/>
                <w:szCs w:val="21"/>
              </w:rPr>
            </w:pPr>
            <w:r>
              <w:rPr>
                <w:rFonts w:eastAsiaTheme="minorEastAsia"/>
                <w:sz w:val="21"/>
                <w:szCs w:val="21"/>
              </w:rPr>
              <w:t>响应文件的应答</w:t>
            </w:r>
          </w:p>
        </w:tc>
        <w:tc>
          <w:tcPr>
            <w:tcW w:w="1276" w:type="dxa"/>
          </w:tcPr>
          <w:p>
            <w:pPr>
              <w:spacing w:line="400" w:lineRule="exact"/>
              <w:jc w:val="both"/>
              <w:rPr>
                <w:rFonts w:eastAsiaTheme="minorEastAsia"/>
                <w:sz w:val="21"/>
                <w:szCs w:val="21"/>
              </w:rPr>
            </w:pPr>
            <w:r>
              <w:rPr>
                <w:rFonts w:eastAsiaTheme="minorEastAsia"/>
                <w:sz w:val="21"/>
                <w:szCs w:val="21"/>
              </w:rPr>
              <w:t>偏离情况</w:t>
            </w:r>
          </w:p>
        </w:tc>
        <w:tc>
          <w:tcPr>
            <w:tcW w:w="851" w:type="dxa"/>
          </w:tcPr>
          <w:p>
            <w:pPr>
              <w:spacing w:line="400" w:lineRule="exact"/>
              <w:jc w:val="both"/>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bl>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jc w:val="right"/>
        <w:rPr>
          <w:rFonts w:ascii="Times New Roman" w:hAnsi="Times New Roman" w:cs="Times New Roman"/>
          <w:b/>
          <w:bCs/>
          <w:szCs w:val="21"/>
        </w:rPr>
      </w:pPr>
      <w:r>
        <w:rPr>
          <w:rFonts w:ascii="Times New Roman" w:hAnsi="Times New Roman" w:cs="Times New Roman"/>
        </w:rPr>
        <w:t>年月日</w:t>
      </w:r>
    </w:p>
    <w:sectPr>
      <w:pgSz w:w="11909" w:h="16834"/>
      <w:pgMar w:top="1418" w:right="1418" w:bottom="1418" w:left="1559" w:header="851" w:footer="851"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12-29T17:04:00Z" w:initials="WL">
    <w:p w14:paraId="26B0649E">
      <w:pPr>
        <w:pStyle w:val="12"/>
      </w:pPr>
    </w:p>
    <w:p w14:paraId="5486672E">
      <w:pPr>
        <w:pStyle w:val="12"/>
      </w:pPr>
      <w:r>
        <w:t>采购申请单位请按照实际情况填写</w:t>
      </w:r>
    </w:p>
    <w:p w14:paraId="29837732">
      <w:pPr>
        <w:pStyle w:val="12"/>
      </w:pPr>
    </w:p>
  </w:comment>
  <w:comment w:id="1" w:author="付梅英" w:date="2017-09-23T07:00:00Z" w:initials="">
    <w:p w14:paraId="1CDB7443">
      <w:pPr>
        <w:pStyle w:val="12"/>
      </w:pPr>
      <w:r>
        <w:rPr>
          <w:rFonts w:hint="eastAsia"/>
        </w:rPr>
        <w:t>？</w:t>
      </w:r>
    </w:p>
  </w:comment>
  <w:comment w:id="2" w:author="付梅英" w:date="2017-09-23T08:25:00Z" w:initials="">
    <w:p w14:paraId="23913EBB">
      <w:pPr>
        <w:pStyle w:val="12"/>
      </w:pPr>
      <w:r>
        <w:rPr>
          <w:rFonts w:hint="eastAsia"/>
        </w:rPr>
        <w:t>？</w:t>
      </w:r>
    </w:p>
  </w:comment>
  <w:comment w:id="3" w:author="付梅英" w:date="2017-09-23T08:26:00Z" w:initials="">
    <w:p w14:paraId="60047D5C">
      <w:pPr>
        <w:pStyle w:val="12"/>
      </w:pPr>
      <w:r>
        <w:rPr>
          <w:rFonts w:hint="eastAsia"/>
        </w:rPr>
        <w:t>？</w:t>
      </w:r>
    </w:p>
  </w:comment>
  <w:comment w:id="4" w:author="付梅英" w:date="2017-09-23T08:27:00Z" w:initials="">
    <w:p w14:paraId="56E80D24">
      <w:pPr>
        <w:pStyle w:val="12"/>
      </w:pPr>
      <w:r>
        <w:rPr>
          <w:rFonts w:hint="eastAsia"/>
        </w:rPr>
        <w:t>？</w:t>
      </w:r>
    </w:p>
  </w:comment>
  <w:comment w:id="5" w:author="付梅英" w:date="2017-09-23T08:43:00Z" w:initials="">
    <w:p w14:paraId="1D1554E2">
      <w:pPr>
        <w:pStyle w:val="12"/>
      </w:pPr>
      <w:r>
        <w:rPr>
          <w:rFonts w:hint="eastAsia"/>
        </w:rPr>
        <w:t>建议4分</w:t>
      </w:r>
    </w:p>
  </w:comment>
  <w:comment w:id="6" w:author="付梅英" w:date="2017-09-23T08:45:00Z" w:initials="">
    <w:p w14:paraId="4CDA4242">
      <w:pPr>
        <w:pStyle w:val="12"/>
      </w:pPr>
      <w:r>
        <w:rPr>
          <w:rFonts w:hint="eastAsia"/>
        </w:rPr>
        <w:t>？不能超过本项得分</w:t>
      </w:r>
    </w:p>
  </w:comment>
  <w:comment w:id="7" w:author="付梅英" w:date="2017-09-23T10:21:00Z" w:initials="">
    <w:p w14:paraId="46A4246A">
      <w:pPr>
        <w:pStyle w:val="12"/>
      </w:pPr>
      <w:r>
        <w:rPr>
          <w:rFonts w:hint="eastAsia"/>
        </w:rPr>
        <w:t>建议增加、细化项目建设周期、项目建设成果、项目验收标准、售后服务等要求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837732" w15:done="0"/>
  <w15:commentEx w15:paraId="1CDB7443" w15:done="0"/>
  <w15:commentEx w15:paraId="23913EBB" w15:done="0"/>
  <w15:commentEx w15:paraId="60047D5C" w15:done="0"/>
  <w15:commentEx w15:paraId="56E80D24" w15:done="0"/>
  <w15:commentEx w15:paraId="1D1554E2" w15:done="0"/>
  <w15:commentEx w15:paraId="4CDA4242" w15:done="0"/>
  <w15:commentEx w15:paraId="46A424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781210"/>
    </w:sdtPr>
    <w:sdtContent>
      <w:sdt>
        <w:sdtPr>
          <w:id w:val="376434871"/>
        </w:sdtPr>
        <w:sdtContent>
          <w:p>
            <w:pPr>
              <w:pStyle w:val="28"/>
              <w:jc w:val="center"/>
            </w:pP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28236"/>
    </w:sdtPr>
    <w:sdtContent>
      <w:sdt>
        <w:sdtPr>
          <w:id w:val="854696931"/>
        </w:sdtPr>
        <w:sdtContent>
          <w:p>
            <w:pPr>
              <w:pStyle w:val="28"/>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38</w:t>
            </w:r>
            <w:r>
              <w:rPr>
                <w:b/>
                <w:bCs/>
                <w:sz w:val="24"/>
                <w:szCs w:val="24"/>
              </w:rPr>
              <w:fldChar w:fldCharType="end"/>
            </w:r>
          </w:p>
        </w:sdtContent>
      </w:sdt>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8366630"/>
    </w:sdtPr>
    <w:sdtContent>
      <w:sdt>
        <w:sdtPr>
          <w:id w:val="696891572"/>
        </w:sdtPr>
        <w:sdtContent>
          <w:p>
            <w:pPr>
              <w:pStyle w:val="28"/>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38</w:t>
            </w:r>
            <w:r>
              <w:rPr>
                <w:b/>
                <w:bCs/>
                <w:sz w:val="24"/>
                <w:szCs w:val="24"/>
              </w:rPr>
              <w:fldChar w:fldCharType="end"/>
            </w:r>
          </w:p>
        </w:sdtContent>
      </w:sdt>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109"/>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9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113"/>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110"/>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69"/>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0">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3">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5">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A4C787F"/>
    <w:multiLevelType w:val="singleLevel"/>
    <w:tmpl w:val="5A4C787F"/>
    <w:lvl w:ilvl="0" w:tentative="0">
      <w:start w:val="3"/>
      <w:numFmt w:val="chineseCounting"/>
      <w:suff w:val="nothing"/>
      <w:lvlText w:val="%1、"/>
      <w:lvlJc w:val="left"/>
    </w:lvl>
  </w:abstractNum>
  <w:abstractNum w:abstractNumId="31">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2">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3">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5">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7">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9">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7"/>
  </w:num>
  <w:num w:numId="11">
    <w:abstractNumId w:val="33"/>
  </w:num>
  <w:num w:numId="12">
    <w:abstractNumId w:val="35"/>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9"/>
  </w:num>
  <w:num w:numId="18">
    <w:abstractNumId w:val="18"/>
  </w:num>
  <w:num w:numId="19">
    <w:abstractNumId w:val="28"/>
  </w:num>
  <w:num w:numId="20">
    <w:abstractNumId w:val="38"/>
  </w:num>
  <w:num w:numId="21">
    <w:abstractNumId w:val="22"/>
  </w:num>
  <w:num w:numId="22">
    <w:abstractNumId w:val="16"/>
  </w:num>
  <w:num w:numId="23">
    <w:abstractNumId w:val="34"/>
  </w:num>
  <w:num w:numId="24">
    <w:abstractNumId w:val="17"/>
  </w:num>
  <w:num w:numId="25">
    <w:abstractNumId w:val="32"/>
  </w:num>
  <w:num w:numId="26">
    <w:abstractNumId w:val="24"/>
  </w:num>
  <w:num w:numId="27">
    <w:abstractNumId w:val="36"/>
  </w:num>
  <w:num w:numId="28">
    <w:abstractNumId w:val="31"/>
  </w:num>
  <w:num w:numId="29">
    <w:abstractNumId w:val="23"/>
  </w:num>
  <w:num w:numId="30">
    <w:abstractNumId w:val="9"/>
  </w:num>
  <w:num w:numId="31">
    <w:abstractNumId w:val="14"/>
  </w:num>
  <w:num w:numId="32">
    <w:abstractNumId w:val="13"/>
  </w:num>
  <w:num w:numId="33">
    <w:abstractNumId w:val="30"/>
  </w:num>
  <w:num w:numId="34">
    <w:abstractNumId w:val="37"/>
  </w:num>
  <w:num w:numId="35">
    <w:abstractNumId w:val="39"/>
  </w:num>
  <w:num w:numId="36">
    <w:abstractNumId w:val="21"/>
  </w:num>
  <w:num w:numId="37">
    <w:abstractNumId w:val="8"/>
  </w:num>
  <w:num w:numId="38">
    <w:abstractNumId w:val="7"/>
  </w:num>
  <w:num w:numId="39">
    <w:abstractNumId w:val="11"/>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货物与服务采购科">
    <w15:presenceInfo w15:providerId="None" w15:userId="货物与服务采购科"/>
  </w15:person>
  <w15:person w15:author="付梅英">
    <w15:presenceInfo w15:providerId="None" w15:userId="付梅英"/>
  </w15:person>
  <w15:person w15:author="Lenovo User">
    <w15:presenceInfo w15:providerId="None" w15:userId="Lenov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trackRevisions w:val="1"/>
  <w:documentProtection w:enforcement="0"/>
  <w:defaultTabStop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B1B5C"/>
    <w:rsid w:val="00006BCF"/>
    <w:rsid w:val="00012D45"/>
    <w:rsid w:val="00023FD4"/>
    <w:rsid w:val="00034136"/>
    <w:rsid w:val="000342F6"/>
    <w:rsid w:val="00036C82"/>
    <w:rsid w:val="00044742"/>
    <w:rsid w:val="000467AF"/>
    <w:rsid w:val="00050391"/>
    <w:rsid w:val="00065C59"/>
    <w:rsid w:val="00071A90"/>
    <w:rsid w:val="00072349"/>
    <w:rsid w:val="00074DFB"/>
    <w:rsid w:val="00075901"/>
    <w:rsid w:val="00087159"/>
    <w:rsid w:val="000A4BF9"/>
    <w:rsid w:val="000B3CE4"/>
    <w:rsid w:val="000B7E05"/>
    <w:rsid w:val="000E04C7"/>
    <w:rsid w:val="000E0E87"/>
    <w:rsid w:val="000E0FCA"/>
    <w:rsid w:val="000E7363"/>
    <w:rsid w:val="000F3461"/>
    <w:rsid w:val="00116DBA"/>
    <w:rsid w:val="00124625"/>
    <w:rsid w:val="001335BD"/>
    <w:rsid w:val="00160C85"/>
    <w:rsid w:val="00167148"/>
    <w:rsid w:val="0016741B"/>
    <w:rsid w:val="00172A27"/>
    <w:rsid w:val="0017580C"/>
    <w:rsid w:val="00183668"/>
    <w:rsid w:val="001934FF"/>
    <w:rsid w:val="00193886"/>
    <w:rsid w:val="001947B4"/>
    <w:rsid w:val="00194A5F"/>
    <w:rsid w:val="001971B4"/>
    <w:rsid w:val="001B5914"/>
    <w:rsid w:val="001C642E"/>
    <w:rsid w:val="001F6249"/>
    <w:rsid w:val="00211B1F"/>
    <w:rsid w:val="00211FF8"/>
    <w:rsid w:val="00214103"/>
    <w:rsid w:val="0021569D"/>
    <w:rsid w:val="00220F1F"/>
    <w:rsid w:val="00224B3B"/>
    <w:rsid w:val="0022545C"/>
    <w:rsid w:val="0023779A"/>
    <w:rsid w:val="002406CF"/>
    <w:rsid w:val="00242615"/>
    <w:rsid w:val="002449C2"/>
    <w:rsid w:val="0025468D"/>
    <w:rsid w:val="0025519E"/>
    <w:rsid w:val="00263F12"/>
    <w:rsid w:val="00267D3D"/>
    <w:rsid w:val="002B2DA2"/>
    <w:rsid w:val="002B3E9C"/>
    <w:rsid w:val="002C1ABC"/>
    <w:rsid w:val="002C279C"/>
    <w:rsid w:val="002D22C8"/>
    <w:rsid w:val="002F3D96"/>
    <w:rsid w:val="002F7435"/>
    <w:rsid w:val="002F7B49"/>
    <w:rsid w:val="00312E8A"/>
    <w:rsid w:val="003301D5"/>
    <w:rsid w:val="003378A2"/>
    <w:rsid w:val="00350214"/>
    <w:rsid w:val="00354BAD"/>
    <w:rsid w:val="00361D6C"/>
    <w:rsid w:val="00363F8A"/>
    <w:rsid w:val="003A22C9"/>
    <w:rsid w:val="003B24B2"/>
    <w:rsid w:val="003B79B6"/>
    <w:rsid w:val="003C3697"/>
    <w:rsid w:val="003D0328"/>
    <w:rsid w:val="003D70A1"/>
    <w:rsid w:val="003F6ADF"/>
    <w:rsid w:val="00402897"/>
    <w:rsid w:val="00403D45"/>
    <w:rsid w:val="00425C44"/>
    <w:rsid w:val="00435F46"/>
    <w:rsid w:val="00437D91"/>
    <w:rsid w:val="00446FB2"/>
    <w:rsid w:val="0045102A"/>
    <w:rsid w:val="00452424"/>
    <w:rsid w:val="004672B6"/>
    <w:rsid w:val="0048451C"/>
    <w:rsid w:val="004925F1"/>
    <w:rsid w:val="004972B8"/>
    <w:rsid w:val="00497FBA"/>
    <w:rsid w:val="004B1432"/>
    <w:rsid w:val="004B41F7"/>
    <w:rsid w:val="004C09DA"/>
    <w:rsid w:val="004C61E5"/>
    <w:rsid w:val="004C625D"/>
    <w:rsid w:val="004D034D"/>
    <w:rsid w:val="004D1CC9"/>
    <w:rsid w:val="004D26D6"/>
    <w:rsid w:val="004D5E5B"/>
    <w:rsid w:val="004D5F0E"/>
    <w:rsid w:val="004F0683"/>
    <w:rsid w:val="004F2BC6"/>
    <w:rsid w:val="005360D4"/>
    <w:rsid w:val="005405C1"/>
    <w:rsid w:val="0055304D"/>
    <w:rsid w:val="00553DF7"/>
    <w:rsid w:val="00556340"/>
    <w:rsid w:val="005668F8"/>
    <w:rsid w:val="00573256"/>
    <w:rsid w:val="005853FF"/>
    <w:rsid w:val="00591526"/>
    <w:rsid w:val="005A59F0"/>
    <w:rsid w:val="005C3AA8"/>
    <w:rsid w:val="005C64B6"/>
    <w:rsid w:val="005D62AD"/>
    <w:rsid w:val="005E3A53"/>
    <w:rsid w:val="005F0679"/>
    <w:rsid w:val="005F265D"/>
    <w:rsid w:val="005F59BB"/>
    <w:rsid w:val="00604AAE"/>
    <w:rsid w:val="00611476"/>
    <w:rsid w:val="006149AD"/>
    <w:rsid w:val="00623018"/>
    <w:rsid w:val="00624A9E"/>
    <w:rsid w:val="00626454"/>
    <w:rsid w:val="006303F4"/>
    <w:rsid w:val="00632215"/>
    <w:rsid w:val="00660046"/>
    <w:rsid w:val="00665E64"/>
    <w:rsid w:val="00673D20"/>
    <w:rsid w:val="00693333"/>
    <w:rsid w:val="00695A98"/>
    <w:rsid w:val="006D0713"/>
    <w:rsid w:val="006D0720"/>
    <w:rsid w:val="006D36C6"/>
    <w:rsid w:val="006D5239"/>
    <w:rsid w:val="00717580"/>
    <w:rsid w:val="00733100"/>
    <w:rsid w:val="00734A5C"/>
    <w:rsid w:val="0077383E"/>
    <w:rsid w:val="00774087"/>
    <w:rsid w:val="00785C55"/>
    <w:rsid w:val="00792BB8"/>
    <w:rsid w:val="007A1886"/>
    <w:rsid w:val="007A6EE9"/>
    <w:rsid w:val="007C465C"/>
    <w:rsid w:val="007C7460"/>
    <w:rsid w:val="007C7734"/>
    <w:rsid w:val="007E12E4"/>
    <w:rsid w:val="007E7791"/>
    <w:rsid w:val="00802A12"/>
    <w:rsid w:val="00806F61"/>
    <w:rsid w:val="00815BF3"/>
    <w:rsid w:val="00825583"/>
    <w:rsid w:val="00863C1A"/>
    <w:rsid w:val="00871CC9"/>
    <w:rsid w:val="00873A83"/>
    <w:rsid w:val="008760F9"/>
    <w:rsid w:val="00895AB1"/>
    <w:rsid w:val="008A5EF9"/>
    <w:rsid w:val="008A6F1F"/>
    <w:rsid w:val="008B1AB3"/>
    <w:rsid w:val="008B7588"/>
    <w:rsid w:val="008C5A44"/>
    <w:rsid w:val="008D07FB"/>
    <w:rsid w:val="008D19EC"/>
    <w:rsid w:val="008D3EDA"/>
    <w:rsid w:val="008D7909"/>
    <w:rsid w:val="008E5392"/>
    <w:rsid w:val="008E6EA8"/>
    <w:rsid w:val="008F27C2"/>
    <w:rsid w:val="0091243C"/>
    <w:rsid w:val="00941C6A"/>
    <w:rsid w:val="00945883"/>
    <w:rsid w:val="0094647E"/>
    <w:rsid w:val="0095446E"/>
    <w:rsid w:val="009641B2"/>
    <w:rsid w:val="009704DC"/>
    <w:rsid w:val="00971933"/>
    <w:rsid w:val="00983778"/>
    <w:rsid w:val="009A7B7B"/>
    <w:rsid w:val="009B1B5C"/>
    <w:rsid w:val="009B2F19"/>
    <w:rsid w:val="009E1C52"/>
    <w:rsid w:val="00A01657"/>
    <w:rsid w:val="00A03380"/>
    <w:rsid w:val="00A15654"/>
    <w:rsid w:val="00A233FE"/>
    <w:rsid w:val="00A44E56"/>
    <w:rsid w:val="00A4670D"/>
    <w:rsid w:val="00A729B5"/>
    <w:rsid w:val="00A873D0"/>
    <w:rsid w:val="00A92B14"/>
    <w:rsid w:val="00AA3668"/>
    <w:rsid w:val="00AC20F0"/>
    <w:rsid w:val="00AC6DD3"/>
    <w:rsid w:val="00AC6F00"/>
    <w:rsid w:val="00AD212D"/>
    <w:rsid w:val="00AE248B"/>
    <w:rsid w:val="00AF79CA"/>
    <w:rsid w:val="00B07878"/>
    <w:rsid w:val="00B21E8E"/>
    <w:rsid w:val="00B309C4"/>
    <w:rsid w:val="00B347AD"/>
    <w:rsid w:val="00B362DE"/>
    <w:rsid w:val="00B40B78"/>
    <w:rsid w:val="00B50A99"/>
    <w:rsid w:val="00B64240"/>
    <w:rsid w:val="00B6742F"/>
    <w:rsid w:val="00B67CF8"/>
    <w:rsid w:val="00B7207B"/>
    <w:rsid w:val="00B81BDE"/>
    <w:rsid w:val="00B8316B"/>
    <w:rsid w:val="00B87877"/>
    <w:rsid w:val="00BC6E7C"/>
    <w:rsid w:val="00BD32CB"/>
    <w:rsid w:val="00BD4F0C"/>
    <w:rsid w:val="00BE1909"/>
    <w:rsid w:val="00BE35B0"/>
    <w:rsid w:val="00BE4262"/>
    <w:rsid w:val="00BF78D3"/>
    <w:rsid w:val="00C149C5"/>
    <w:rsid w:val="00C3204F"/>
    <w:rsid w:val="00C33EC5"/>
    <w:rsid w:val="00C359B5"/>
    <w:rsid w:val="00C45454"/>
    <w:rsid w:val="00C45C7E"/>
    <w:rsid w:val="00C4674C"/>
    <w:rsid w:val="00C51108"/>
    <w:rsid w:val="00C51D8D"/>
    <w:rsid w:val="00C56EF2"/>
    <w:rsid w:val="00C834B0"/>
    <w:rsid w:val="00C91D96"/>
    <w:rsid w:val="00CB3978"/>
    <w:rsid w:val="00CB3BEC"/>
    <w:rsid w:val="00CC5210"/>
    <w:rsid w:val="00CD5D01"/>
    <w:rsid w:val="00D02082"/>
    <w:rsid w:val="00D10295"/>
    <w:rsid w:val="00D42C1D"/>
    <w:rsid w:val="00D43D9D"/>
    <w:rsid w:val="00D45D14"/>
    <w:rsid w:val="00D468E7"/>
    <w:rsid w:val="00D65732"/>
    <w:rsid w:val="00D82496"/>
    <w:rsid w:val="00D84C2E"/>
    <w:rsid w:val="00D9163E"/>
    <w:rsid w:val="00D942DA"/>
    <w:rsid w:val="00DA3552"/>
    <w:rsid w:val="00DB37F5"/>
    <w:rsid w:val="00DB7369"/>
    <w:rsid w:val="00DD1A7E"/>
    <w:rsid w:val="00DE175C"/>
    <w:rsid w:val="00DE1EEA"/>
    <w:rsid w:val="00DF76A9"/>
    <w:rsid w:val="00E0081C"/>
    <w:rsid w:val="00E01CDE"/>
    <w:rsid w:val="00E04815"/>
    <w:rsid w:val="00E115B0"/>
    <w:rsid w:val="00E14DB3"/>
    <w:rsid w:val="00E22FCD"/>
    <w:rsid w:val="00E402D8"/>
    <w:rsid w:val="00E50AF2"/>
    <w:rsid w:val="00E53AA3"/>
    <w:rsid w:val="00E57240"/>
    <w:rsid w:val="00E76022"/>
    <w:rsid w:val="00E77B00"/>
    <w:rsid w:val="00E87895"/>
    <w:rsid w:val="00E933BC"/>
    <w:rsid w:val="00E97B66"/>
    <w:rsid w:val="00EA2483"/>
    <w:rsid w:val="00EC201B"/>
    <w:rsid w:val="00EC2D64"/>
    <w:rsid w:val="00ED1CA1"/>
    <w:rsid w:val="00ED1DB9"/>
    <w:rsid w:val="00ED55DC"/>
    <w:rsid w:val="00ED715F"/>
    <w:rsid w:val="00EE75E9"/>
    <w:rsid w:val="00EF2512"/>
    <w:rsid w:val="00EF3998"/>
    <w:rsid w:val="00EF6A58"/>
    <w:rsid w:val="00F102D9"/>
    <w:rsid w:val="00F2263D"/>
    <w:rsid w:val="00F249FB"/>
    <w:rsid w:val="00F371EC"/>
    <w:rsid w:val="00F67D78"/>
    <w:rsid w:val="00F7022C"/>
    <w:rsid w:val="00F713DB"/>
    <w:rsid w:val="00F73E6C"/>
    <w:rsid w:val="00F9285A"/>
    <w:rsid w:val="00F970FF"/>
    <w:rsid w:val="00FA3F23"/>
    <w:rsid w:val="00FA4F30"/>
    <w:rsid w:val="00FB1FB3"/>
    <w:rsid w:val="00FB7FAF"/>
    <w:rsid w:val="00FC181F"/>
    <w:rsid w:val="00FD4732"/>
    <w:rsid w:val="00FE4B1F"/>
    <w:rsid w:val="00FE72BB"/>
    <w:rsid w:val="00FF29B2"/>
    <w:rsid w:val="012A7EA9"/>
    <w:rsid w:val="021C0508"/>
    <w:rsid w:val="027744C0"/>
    <w:rsid w:val="02A45E72"/>
    <w:rsid w:val="02C64E6B"/>
    <w:rsid w:val="02C95F79"/>
    <w:rsid w:val="031B2F8A"/>
    <w:rsid w:val="032D1FCA"/>
    <w:rsid w:val="03631D1E"/>
    <w:rsid w:val="03A63009"/>
    <w:rsid w:val="05596C32"/>
    <w:rsid w:val="060A6699"/>
    <w:rsid w:val="061E3B9F"/>
    <w:rsid w:val="072240C6"/>
    <w:rsid w:val="07250D12"/>
    <w:rsid w:val="07C52F87"/>
    <w:rsid w:val="089E6133"/>
    <w:rsid w:val="0A326761"/>
    <w:rsid w:val="0AF22E9E"/>
    <w:rsid w:val="0BBC1BF2"/>
    <w:rsid w:val="0CC916BB"/>
    <w:rsid w:val="0CEC1646"/>
    <w:rsid w:val="0D4F3BAD"/>
    <w:rsid w:val="0DBF7B7A"/>
    <w:rsid w:val="0E294072"/>
    <w:rsid w:val="0E7A6B5B"/>
    <w:rsid w:val="0F91756B"/>
    <w:rsid w:val="0FA04136"/>
    <w:rsid w:val="11043E1C"/>
    <w:rsid w:val="11C828A0"/>
    <w:rsid w:val="12066D6A"/>
    <w:rsid w:val="12416B36"/>
    <w:rsid w:val="126D4521"/>
    <w:rsid w:val="13313330"/>
    <w:rsid w:val="13B91B7E"/>
    <w:rsid w:val="161B43D6"/>
    <w:rsid w:val="17423241"/>
    <w:rsid w:val="18111A1A"/>
    <w:rsid w:val="18D83E2A"/>
    <w:rsid w:val="19410EC1"/>
    <w:rsid w:val="1984776E"/>
    <w:rsid w:val="1C187090"/>
    <w:rsid w:val="1C28750F"/>
    <w:rsid w:val="1C547A40"/>
    <w:rsid w:val="1D481837"/>
    <w:rsid w:val="1E2F1D7F"/>
    <w:rsid w:val="1F2A70CE"/>
    <w:rsid w:val="1F3515E5"/>
    <w:rsid w:val="1F7632A4"/>
    <w:rsid w:val="1FBC6300"/>
    <w:rsid w:val="20426043"/>
    <w:rsid w:val="20C205FE"/>
    <w:rsid w:val="219169C3"/>
    <w:rsid w:val="22A11063"/>
    <w:rsid w:val="23384650"/>
    <w:rsid w:val="23C748ED"/>
    <w:rsid w:val="23EC568C"/>
    <w:rsid w:val="240B170D"/>
    <w:rsid w:val="24932919"/>
    <w:rsid w:val="24AC5738"/>
    <w:rsid w:val="24E25D13"/>
    <w:rsid w:val="24F956E0"/>
    <w:rsid w:val="254235B1"/>
    <w:rsid w:val="288312C9"/>
    <w:rsid w:val="290F51B7"/>
    <w:rsid w:val="292F3EA8"/>
    <w:rsid w:val="29666F3F"/>
    <w:rsid w:val="29A808A7"/>
    <w:rsid w:val="2A2E34D7"/>
    <w:rsid w:val="2A646E1A"/>
    <w:rsid w:val="2BD60AB5"/>
    <w:rsid w:val="2C16136F"/>
    <w:rsid w:val="2CFF3615"/>
    <w:rsid w:val="2D086140"/>
    <w:rsid w:val="2D594674"/>
    <w:rsid w:val="2EAB5EE9"/>
    <w:rsid w:val="2EC825D1"/>
    <w:rsid w:val="2F0B4D4B"/>
    <w:rsid w:val="2F720C01"/>
    <w:rsid w:val="2F832C8B"/>
    <w:rsid w:val="30692012"/>
    <w:rsid w:val="30F73670"/>
    <w:rsid w:val="311C1408"/>
    <w:rsid w:val="313E5D22"/>
    <w:rsid w:val="31900106"/>
    <w:rsid w:val="31B764E7"/>
    <w:rsid w:val="31FD0B8C"/>
    <w:rsid w:val="33A74728"/>
    <w:rsid w:val="343D6CF4"/>
    <w:rsid w:val="352640C8"/>
    <w:rsid w:val="35C944E0"/>
    <w:rsid w:val="364E0AA6"/>
    <w:rsid w:val="3673301F"/>
    <w:rsid w:val="3673648A"/>
    <w:rsid w:val="379C613C"/>
    <w:rsid w:val="37E96EA5"/>
    <w:rsid w:val="38397C1C"/>
    <w:rsid w:val="384646CC"/>
    <w:rsid w:val="3926429E"/>
    <w:rsid w:val="392837A4"/>
    <w:rsid w:val="39CA762B"/>
    <w:rsid w:val="3A3D42C4"/>
    <w:rsid w:val="3A8A0905"/>
    <w:rsid w:val="3B6C6D0D"/>
    <w:rsid w:val="3BAB40E6"/>
    <w:rsid w:val="3BB20934"/>
    <w:rsid w:val="3D254406"/>
    <w:rsid w:val="3D486C25"/>
    <w:rsid w:val="3D707D7D"/>
    <w:rsid w:val="3E4E006B"/>
    <w:rsid w:val="3F2C7203"/>
    <w:rsid w:val="3FF11596"/>
    <w:rsid w:val="40647A3A"/>
    <w:rsid w:val="40FC23C5"/>
    <w:rsid w:val="429E5529"/>
    <w:rsid w:val="42D60523"/>
    <w:rsid w:val="447C2E19"/>
    <w:rsid w:val="44E82174"/>
    <w:rsid w:val="4510235C"/>
    <w:rsid w:val="45252797"/>
    <w:rsid w:val="46B603F3"/>
    <w:rsid w:val="475D5E00"/>
    <w:rsid w:val="49730894"/>
    <w:rsid w:val="4AD85B41"/>
    <w:rsid w:val="4B925D48"/>
    <w:rsid w:val="4BB44F25"/>
    <w:rsid w:val="4BB57850"/>
    <w:rsid w:val="4C071E26"/>
    <w:rsid w:val="4C6006FE"/>
    <w:rsid w:val="4CC375AF"/>
    <w:rsid w:val="4D142AC9"/>
    <w:rsid w:val="4ECD3144"/>
    <w:rsid w:val="4F514CFA"/>
    <w:rsid w:val="4FA559C9"/>
    <w:rsid w:val="507430E5"/>
    <w:rsid w:val="51085EDC"/>
    <w:rsid w:val="518C52B0"/>
    <w:rsid w:val="51933865"/>
    <w:rsid w:val="51A20D77"/>
    <w:rsid w:val="5239193A"/>
    <w:rsid w:val="53CD663C"/>
    <w:rsid w:val="54BB556D"/>
    <w:rsid w:val="55D93874"/>
    <w:rsid w:val="564904AC"/>
    <w:rsid w:val="56F82078"/>
    <w:rsid w:val="57EE6152"/>
    <w:rsid w:val="580C31E7"/>
    <w:rsid w:val="58117480"/>
    <w:rsid w:val="586C0401"/>
    <w:rsid w:val="58C2010C"/>
    <w:rsid w:val="58D515E5"/>
    <w:rsid w:val="58D7677B"/>
    <w:rsid w:val="59BF4F91"/>
    <w:rsid w:val="5C1A7599"/>
    <w:rsid w:val="5C5A1AF4"/>
    <w:rsid w:val="5EEA624A"/>
    <w:rsid w:val="60310F42"/>
    <w:rsid w:val="60420B9C"/>
    <w:rsid w:val="60961D72"/>
    <w:rsid w:val="609E142D"/>
    <w:rsid w:val="60E2782A"/>
    <w:rsid w:val="617D7084"/>
    <w:rsid w:val="61BA08BF"/>
    <w:rsid w:val="62F554FF"/>
    <w:rsid w:val="64B5147A"/>
    <w:rsid w:val="64B7776E"/>
    <w:rsid w:val="64B860AB"/>
    <w:rsid w:val="64DD2E84"/>
    <w:rsid w:val="658B7B25"/>
    <w:rsid w:val="659B5462"/>
    <w:rsid w:val="6709389E"/>
    <w:rsid w:val="67BA2BBB"/>
    <w:rsid w:val="69167560"/>
    <w:rsid w:val="69E50830"/>
    <w:rsid w:val="6A517DCD"/>
    <w:rsid w:val="6A716878"/>
    <w:rsid w:val="6AC4608C"/>
    <w:rsid w:val="6B0E142C"/>
    <w:rsid w:val="6B860398"/>
    <w:rsid w:val="6BB1430C"/>
    <w:rsid w:val="6C0C63E5"/>
    <w:rsid w:val="6D515282"/>
    <w:rsid w:val="6D7875A9"/>
    <w:rsid w:val="6D934EDA"/>
    <w:rsid w:val="6E286B58"/>
    <w:rsid w:val="6EED1437"/>
    <w:rsid w:val="6FFF59A6"/>
    <w:rsid w:val="70270014"/>
    <w:rsid w:val="704935E7"/>
    <w:rsid w:val="71FD5DAC"/>
    <w:rsid w:val="73190954"/>
    <w:rsid w:val="73283C55"/>
    <w:rsid w:val="73650CA4"/>
    <w:rsid w:val="7472694F"/>
    <w:rsid w:val="75E74497"/>
    <w:rsid w:val="76C63624"/>
    <w:rsid w:val="773502BD"/>
    <w:rsid w:val="79005371"/>
    <w:rsid w:val="79CE3EF0"/>
    <w:rsid w:val="7A257065"/>
    <w:rsid w:val="7BAA3D44"/>
    <w:rsid w:val="7CD55D14"/>
    <w:rsid w:val="7D307546"/>
    <w:rsid w:val="7E2F7488"/>
    <w:rsid w:val="7E442D6B"/>
    <w:rsid w:val="7ECC07DD"/>
    <w:rsid w:val="7EF00427"/>
    <w:rsid w:val="7F117485"/>
    <w:rsid w:val="7F414931"/>
    <w:rsid w:val="7FEA71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54"/>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66"/>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64"/>
    <w:qFormat/>
    <w:uiPriority w:val="9"/>
    <w:pPr>
      <w:keepNext/>
      <w:keepLines/>
      <w:spacing w:before="260" w:after="260" w:line="416" w:lineRule="atLeast"/>
      <w:outlineLvl w:val="2"/>
    </w:pPr>
    <w:rPr>
      <w:b/>
      <w:bCs/>
      <w:sz w:val="32"/>
      <w:szCs w:val="32"/>
    </w:rPr>
  </w:style>
  <w:style w:type="paragraph" w:styleId="5">
    <w:name w:val="heading 4"/>
    <w:basedOn w:val="1"/>
    <w:next w:val="1"/>
    <w:link w:val="65"/>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62"/>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60"/>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67"/>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57"/>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5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40">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116"/>
    <w:qFormat/>
    <w:uiPriority w:val="0"/>
  </w:style>
  <w:style w:type="paragraph" w:styleId="13">
    <w:name w:val="toc 7"/>
    <w:basedOn w:val="1"/>
    <w:next w:val="1"/>
    <w:qFormat/>
    <w:uiPriority w:val="0"/>
    <w:pPr>
      <w:adjustRightInd/>
      <w:spacing w:line="240" w:lineRule="auto"/>
      <w:ind w:left="1260"/>
      <w:textAlignment w:val="auto"/>
    </w:pPr>
    <w:rPr>
      <w:kern w:val="2"/>
      <w:sz w:val="21"/>
      <w:szCs w:val="21"/>
    </w:rPr>
  </w:style>
  <w:style w:type="paragraph" w:styleId="14">
    <w:name w:val="Body Text First Indent"/>
    <w:basedOn w:val="15"/>
    <w:link w:val="61"/>
    <w:qFormat/>
    <w:uiPriority w:val="0"/>
    <w:pPr>
      <w:ind w:firstLine="420" w:firstLineChars="100"/>
    </w:pPr>
  </w:style>
  <w:style w:type="paragraph" w:styleId="15">
    <w:name w:val="Body Text"/>
    <w:basedOn w:val="1"/>
    <w:qFormat/>
    <w:uiPriority w:val="0"/>
    <w:pPr>
      <w:spacing w:after="120"/>
    </w:pPr>
  </w:style>
  <w:style w:type="paragraph" w:styleId="1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qFormat/>
    <w:uiPriority w:val="0"/>
    <w:pPr>
      <w:ind w:firstLine="420" w:firstLineChars="200"/>
    </w:pPr>
  </w:style>
  <w:style w:type="paragraph" w:styleId="18">
    <w:name w:val="Document Map"/>
    <w:basedOn w:val="1"/>
    <w:link w:val="56"/>
    <w:qFormat/>
    <w:uiPriority w:val="0"/>
    <w:pPr>
      <w:shd w:val="clear" w:color="auto" w:fill="000080"/>
    </w:pPr>
  </w:style>
  <w:style w:type="paragraph" w:styleId="19">
    <w:name w:val="Body Text 3"/>
    <w:basedOn w:val="1"/>
    <w:qFormat/>
    <w:uiPriority w:val="0"/>
    <w:pPr>
      <w:spacing w:after="120"/>
    </w:pPr>
    <w:rPr>
      <w:sz w:val="16"/>
      <w:szCs w:val="16"/>
    </w:rPr>
  </w:style>
  <w:style w:type="paragraph" w:styleId="20">
    <w:name w:val="Body Text Indent"/>
    <w:basedOn w:val="1"/>
    <w:qFormat/>
    <w:uiPriority w:val="0"/>
    <w:pPr>
      <w:spacing w:after="120"/>
      <w:ind w:left="420" w:leftChars="200"/>
    </w:pPr>
  </w:style>
  <w:style w:type="paragraph" w:styleId="21">
    <w:name w:val="toc 5"/>
    <w:basedOn w:val="1"/>
    <w:next w:val="1"/>
    <w:qFormat/>
    <w:uiPriority w:val="0"/>
    <w:pPr>
      <w:adjustRightInd/>
      <w:spacing w:line="240" w:lineRule="auto"/>
      <w:ind w:left="840"/>
      <w:textAlignment w:val="auto"/>
    </w:pPr>
    <w:rPr>
      <w:kern w:val="2"/>
      <w:sz w:val="21"/>
      <w:szCs w:val="21"/>
    </w:rPr>
  </w:style>
  <w:style w:type="paragraph" w:styleId="22">
    <w:name w:val="toc 3"/>
    <w:basedOn w:val="1"/>
    <w:next w:val="1"/>
    <w:qFormat/>
    <w:uiPriority w:val="39"/>
    <w:pPr>
      <w:adjustRightInd/>
      <w:spacing w:line="240" w:lineRule="auto"/>
      <w:ind w:left="420"/>
      <w:textAlignment w:val="auto"/>
    </w:pPr>
    <w:rPr>
      <w:i/>
      <w:iCs/>
      <w:kern w:val="2"/>
      <w:sz w:val="21"/>
      <w:szCs w:val="24"/>
    </w:rPr>
  </w:style>
  <w:style w:type="paragraph" w:styleId="23">
    <w:name w:val="Plain Text"/>
    <w:basedOn w:val="1"/>
    <w:link w:val="58"/>
    <w:qFormat/>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qFormat/>
    <w:uiPriority w:val="0"/>
    <w:pPr>
      <w:adjustRightInd/>
      <w:spacing w:line="240" w:lineRule="auto"/>
      <w:ind w:left="1470"/>
      <w:textAlignment w:val="auto"/>
    </w:pPr>
    <w:rPr>
      <w:kern w:val="2"/>
      <w:sz w:val="21"/>
      <w:szCs w:val="21"/>
    </w:rPr>
  </w:style>
  <w:style w:type="paragraph" w:styleId="25">
    <w:name w:val="Date"/>
    <w:basedOn w:val="1"/>
    <w:next w:val="1"/>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qFormat/>
    <w:uiPriority w:val="0"/>
    <w:rPr>
      <w:sz w:val="18"/>
      <w:szCs w:val="18"/>
    </w:rPr>
  </w:style>
  <w:style w:type="paragraph" w:styleId="28">
    <w:name w:val="footer"/>
    <w:basedOn w:val="1"/>
    <w:link w:val="63"/>
    <w:qFormat/>
    <w:uiPriority w:val="99"/>
    <w:pPr>
      <w:tabs>
        <w:tab w:val="center" w:pos="4153"/>
        <w:tab w:val="right" w:pos="8306"/>
      </w:tabs>
      <w:spacing w:line="240" w:lineRule="atLeast"/>
    </w:pPr>
    <w:rPr>
      <w:sz w:val="18"/>
    </w:rPr>
  </w:style>
  <w:style w:type="paragraph" w:styleId="29">
    <w:name w:val="header"/>
    <w:basedOn w:val="1"/>
    <w:link w:val="50"/>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0"/>
  </w:style>
  <w:style w:type="paragraph" w:styleId="31">
    <w:name w:val="toc 4"/>
    <w:basedOn w:val="1"/>
    <w:next w:val="1"/>
    <w:qFormat/>
    <w:uiPriority w:val="0"/>
    <w:pPr>
      <w:adjustRightInd/>
      <w:spacing w:line="240" w:lineRule="auto"/>
      <w:ind w:left="630"/>
      <w:textAlignment w:val="auto"/>
    </w:pPr>
    <w:rPr>
      <w:kern w:val="2"/>
      <w:sz w:val="21"/>
      <w:szCs w:val="21"/>
    </w:rPr>
  </w:style>
  <w:style w:type="paragraph" w:styleId="32">
    <w:name w:val="footnote text"/>
    <w:basedOn w:val="1"/>
    <w:qFormat/>
    <w:uiPriority w:val="0"/>
    <w:pPr>
      <w:spacing w:line="312" w:lineRule="atLeast"/>
    </w:pPr>
    <w:rPr>
      <w:kern w:val="2"/>
      <w:sz w:val="18"/>
      <w:szCs w:val="18"/>
    </w:rPr>
  </w:style>
  <w:style w:type="paragraph" w:styleId="33">
    <w:name w:val="toc 6"/>
    <w:basedOn w:val="1"/>
    <w:next w:val="1"/>
    <w:qFormat/>
    <w:uiPriority w:val="0"/>
    <w:pPr>
      <w:adjustRightInd/>
      <w:spacing w:line="240" w:lineRule="auto"/>
      <w:ind w:left="1050"/>
      <w:textAlignment w:val="auto"/>
    </w:pPr>
    <w:rPr>
      <w:kern w:val="2"/>
      <w:sz w:val="21"/>
      <w:szCs w:val="21"/>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adjustRightInd/>
      <w:spacing w:line="240" w:lineRule="auto"/>
      <w:ind w:left="1680"/>
      <w:textAlignment w:val="auto"/>
    </w:pPr>
    <w:rPr>
      <w:kern w:val="2"/>
      <w:sz w:val="21"/>
      <w:szCs w:val="21"/>
    </w:rPr>
  </w:style>
  <w:style w:type="paragraph" w:styleId="37">
    <w:name w:val="Body Text 2"/>
    <w:basedOn w:val="1"/>
    <w:qFormat/>
    <w:uiPriority w:val="0"/>
    <w:pPr>
      <w:spacing w:after="120" w:line="480" w:lineRule="auto"/>
    </w:pPr>
  </w:style>
  <w:style w:type="paragraph" w:styleId="38">
    <w:name w:val="HTML Preformatted"/>
    <w:basedOn w:val="1"/>
    <w:link w:val="1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paragraph" w:styleId="39">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1">
    <w:name w:val="Strong"/>
    <w:qFormat/>
    <w:uiPriority w:val="0"/>
    <w:rPr>
      <w:b/>
    </w:rPr>
  </w:style>
  <w:style w:type="character" w:styleId="42">
    <w:name w:val="page number"/>
    <w:basedOn w:val="40"/>
    <w:qFormat/>
    <w:uiPriority w:val="0"/>
  </w:style>
  <w:style w:type="character" w:styleId="43">
    <w:name w:val="Emphasis"/>
    <w:qFormat/>
    <w:uiPriority w:val="0"/>
    <w:rPr>
      <w:color w:val="CC0000"/>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7">
    <w:name w:val="Char Char6"/>
    <w:qFormat/>
    <w:uiPriority w:val="0"/>
    <w:rPr>
      <w:rFonts w:ascii="宋体" w:hAnsi="Courier New" w:eastAsia="宋体"/>
      <w:kern w:val="2"/>
      <w:sz w:val="21"/>
      <w:lang w:val="en-US" w:eastAsia="zh-CN" w:bidi="ar-SA"/>
    </w:rPr>
  </w:style>
  <w:style w:type="character" w:customStyle="1" w:styleId="48">
    <w:name w:val="case31"/>
    <w:qFormat/>
    <w:uiPriority w:val="0"/>
    <w:rPr>
      <w:rFonts w:ascii="ˎ̥" w:hAnsi="ˎ̥" w:eastAsia="宋体"/>
      <w:sz w:val="24"/>
      <w:szCs w:val="24"/>
    </w:rPr>
  </w:style>
  <w:style w:type="character" w:customStyle="1" w:styleId="49">
    <w:name w:val="px_10"/>
    <w:basedOn w:val="40"/>
    <w:qFormat/>
    <w:uiPriority w:val="0"/>
  </w:style>
  <w:style w:type="character" w:customStyle="1" w:styleId="50">
    <w:name w:val="页眉 Char"/>
    <w:link w:val="29"/>
    <w:qFormat/>
    <w:uiPriority w:val="0"/>
    <w:rPr>
      <w:rFonts w:eastAsia="宋体"/>
      <w:sz w:val="18"/>
      <w:lang w:val="en-US" w:eastAsia="zh-CN" w:bidi="ar-SA"/>
    </w:rPr>
  </w:style>
  <w:style w:type="character" w:customStyle="1" w:styleId="51">
    <w:name w:val="style591"/>
    <w:qFormat/>
    <w:uiPriority w:val="0"/>
    <w:rPr>
      <w:rFonts w:hint="default" w:ascii="Arial" w:hAnsi="Arial"/>
      <w:sz w:val="18"/>
      <w:u w:val="none"/>
    </w:rPr>
  </w:style>
  <w:style w:type="character" w:customStyle="1" w:styleId="52">
    <w:name w:val="style551"/>
    <w:qFormat/>
    <w:uiPriority w:val="0"/>
    <w:rPr>
      <w:rFonts w:hint="default" w:ascii="Arial" w:hAnsi="Arial"/>
      <w:color w:val="333333"/>
      <w:sz w:val="18"/>
    </w:rPr>
  </w:style>
  <w:style w:type="character" w:customStyle="1" w:styleId="53">
    <w:name w:val="正文文本 Char Char"/>
    <w:qFormat/>
    <w:uiPriority w:val="0"/>
    <w:rPr>
      <w:rFonts w:eastAsia="宋体"/>
      <w:kern w:val="2"/>
      <w:sz w:val="24"/>
      <w:szCs w:val="24"/>
      <w:lang w:val="en-US" w:eastAsia="zh-CN" w:bidi="ar-SA"/>
    </w:rPr>
  </w:style>
  <w:style w:type="character" w:customStyle="1" w:styleId="54">
    <w:name w:val="标题 1 Char"/>
    <w:link w:val="2"/>
    <w:qFormat/>
    <w:uiPriority w:val="0"/>
    <w:rPr>
      <w:b/>
      <w:bCs/>
      <w:kern w:val="44"/>
      <w:sz w:val="44"/>
      <w:szCs w:val="44"/>
    </w:rPr>
  </w:style>
  <w:style w:type="character" w:customStyle="1" w:styleId="55">
    <w:name w:val="Char Char15"/>
    <w:qFormat/>
    <w:uiPriority w:val="0"/>
    <w:rPr>
      <w:rFonts w:eastAsia="宋体"/>
      <w:sz w:val="18"/>
      <w:lang w:val="en-US" w:eastAsia="zh-CN" w:bidi="ar-SA"/>
    </w:rPr>
  </w:style>
  <w:style w:type="character" w:customStyle="1" w:styleId="56">
    <w:name w:val="文档结构图 Char"/>
    <w:link w:val="18"/>
    <w:qFormat/>
    <w:uiPriority w:val="0"/>
    <w:rPr>
      <w:rFonts w:eastAsia="宋体"/>
      <w:sz w:val="24"/>
      <w:lang w:val="en-US" w:eastAsia="zh-CN" w:bidi="ar-SA"/>
    </w:rPr>
  </w:style>
  <w:style w:type="character" w:customStyle="1" w:styleId="57">
    <w:name w:val="标题 8 Char"/>
    <w:link w:val="9"/>
    <w:qFormat/>
    <w:uiPriority w:val="0"/>
    <w:rPr>
      <w:rFonts w:ascii="Arial" w:hAnsi="Arial" w:eastAsia="黑体"/>
      <w:sz w:val="24"/>
      <w:szCs w:val="24"/>
    </w:rPr>
  </w:style>
  <w:style w:type="character" w:customStyle="1" w:styleId="58">
    <w:name w:val="纯文本 Char"/>
    <w:link w:val="23"/>
    <w:qFormat/>
    <w:uiPriority w:val="0"/>
    <w:rPr>
      <w:rFonts w:ascii="宋体" w:hAnsi="Courier New" w:eastAsia="宋体"/>
      <w:kern w:val="2"/>
      <w:sz w:val="21"/>
      <w:szCs w:val="21"/>
      <w:lang w:val="en-US" w:eastAsia="zh-CN" w:bidi="ar-SA"/>
    </w:rPr>
  </w:style>
  <w:style w:type="character" w:customStyle="1" w:styleId="59">
    <w:name w:val="标题 9 Char"/>
    <w:link w:val="10"/>
    <w:qFormat/>
    <w:uiPriority w:val="0"/>
    <w:rPr>
      <w:rFonts w:ascii="Arial" w:hAnsi="Arial" w:eastAsia="黑体"/>
      <w:sz w:val="21"/>
      <w:szCs w:val="21"/>
    </w:rPr>
  </w:style>
  <w:style w:type="character" w:customStyle="1" w:styleId="60">
    <w:name w:val="标题 6 Char"/>
    <w:link w:val="7"/>
    <w:qFormat/>
    <w:uiPriority w:val="0"/>
    <w:rPr>
      <w:rFonts w:ascii="Arial" w:hAnsi="Arial" w:eastAsia="黑体"/>
      <w:b/>
      <w:bCs/>
      <w:sz w:val="24"/>
      <w:szCs w:val="24"/>
    </w:rPr>
  </w:style>
  <w:style w:type="character" w:customStyle="1" w:styleId="61">
    <w:name w:val="正文首行缩进 Char"/>
    <w:link w:val="14"/>
    <w:qFormat/>
    <w:uiPriority w:val="0"/>
    <w:rPr>
      <w:rFonts w:eastAsia="宋体"/>
      <w:sz w:val="24"/>
      <w:lang w:val="en-US" w:eastAsia="zh-CN" w:bidi="ar-SA"/>
    </w:rPr>
  </w:style>
  <w:style w:type="character" w:customStyle="1" w:styleId="62">
    <w:name w:val="标题 5 Char"/>
    <w:link w:val="6"/>
    <w:qFormat/>
    <w:uiPriority w:val="0"/>
    <w:rPr>
      <w:b/>
      <w:bCs/>
      <w:sz w:val="28"/>
      <w:szCs w:val="28"/>
    </w:rPr>
  </w:style>
  <w:style w:type="character" w:customStyle="1" w:styleId="63">
    <w:name w:val="页脚 Char"/>
    <w:link w:val="28"/>
    <w:qFormat/>
    <w:uiPriority w:val="99"/>
    <w:rPr>
      <w:rFonts w:eastAsia="宋体"/>
      <w:sz w:val="18"/>
      <w:lang w:val="en-US" w:eastAsia="zh-CN" w:bidi="ar-SA"/>
    </w:rPr>
  </w:style>
  <w:style w:type="character" w:customStyle="1" w:styleId="64">
    <w:name w:val="标题 3 Char"/>
    <w:link w:val="4"/>
    <w:qFormat/>
    <w:uiPriority w:val="9"/>
    <w:rPr>
      <w:rFonts w:eastAsia="宋体"/>
      <w:b/>
      <w:bCs/>
      <w:sz w:val="32"/>
      <w:szCs w:val="32"/>
      <w:lang w:val="en-US" w:eastAsia="zh-CN" w:bidi="ar-SA"/>
    </w:rPr>
  </w:style>
  <w:style w:type="character" w:customStyle="1" w:styleId="65">
    <w:name w:val="标题 4 Char"/>
    <w:link w:val="5"/>
    <w:qFormat/>
    <w:uiPriority w:val="9"/>
    <w:rPr>
      <w:rFonts w:ascii="Arial" w:hAnsi="Arial" w:eastAsia="黑体"/>
      <w:b/>
      <w:bCs/>
      <w:sz w:val="28"/>
      <w:szCs w:val="28"/>
      <w:lang w:val="en-US" w:eastAsia="zh-CN" w:bidi="ar-SA"/>
    </w:rPr>
  </w:style>
  <w:style w:type="character" w:customStyle="1" w:styleId="66">
    <w:name w:val="标题 2 Char"/>
    <w:link w:val="3"/>
    <w:qFormat/>
    <w:uiPriority w:val="9"/>
    <w:rPr>
      <w:rFonts w:ascii="Arial" w:hAnsi="Arial" w:eastAsia="黑体"/>
      <w:b/>
      <w:bCs/>
      <w:sz w:val="32"/>
      <w:szCs w:val="32"/>
      <w:lang w:val="en-US" w:eastAsia="zh-CN" w:bidi="ar-SA"/>
    </w:rPr>
  </w:style>
  <w:style w:type="character" w:customStyle="1" w:styleId="67">
    <w:name w:val="标题 7 Char"/>
    <w:link w:val="8"/>
    <w:qFormat/>
    <w:uiPriority w:val="0"/>
    <w:rPr>
      <w:b/>
      <w:bCs/>
      <w:sz w:val="24"/>
      <w:szCs w:val="24"/>
    </w:rPr>
  </w:style>
  <w:style w:type="paragraph" w:customStyle="1" w:styleId="68">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69">
    <w:name w:val="图标题"/>
    <w:basedOn w:val="1"/>
    <w:qFormat/>
    <w:uiPriority w:val="0"/>
    <w:pPr>
      <w:numPr>
        <w:ilvl w:val="8"/>
        <w:numId w:val="2"/>
      </w:numPr>
    </w:pPr>
  </w:style>
  <w:style w:type="paragraph" w:customStyle="1" w:styleId="70">
    <w:name w:val="Car Car"/>
    <w:basedOn w:val="1"/>
    <w:qFormat/>
    <w:uiPriority w:val="0"/>
    <w:pPr>
      <w:adjustRightInd/>
      <w:spacing w:line="240" w:lineRule="auto"/>
      <w:jc w:val="both"/>
      <w:textAlignment w:val="auto"/>
    </w:pPr>
    <w:rPr>
      <w:rFonts w:ascii="Tahoma" w:hAnsi="Tahoma"/>
      <w:kern w:val="2"/>
    </w:rPr>
  </w:style>
  <w:style w:type="paragraph" w:customStyle="1" w:styleId="71">
    <w:name w:val="Body Text Indent 21"/>
    <w:basedOn w:val="1"/>
    <w:qFormat/>
    <w:uiPriority w:val="0"/>
    <w:pPr>
      <w:spacing w:line="240" w:lineRule="auto"/>
      <w:ind w:left="720" w:hanging="720"/>
      <w:jc w:val="both"/>
    </w:pPr>
    <w:rPr>
      <w:b/>
      <w:kern w:val="2"/>
      <w:sz w:val="28"/>
    </w:rPr>
  </w:style>
  <w:style w:type="paragraph" w:customStyle="1" w:styleId="72">
    <w:name w:val="样式 标题 4 + 段前: 5 磅 段后: 5 磅 行距: 单倍行距"/>
    <w:basedOn w:val="5"/>
    <w:qFormat/>
    <w:uiPriority w:val="0"/>
    <w:pPr>
      <w:spacing w:before="100" w:after="100" w:line="240" w:lineRule="auto"/>
    </w:pPr>
    <w:rPr>
      <w:rFonts w:cs="宋体"/>
      <w:szCs w:val="20"/>
    </w:rPr>
  </w:style>
  <w:style w:type="paragraph" w:customStyle="1" w:styleId="73">
    <w:name w:val="样式 样式 标题 4 + 段前: 5 磅 段后: 5 磅 行距: 单倍行距 + 五号"/>
    <w:basedOn w:val="72"/>
    <w:qFormat/>
    <w:uiPriority w:val="0"/>
    <w:rPr>
      <w:sz w:val="21"/>
    </w:rPr>
  </w:style>
  <w:style w:type="paragraph" w:customStyle="1" w:styleId="74">
    <w:name w:val="样式 宋体 五号 两端对齐 行距: 单倍行距1"/>
    <w:basedOn w:val="1"/>
    <w:qFormat/>
    <w:uiPriority w:val="0"/>
    <w:pPr>
      <w:spacing w:line="240" w:lineRule="auto"/>
      <w:jc w:val="both"/>
    </w:pPr>
    <w:rPr>
      <w:rFonts w:ascii="宋体" w:hAnsi="宋体" w:cs="宋体"/>
      <w:sz w:val="21"/>
    </w:rPr>
  </w:style>
  <w:style w:type="paragraph" w:customStyle="1" w:styleId="75">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76">
    <w:name w:val="样式 标题 5 + 段前: 5 磅 段后: 5 磅 行距: 单倍行距"/>
    <w:basedOn w:val="6"/>
    <w:qFormat/>
    <w:uiPriority w:val="0"/>
    <w:pPr>
      <w:spacing w:before="100" w:after="100" w:line="240" w:lineRule="auto"/>
    </w:pPr>
    <w:rPr>
      <w:rFonts w:cs="宋体"/>
      <w:szCs w:val="20"/>
    </w:rPr>
  </w:style>
  <w:style w:type="paragraph" w:customStyle="1" w:styleId="77">
    <w:name w:val="Body Text 21"/>
    <w:basedOn w:val="1"/>
    <w:qFormat/>
    <w:uiPriority w:val="0"/>
    <w:pPr>
      <w:spacing w:before="240" w:line="400" w:lineRule="exact"/>
      <w:ind w:firstLine="357"/>
      <w:jc w:val="both"/>
    </w:pPr>
    <w:rPr>
      <w:kern w:val="2"/>
      <w:sz w:val="28"/>
    </w:rPr>
  </w:style>
  <w:style w:type="paragraph" w:customStyle="1" w:styleId="78">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9">
    <w:name w:val="PMstyle"/>
    <w:qFormat/>
    <w:uiPriority w:val="0"/>
    <w:rPr>
      <w:rFonts w:ascii="Tahoma" w:hAnsi="Tahoma" w:eastAsia="宋体" w:cs="Times New Roman"/>
      <w:sz w:val="22"/>
      <w:lang w:val="en-US" w:eastAsia="zh-CN" w:bidi="ar-SA"/>
    </w:rPr>
  </w:style>
  <w:style w:type="paragraph" w:customStyle="1" w:styleId="80">
    <w:name w:val="纯文本1"/>
    <w:basedOn w:val="1"/>
    <w:qFormat/>
    <w:uiPriority w:val="0"/>
    <w:rPr>
      <w:rFonts w:ascii="宋体" w:hAnsi="Courier New"/>
      <w:kern w:val="2"/>
      <w:sz w:val="21"/>
      <w:szCs w:val="21"/>
    </w:rPr>
  </w:style>
  <w:style w:type="paragraph" w:customStyle="1" w:styleId="81">
    <w:name w:val="纯文本11"/>
    <w:basedOn w:val="1"/>
    <w:qFormat/>
    <w:uiPriority w:val="0"/>
    <w:rPr>
      <w:rFonts w:ascii="宋体" w:hAnsi="Courier New" w:cs="宋体"/>
      <w:szCs w:val="21"/>
    </w:rPr>
  </w:style>
  <w:style w:type="paragraph" w:customStyle="1" w:styleId="82">
    <w:name w:val="样式 样式 样式 样式 标题 2 + 宋体 五号 非加粗 黑色 + 段前: 6 磅 段后: 0 磅 行距: 单倍行距 + 段前:..."/>
    <w:basedOn w:val="83"/>
    <w:qFormat/>
    <w:uiPriority w:val="0"/>
    <w:rPr>
      <w:b/>
      <w:bCs/>
    </w:rPr>
  </w:style>
  <w:style w:type="paragraph" w:customStyle="1" w:styleId="83">
    <w:name w:val="样式 样式 样式 标题 2 + 宋体 五号 非加粗 黑色 + 段前: 6 磅 段后: 0 磅 行距: 单倍行距 + 段前: 12..."/>
    <w:basedOn w:val="84"/>
    <w:qFormat/>
    <w:uiPriority w:val="0"/>
    <w:pPr>
      <w:spacing w:before="240"/>
    </w:pPr>
  </w:style>
  <w:style w:type="paragraph" w:customStyle="1" w:styleId="84">
    <w:name w:val="样式 样式 标题 2 + 宋体 五号 非加粗 黑色 + 段前: 6 磅 段后: 0 磅 行距: 单倍行距"/>
    <w:basedOn w:val="85"/>
    <w:qFormat/>
    <w:uiPriority w:val="0"/>
    <w:pPr>
      <w:spacing w:before="120" w:after="0" w:line="240" w:lineRule="auto"/>
    </w:pPr>
    <w:rPr>
      <w:rFonts w:cs="宋体"/>
      <w:szCs w:val="20"/>
    </w:rPr>
  </w:style>
  <w:style w:type="paragraph" w:customStyle="1" w:styleId="85">
    <w:name w:val="样式 标题 2 + 宋体 五号 非加粗 黑色"/>
    <w:basedOn w:val="3"/>
    <w:qFormat/>
    <w:uiPriority w:val="0"/>
    <w:rPr>
      <w:rFonts w:ascii="宋体" w:hAnsi="宋体" w:eastAsia="宋体"/>
      <w:b w:val="0"/>
      <w:bCs w:val="0"/>
      <w:color w:val="000000"/>
      <w:sz w:val="21"/>
    </w:rPr>
  </w:style>
  <w:style w:type="paragraph" w:customStyle="1" w:styleId="86">
    <w:name w:val="PMletterText"/>
    <w:basedOn w:val="79"/>
    <w:qFormat/>
    <w:uiPriority w:val="0"/>
    <w:pPr>
      <w:spacing w:before="240"/>
      <w:ind w:left="720"/>
    </w:pPr>
  </w:style>
  <w:style w:type="paragraph" w:customStyle="1" w:styleId="87">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88">
    <w:name w:val="7"/>
    <w:basedOn w:val="1"/>
    <w:next w:val="1"/>
    <w:qFormat/>
    <w:uiPriority w:val="0"/>
    <w:pPr>
      <w:adjustRightInd/>
      <w:spacing w:line="240" w:lineRule="auto"/>
      <w:jc w:val="both"/>
      <w:textAlignment w:val="auto"/>
    </w:pPr>
    <w:rPr>
      <w:kern w:val="2"/>
      <w:sz w:val="21"/>
      <w:szCs w:val="24"/>
    </w:rPr>
  </w:style>
  <w:style w:type="paragraph" w:customStyle="1" w:styleId="89">
    <w:name w:val="正文文本缩进1"/>
    <w:basedOn w:val="1"/>
    <w:qFormat/>
    <w:uiPriority w:val="0"/>
    <w:pPr>
      <w:snapToGrid w:val="0"/>
      <w:spacing w:line="312" w:lineRule="auto"/>
      <w:ind w:firstLine="480" w:firstLineChars="200"/>
    </w:pPr>
    <w:rPr>
      <w:rFonts w:ascii="宋体" w:hAnsi="宋体"/>
      <w:szCs w:val="24"/>
    </w:rPr>
  </w:style>
  <w:style w:type="paragraph" w:customStyle="1" w:styleId="90">
    <w:name w:val="样式2"/>
    <w:basedOn w:val="1"/>
    <w:qFormat/>
    <w:uiPriority w:val="0"/>
    <w:pPr>
      <w:numPr>
        <w:ilvl w:val="1"/>
        <w:numId w:val="3"/>
      </w:numPr>
      <w:spacing w:line="240" w:lineRule="auto"/>
      <w:jc w:val="both"/>
    </w:pPr>
    <w:rPr>
      <w:rFonts w:ascii="宋体" w:hAnsi="宋体"/>
      <w:sz w:val="21"/>
      <w:szCs w:val="21"/>
    </w:rPr>
  </w:style>
  <w:style w:type="paragraph" w:customStyle="1" w:styleId="91">
    <w:name w:val="表格"/>
    <w:basedOn w:val="1"/>
    <w:qFormat/>
    <w:uiPriority w:val="0"/>
    <w:pPr>
      <w:adjustRightInd/>
      <w:spacing w:line="240" w:lineRule="auto"/>
      <w:textAlignment w:val="auto"/>
    </w:pPr>
    <w:rPr>
      <w:kern w:val="2"/>
      <w:sz w:val="18"/>
      <w:szCs w:val="24"/>
    </w:rPr>
  </w:style>
  <w:style w:type="paragraph" w:customStyle="1" w:styleId="92">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93">
    <w:name w:val="样式1"/>
    <w:basedOn w:val="1"/>
    <w:qFormat/>
    <w:uiPriority w:val="0"/>
    <w:pPr>
      <w:numPr>
        <w:ilvl w:val="0"/>
        <w:numId w:val="4"/>
      </w:numPr>
      <w:spacing w:line="240" w:lineRule="auto"/>
      <w:jc w:val="both"/>
    </w:pPr>
    <w:rPr>
      <w:rFonts w:ascii="宋体" w:hAnsi="宋体"/>
      <w:sz w:val="21"/>
      <w:szCs w:val="21"/>
    </w:rPr>
  </w:style>
  <w:style w:type="paragraph" w:customStyle="1" w:styleId="94">
    <w:name w:val="正文3"/>
    <w:basedOn w:val="1"/>
    <w:qFormat/>
    <w:uiPriority w:val="0"/>
    <w:pPr>
      <w:adjustRightInd/>
      <w:spacing w:before="60" w:after="60" w:line="360" w:lineRule="auto"/>
      <w:jc w:val="both"/>
      <w:textAlignment w:val="auto"/>
      <w:outlineLvl w:val="8"/>
    </w:pPr>
    <w:rPr>
      <w:kern w:val="2"/>
      <w:szCs w:val="21"/>
    </w:rPr>
  </w:style>
  <w:style w:type="paragraph" w:customStyle="1" w:styleId="95">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96">
    <w:name w:val="列出段落1"/>
    <w:basedOn w:val="1"/>
    <w:qFormat/>
    <w:uiPriority w:val="34"/>
    <w:pPr>
      <w:ind w:firstLine="200" w:firstLineChars="200"/>
    </w:pPr>
    <w:rPr>
      <w:kern w:val="2"/>
      <w:sz w:val="21"/>
      <w:szCs w:val="21"/>
    </w:rPr>
  </w:style>
  <w:style w:type="paragraph" w:customStyle="1" w:styleId="97">
    <w:name w:val="样式 宋体 五号 行距: 单倍行距"/>
    <w:basedOn w:val="1"/>
    <w:qFormat/>
    <w:uiPriority w:val="0"/>
    <w:pPr>
      <w:spacing w:line="240" w:lineRule="auto"/>
    </w:pPr>
    <w:rPr>
      <w:rFonts w:ascii="宋体" w:hAnsi="宋体" w:cs="宋体"/>
      <w:sz w:val="21"/>
    </w:rPr>
  </w:style>
  <w:style w:type="paragraph" w:customStyle="1" w:styleId="98">
    <w:name w:val="BankNormal"/>
    <w:basedOn w:val="1"/>
    <w:qFormat/>
    <w:uiPriority w:val="0"/>
    <w:pPr>
      <w:adjustRightInd/>
      <w:spacing w:line="312" w:lineRule="atLeast"/>
      <w:jc w:val="both"/>
      <w:textAlignment w:val="auto"/>
    </w:pPr>
    <w:rPr>
      <w:kern w:val="2"/>
      <w:sz w:val="21"/>
      <w:szCs w:val="24"/>
    </w:rPr>
  </w:style>
  <w:style w:type="paragraph" w:customStyle="1" w:styleId="99">
    <w:name w:val="1 Char Char Char Char"/>
    <w:basedOn w:val="1"/>
    <w:qFormat/>
    <w:uiPriority w:val="0"/>
    <w:pPr>
      <w:adjustRightInd/>
      <w:spacing w:line="240" w:lineRule="auto"/>
      <w:jc w:val="both"/>
      <w:textAlignment w:val="auto"/>
    </w:pPr>
    <w:rPr>
      <w:kern w:val="2"/>
      <w:sz w:val="21"/>
    </w:rPr>
  </w:style>
  <w:style w:type="paragraph" w:customStyle="1" w:styleId="100">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101">
    <w:name w:val="Char Char Char"/>
    <w:basedOn w:val="1"/>
    <w:qFormat/>
    <w:uiPriority w:val="0"/>
    <w:pPr>
      <w:adjustRightInd/>
      <w:spacing w:line="240" w:lineRule="auto"/>
      <w:jc w:val="both"/>
      <w:textAlignment w:val="auto"/>
    </w:pPr>
    <w:rPr>
      <w:rFonts w:ascii="Tahoma" w:hAnsi="Tahoma"/>
      <w:kern w:val="2"/>
    </w:rPr>
  </w:style>
  <w:style w:type="paragraph" w:customStyle="1" w:styleId="102">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103">
    <w:name w:val="样式 宋体 五号 两端对齐 行距: 单倍行距"/>
    <w:basedOn w:val="1"/>
    <w:qFormat/>
    <w:uiPriority w:val="0"/>
    <w:pPr>
      <w:spacing w:line="240" w:lineRule="auto"/>
      <w:jc w:val="both"/>
    </w:pPr>
    <w:rPr>
      <w:rFonts w:ascii="宋体" w:hAnsi="宋体" w:cs="宋体"/>
      <w:sz w:val="21"/>
    </w:rPr>
  </w:style>
  <w:style w:type="paragraph" w:customStyle="1" w:styleId="104">
    <w:name w:val="Char"/>
    <w:basedOn w:val="1"/>
    <w:qFormat/>
    <w:uiPriority w:val="0"/>
    <w:pPr>
      <w:tabs>
        <w:tab w:val="left" w:pos="432"/>
      </w:tabs>
      <w:spacing w:line="240" w:lineRule="auto"/>
      <w:ind w:left="432" w:hanging="432"/>
    </w:pPr>
    <w:rPr>
      <w:rFonts w:ascii="Tahoma" w:hAnsi="Tahoma"/>
      <w:kern w:val="2"/>
    </w:rPr>
  </w:style>
  <w:style w:type="paragraph" w:customStyle="1" w:styleId="105">
    <w:name w:val="Char Char Char Char Char Char"/>
    <w:basedOn w:val="1"/>
    <w:qFormat/>
    <w:uiPriority w:val="0"/>
    <w:pPr>
      <w:spacing w:line="360" w:lineRule="auto"/>
      <w:jc w:val="both"/>
      <w:textAlignment w:val="auto"/>
    </w:pPr>
    <w:rPr>
      <w:rFonts w:ascii="Calibri" w:hAnsi="Calibri"/>
    </w:rPr>
  </w:style>
  <w:style w:type="paragraph" w:customStyle="1" w:styleId="106">
    <w:name w:val="Default Text"/>
    <w:basedOn w:val="1"/>
    <w:qFormat/>
    <w:uiPriority w:val="0"/>
    <w:pPr>
      <w:widowControl/>
      <w:overflowPunct w:val="0"/>
      <w:autoSpaceDE w:val="0"/>
      <w:autoSpaceDN w:val="0"/>
      <w:spacing w:line="240" w:lineRule="auto"/>
    </w:pPr>
    <w:rPr>
      <w:rFonts w:eastAsia="仿宋_GB2312"/>
      <w:lang w:val="en-GB"/>
    </w:rPr>
  </w:style>
  <w:style w:type="paragraph" w:customStyle="1" w:styleId="107">
    <w:name w:val="样式 样式 标题 5 + 段前: 5 磅 段后: 5 磅 行距: 单倍行距 + 五号"/>
    <w:basedOn w:val="76"/>
    <w:qFormat/>
    <w:uiPriority w:val="0"/>
    <w:rPr>
      <w:sz w:val="21"/>
    </w:rPr>
  </w:style>
  <w:style w:type="paragraph" w:customStyle="1" w:styleId="108">
    <w:name w:val="heade"/>
    <w:basedOn w:val="1"/>
    <w:qFormat/>
    <w:uiPriority w:val="0"/>
    <w:pPr>
      <w:adjustRightInd/>
      <w:spacing w:line="312" w:lineRule="atLeast"/>
      <w:jc w:val="both"/>
      <w:textAlignment w:val="auto"/>
    </w:pPr>
    <w:rPr>
      <w:kern w:val="2"/>
      <w:sz w:val="21"/>
      <w:szCs w:val="24"/>
    </w:rPr>
  </w:style>
  <w:style w:type="paragraph" w:customStyle="1" w:styleId="109">
    <w:name w:val="样式8"/>
    <w:basedOn w:val="1"/>
    <w:next w:val="1"/>
    <w:qFormat/>
    <w:uiPriority w:val="0"/>
    <w:pPr>
      <w:widowControl/>
      <w:numPr>
        <w:ilvl w:val="1"/>
        <w:numId w:val="5"/>
      </w:numPr>
      <w:spacing w:beforeLines="50" w:afterLines="50" w:line="240" w:lineRule="auto"/>
      <w:outlineLvl w:val="1"/>
    </w:pPr>
    <w:rPr>
      <w:b/>
      <w:szCs w:val="24"/>
      <w:lang w:bidi="en-US"/>
    </w:rPr>
  </w:style>
  <w:style w:type="paragraph" w:customStyle="1" w:styleId="110">
    <w:name w:val="PMtextBullet"/>
    <w:basedOn w:val="79"/>
    <w:qFormat/>
    <w:uiPriority w:val="0"/>
    <w:pPr>
      <w:numPr>
        <w:ilvl w:val="0"/>
        <w:numId w:val="6"/>
      </w:numPr>
      <w:tabs>
        <w:tab w:val="left" w:pos="2520"/>
        <w:tab w:val="clear" w:pos="735"/>
      </w:tabs>
      <w:spacing w:after="200"/>
      <w:ind w:left="2520"/>
    </w:pPr>
  </w:style>
  <w:style w:type="paragraph" w:customStyle="1" w:styleId="111">
    <w:name w:val="正文2"/>
    <w:basedOn w:val="1"/>
    <w:qFormat/>
    <w:uiPriority w:val="0"/>
    <w:pPr>
      <w:adjustRightInd/>
      <w:spacing w:before="60" w:after="60" w:line="360" w:lineRule="auto"/>
      <w:jc w:val="both"/>
      <w:textAlignment w:val="auto"/>
      <w:outlineLvl w:val="7"/>
    </w:pPr>
    <w:rPr>
      <w:kern w:val="2"/>
      <w:szCs w:val="24"/>
    </w:rPr>
  </w:style>
  <w:style w:type="paragraph" w:customStyle="1" w:styleId="112">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113">
    <w:name w:val="PMletterTextBullet"/>
    <w:basedOn w:val="86"/>
    <w:qFormat/>
    <w:uiPriority w:val="0"/>
    <w:pPr>
      <w:numPr>
        <w:ilvl w:val="0"/>
        <w:numId w:val="7"/>
      </w:numPr>
      <w:tabs>
        <w:tab w:val="left" w:pos="1800"/>
        <w:tab w:val="clear" w:pos="735"/>
      </w:tabs>
      <w:ind w:left="1800"/>
    </w:pPr>
  </w:style>
  <w:style w:type="paragraph" w:customStyle="1" w:styleId="114">
    <w:name w:val="正文内容"/>
    <w:basedOn w:val="1"/>
    <w:link w:val="115"/>
    <w:qFormat/>
    <w:uiPriority w:val="0"/>
    <w:pPr>
      <w:adjustRightInd/>
      <w:spacing w:line="400" w:lineRule="exact"/>
      <w:ind w:firstLine="420" w:firstLineChars="200"/>
      <w:textAlignment w:val="auto"/>
    </w:pPr>
    <w:rPr>
      <w:rFonts w:asciiTheme="minorEastAsia" w:hAnsiTheme="minorEastAsia" w:eastAsiaTheme="minorEastAsia" w:cstheme="minorBidi"/>
      <w:kern w:val="2"/>
      <w:sz w:val="21"/>
      <w:szCs w:val="22"/>
    </w:rPr>
  </w:style>
  <w:style w:type="character" w:customStyle="1" w:styleId="115">
    <w:name w:val="正文内容 Char"/>
    <w:basedOn w:val="40"/>
    <w:link w:val="114"/>
    <w:qFormat/>
    <w:uiPriority w:val="0"/>
    <w:rPr>
      <w:rFonts w:asciiTheme="minorEastAsia" w:hAnsiTheme="minorEastAsia" w:eastAsiaTheme="minorEastAsia" w:cstheme="minorBidi"/>
      <w:kern w:val="2"/>
      <w:sz w:val="21"/>
      <w:szCs w:val="22"/>
    </w:rPr>
  </w:style>
  <w:style w:type="character" w:customStyle="1" w:styleId="116">
    <w:name w:val="批注文字 Char"/>
    <w:link w:val="12"/>
    <w:qFormat/>
    <w:uiPriority w:val="0"/>
    <w:rPr>
      <w:sz w:val="24"/>
    </w:rPr>
  </w:style>
  <w:style w:type="paragraph" w:customStyle="1" w:styleId="117">
    <w:name w:val="TOC 标题1"/>
    <w:basedOn w:val="2"/>
    <w:next w:val="1"/>
    <w:unhideWhenUsed/>
    <w:qFormat/>
    <w:uiPriority w:val="39"/>
    <w:pPr>
      <w:widowControl/>
      <w:numPr>
        <w:numId w:val="0"/>
      </w:numPr>
      <w:adjustRightInd/>
      <w:spacing w:before="240" w:after="0" w:line="259" w:lineRule="auto"/>
      <w:textAlignment w:val="auto"/>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118">
    <w:name w:val="HTML 预设格式 Char"/>
    <w:basedOn w:val="40"/>
    <w:link w:val="38"/>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si\Desktop\&#20869;&#25511;&#24314;&#35774;&#31454;&#20105;&#24615;&#30923;&#27169;&#26495;2017031413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D2054-F19A-40B4-B874-80AB0783B676}">
  <ds:schemaRefs/>
</ds:datastoreItem>
</file>

<file path=docProps/app.xml><?xml version="1.0" encoding="utf-8"?>
<Properties xmlns="http://schemas.openxmlformats.org/officeDocument/2006/extended-properties" xmlns:vt="http://schemas.openxmlformats.org/officeDocument/2006/docPropsVTypes">
  <Template>内控建设竞争性磋模板201703141356</Template>
  <Company>HYAS-GHOST-XP</Company>
  <Pages>38</Pages>
  <Words>4518</Words>
  <Characters>25754</Characters>
  <Lines>214</Lines>
  <Paragraphs>60</Paragraphs>
  <ScaleCrop>false</ScaleCrop>
  <LinksUpToDate>false</LinksUpToDate>
  <CharactersWithSpaces>30212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2017-07-07T05:55:00Z</dcterms:created>
  <dc:creator>zhousi</dc:creator>
  <cp:lastModifiedBy>闫帮峥</cp:lastModifiedBy>
  <cp:lastPrinted>2015-10-28T01:15:00Z</cp:lastPrinted>
  <dcterms:modified xsi:type="dcterms:W3CDTF">2018-01-05T09:56:18Z</dcterms:modified>
  <dc:title>招 标 文 件</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