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adjustRightInd/>
        <w:spacing w:line="240" w:lineRule="auto"/>
        <w:jc w:val="center"/>
        <w:textAlignment w:val="auto"/>
        <w:rPr>
          <w:b/>
          <w:bCs/>
          <w:kern w:val="2"/>
          <w:sz w:val="72"/>
          <w:szCs w:val="72"/>
        </w:rPr>
      </w:pPr>
      <w:r>
        <w:rPr>
          <w:rFonts w:hint="eastAsia"/>
          <w:b/>
          <w:bCs/>
          <w:kern w:val="2"/>
          <w:sz w:val="72"/>
          <w:szCs w:val="72"/>
        </w:rPr>
        <w:t>竞争性磋商文件</w:t>
      </w:r>
    </w:p>
    <w:p>
      <w:pPr>
        <w:pStyle w:val="92"/>
      </w:pPr>
    </w:p>
    <w:p>
      <w:pPr>
        <w:pStyle w:val="92"/>
      </w:pPr>
    </w:p>
    <w:p>
      <w:pPr>
        <w:pStyle w:val="92"/>
      </w:pPr>
    </w:p>
    <w:p>
      <w:pPr>
        <w:pStyle w:val="92"/>
      </w:pPr>
    </w:p>
    <w:p>
      <w:pPr>
        <w:pStyle w:val="92"/>
      </w:pPr>
    </w:p>
    <w:p>
      <w:pPr>
        <w:pStyle w:val="92"/>
      </w:pPr>
    </w:p>
    <w:p>
      <w:pPr>
        <w:pStyle w:val="92"/>
        <w:ind w:firstLine="482"/>
        <w:rPr>
          <w:b/>
          <w:bCs/>
          <w:sz w:val="24"/>
          <w:szCs w:val="24"/>
        </w:rPr>
      </w:pPr>
      <w:r>
        <w:rPr>
          <w:rFonts w:hint="eastAsia"/>
          <w:b/>
          <w:bCs/>
          <w:sz w:val="24"/>
          <w:szCs w:val="24"/>
        </w:rPr>
        <w:t>项目编号：</w:t>
      </w:r>
      <w:bookmarkStart w:id="0" w:name="项目编号"/>
      <w:r>
        <w:rPr>
          <w:b/>
          <w:bCs/>
          <w:sz w:val="24"/>
          <w:szCs w:val="24"/>
        </w:rPr>
        <w:t>JC-20</w:t>
      </w:r>
      <w:bookmarkEnd w:id="0"/>
      <w:r>
        <w:rPr>
          <w:b/>
          <w:bCs/>
          <w:sz w:val="24"/>
          <w:szCs w:val="24"/>
        </w:rPr>
        <w:t>17039</w:t>
      </w:r>
    </w:p>
    <w:p>
      <w:pPr>
        <w:pStyle w:val="92"/>
        <w:ind w:firstLine="482"/>
        <w:rPr>
          <w:b/>
          <w:bCs/>
          <w:sz w:val="24"/>
          <w:szCs w:val="24"/>
        </w:rPr>
      </w:pPr>
      <w:r>
        <w:rPr>
          <w:rFonts w:hint="eastAsia"/>
          <w:b/>
          <w:bCs/>
          <w:sz w:val="24"/>
          <w:szCs w:val="24"/>
        </w:rPr>
        <w:t>项目名称：</w:t>
      </w:r>
      <w:bookmarkStart w:id="1" w:name="项目名称"/>
      <w:r>
        <w:rPr>
          <w:rFonts w:hint="eastAsia"/>
          <w:b/>
          <w:bCs/>
          <w:sz w:val="24"/>
          <w:szCs w:val="24"/>
        </w:rPr>
        <w:t>中央财经大学后勤服务产业集团财务软件采购项目</w:t>
      </w:r>
      <w:bookmarkEnd w:id="1"/>
    </w:p>
    <w:p>
      <w:pPr>
        <w:pStyle w:val="92"/>
      </w:pPr>
    </w:p>
    <w:p>
      <w:pPr>
        <w:pStyle w:val="92"/>
      </w:pPr>
    </w:p>
    <w:p>
      <w:pPr>
        <w:pStyle w:val="92"/>
      </w:pPr>
    </w:p>
    <w:p>
      <w:pPr>
        <w:pStyle w:val="92"/>
      </w:pPr>
    </w:p>
    <w:p>
      <w:pPr>
        <w:pStyle w:val="92"/>
      </w:pPr>
    </w:p>
    <w:p>
      <w:pPr>
        <w:pStyle w:val="92"/>
      </w:pPr>
    </w:p>
    <w:p>
      <w:pPr>
        <w:pStyle w:val="92"/>
      </w:pPr>
    </w:p>
    <w:p>
      <w:pPr>
        <w:pStyle w:val="92"/>
      </w:pPr>
    </w:p>
    <w:p>
      <w:pPr>
        <w:pStyle w:val="92"/>
      </w:pPr>
    </w:p>
    <w:p>
      <w:pPr>
        <w:pStyle w:val="92"/>
      </w:pPr>
    </w:p>
    <w:p>
      <w:pPr>
        <w:pStyle w:val="92"/>
      </w:pPr>
    </w:p>
    <w:p>
      <w:pPr>
        <w:pStyle w:val="92"/>
        <w:jc w:val="center"/>
      </w:pPr>
      <w:r>
        <w:t>中央财经大学</w:t>
      </w:r>
    </w:p>
    <w:p>
      <w:pPr>
        <w:pStyle w:val="92"/>
        <w:jc w:val="center"/>
      </w:pPr>
      <w:r>
        <w:t>招标与采购事务中心</w:t>
      </w:r>
    </w:p>
    <w:p>
      <w:pPr>
        <w:pStyle w:val="92"/>
        <w:jc w:val="center"/>
        <w:sectPr>
          <w:footerReference r:id="rId5" w:type="first"/>
          <w:headerReference r:id="rId3" w:type="default"/>
          <w:footerReference r:id="rId4" w:type="default"/>
          <w:type w:val="continuous"/>
          <w:pgSz w:w="11909" w:h="16834"/>
          <w:pgMar w:top="1418" w:right="1418" w:bottom="1418" w:left="1559" w:header="851" w:footer="851" w:gutter="0"/>
          <w:pgNumType w:start="0"/>
          <w:cols w:space="720" w:num="1"/>
          <w:titlePg/>
        </w:sectPr>
      </w:pPr>
      <w:r>
        <w:t>二零一</w:t>
      </w:r>
      <w:r>
        <w:rPr>
          <w:rFonts w:hint="eastAsia"/>
        </w:rPr>
        <w:t>八</w:t>
      </w:r>
      <w:r>
        <w:t>年</w:t>
      </w:r>
    </w:p>
    <w:p>
      <w:pPr>
        <w:pStyle w:val="93"/>
        <w:jc w:val="center"/>
        <w:rPr>
          <w:rFonts w:ascii="Times New Roman" w:hAnsi="Times New Roman" w:cs="Times New Roman"/>
          <w:color w:val="auto"/>
          <w:kern w:val="2"/>
          <w:lang w:val="zh-CN"/>
        </w:rPr>
      </w:pPr>
      <w:bookmarkStart w:id="2" w:name="_Toc118717296"/>
      <w:bookmarkStart w:id="3" w:name="_Toc118599100"/>
      <w:bookmarkStart w:id="4" w:name="_Toc119738559"/>
      <w:r>
        <w:rPr>
          <w:rFonts w:ascii="Times New Roman" w:hAnsi="Times New Roman" w:cs="Times New Roman"/>
          <w:color w:val="auto"/>
          <w:kern w:val="2"/>
          <w:lang w:val="zh-CN"/>
        </w:rPr>
        <w:t>目  录</w:t>
      </w:r>
    </w:p>
    <w:p>
      <w:pPr>
        <w:pStyle w:val="35"/>
        <w:tabs>
          <w:tab w:val="right" w:leader="dot" w:pos="8922"/>
        </w:tabs>
        <w:ind w:left="480"/>
        <w:rPr>
          <w:rFonts w:ascii="Calibri" w:hAnsi="Calibri" w:cs="黑体"/>
          <w:kern w:val="2"/>
          <w:sz w:val="21"/>
          <w:szCs w:val="22"/>
        </w:rPr>
      </w:pPr>
      <w:r>
        <w:fldChar w:fldCharType="begin"/>
      </w:r>
      <w:r>
        <w:instrText xml:space="preserve"> TOC \o "1-3" \h \z \u </w:instrText>
      </w:r>
      <w:r>
        <w:fldChar w:fldCharType="separate"/>
      </w:r>
      <w:r>
        <w:fldChar w:fldCharType="begin"/>
      </w:r>
      <w:r>
        <w:instrText xml:space="preserve"> HYPERLINK \l "_Toc491372346" </w:instrText>
      </w:r>
      <w:r>
        <w:fldChar w:fldCharType="separate"/>
      </w:r>
      <w:r>
        <w:rPr>
          <w:rStyle w:val="43"/>
          <w:rFonts w:hint="eastAsia"/>
        </w:rPr>
        <w:t>第一部分</w:t>
      </w:r>
      <w:r>
        <w:rPr>
          <w:rStyle w:val="43"/>
        </w:rPr>
        <w:t xml:space="preserve">  </w:t>
      </w:r>
      <w:r>
        <w:rPr>
          <w:rStyle w:val="43"/>
          <w:rFonts w:hint="eastAsia"/>
        </w:rPr>
        <w:t>响应邀请</w:t>
      </w:r>
      <w:r>
        <w:tab/>
      </w:r>
      <w:r>
        <w:fldChar w:fldCharType="begin"/>
      </w:r>
      <w:r>
        <w:instrText xml:space="preserve"> PAGEREF _Toc491372346 \h </w:instrText>
      </w:r>
      <w:r>
        <w:fldChar w:fldCharType="separate"/>
      </w:r>
      <w:r>
        <w:t>1</w:t>
      </w:r>
      <w:r>
        <w:fldChar w:fldCharType="end"/>
      </w:r>
      <w:r>
        <w:fldChar w:fldCharType="end"/>
      </w:r>
    </w:p>
    <w:p>
      <w:pPr>
        <w:pStyle w:val="35"/>
        <w:tabs>
          <w:tab w:val="right" w:leader="dot" w:pos="8922"/>
        </w:tabs>
        <w:ind w:left="480"/>
        <w:rPr>
          <w:rFonts w:ascii="Calibri" w:hAnsi="Calibri" w:cs="黑体"/>
          <w:kern w:val="2"/>
          <w:sz w:val="21"/>
          <w:szCs w:val="22"/>
        </w:rPr>
      </w:pPr>
      <w:r>
        <w:fldChar w:fldCharType="begin"/>
      </w:r>
      <w:r>
        <w:instrText xml:space="preserve"> HYPERLINK \l "_Toc491372347" </w:instrText>
      </w:r>
      <w:r>
        <w:fldChar w:fldCharType="separate"/>
      </w:r>
      <w:r>
        <w:rPr>
          <w:rStyle w:val="43"/>
          <w:rFonts w:hint="eastAsia"/>
        </w:rPr>
        <w:t>第二部分</w:t>
      </w:r>
      <w:r>
        <w:rPr>
          <w:rStyle w:val="43"/>
        </w:rPr>
        <w:t xml:space="preserve">  </w:t>
      </w:r>
      <w:r>
        <w:rPr>
          <w:rStyle w:val="43"/>
          <w:rFonts w:hint="eastAsia"/>
        </w:rPr>
        <w:t>响应人须知前附表</w:t>
      </w:r>
      <w:r>
        <w:tab/>
      </w:r>
      <w:r>
        <w:fldChar w:fldCharType="begin"/>
      </w:r>
      <w:r>
        <w:instrText xml:space="preserve"> PAGEREF _Toc491372347 \h </w:instrText>
      </w:r>
      <w:r>
        <w:fldChar w:fldCharType="separate"/>
      </w:r>
      <w:r>
        <w:t>3</w:t>
      </w:r>
      <w:r>
        <w:fldChar w:fldCharType="end"/>
      </w:r>
      <w:r>
        <w:fldChar w:fldCharType="end"/>
      </w:r>
    </w:p>
    <w:p>
      <w:pPr>
        <w:pStyle w:val="35"/>
        <w:tabs>
          <w:tab w:val="right" w:leader="dot" w:pos="8922"/>
        </w:tabs>
        <w:ind w:left="480"/>
        <w:rPr>
          <w:rFonts w:ascii="Calibri" w:hAnsi="Calibri" w:cs="黑体"/>
          <w:kern w:val="2"/>
          <w:sz w:val="21"/>
          <w:szCs w:val="22"/>
        </w:rPr>
      </w:pPr>
      <w:r>
        <w:fldChar w:fldCharType="begin"/>
      </w:r>
      <w:r>
        <w:instrText xml:space="preserve"> HYPERLINK \l "_Toc491372348" </w:instrText>
      </w:r>
      <w:r>
        <w:fldChar w:fldCharType="separate"/>
      </w:r>
      <w:r>
        <w:rPr>
          <w:rStyle w:val="43"/>
          <w:rFonts w:hint="eastAsia"/>
        </w:rPr>
        <w:t>第三部分</w:t>
      </w:r>
      <w:r>
        <w:rPr>
          <w:rStyle w:val="43"/>
        </w:rPr>
        <w:t xml:space="preserve">  </w:t>
      </w:r>
      <w:r>
        <w:rPr>
          <w:rStyle w:val="43"/>
          <w:rFonts w:hint="eastAsia"/>
        </w:rPr>
        <w:t>响应人须知</w:t>
      </w:r>
      <w:r>
        <w:tab/>
      </w:r>
      <w:r>
        <w:fldChar w:fldCharType="begin"/>
      </w:r>
      <w:r>
        <w:instrText xml:space="preserve"> PAGEREF _Toc491372348 \h </w:instrText>
      </w:r>
      <w:r>
        <w:fldChar w:fldCharType="separate"/>
      </w:r>
      <w:r>
        <w:t>7</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"_Toc491372349" </w:instrText>
      </w:r>
      <w:r>
        <w:fldChar w:fldCharType="separate"/>
      </w:r>
      <w:r>
        <w:rPr>
          <w:rStyle w:val="43"/>
          <w:rFonts w:hint="eastAsia"/>
        </w:rPr>
        <w:t>一、</w:t>
      </w:r>
      <w:r>
        <w:rPr>
          <w:rFonts w:ascii="Calibri" w:hAnsi="Calibri" w:cs="黑体"/>
          <w:i w:val="0"/>
          <w:iCs w:val="0"/>
          <w:szCs w:val="22"/>
        </w:rPr>
        <w:tab/>
      </w:r>
      <w:r>
        <w:rPr>
          <w:rStyle w:val="43"/>
          <w:rFonts w:hint="eastAsia"/>
        </w:rPr>
        <w:t>总</w:t>
      </w:r>
      <w:r>
        <w:rPr>
          <w:rStyle w:val="43"/>
        </w:rPr>
        <w:t xml:space="preserve">  </w:t>
      </w:r>
      <w:r>
        <w:rPr>
          <w:rStyle w:val="43"/>
          <w:rFonts w:hint="eastAsia"/>
        </w:rPr>
        <w:t>则</w:t>
      </w:r>
      <w:r>
        <w:tab/>
      </w:r>
      <w:r>
        <w:fldChar w:fldCharType="begin"/>
      </w:r>
      <w:r>
        <w:instrText xml:space="preserve"> PAGEREF _Toc491372349 \h </w:instrText>
      </w:r>
      <w:r>
        <w:fldChar w:fldCharType="separate"/>
      </w:r>
      <w:r>
        <w:t>7</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"_Toc491372350" </w:instrText>
      </w:r>
      <w:r>
        <w:fldChar w:fldCharType="separate"/>
      </w:r>
      <w:r>
        <w:rPr>
          <w:rStyle w:val="43"/>
          <w:rFonts w:hint="eastAsia"/>
        </w:rPr>
        <w:t>二、</w:t>
      </w:r>
      <w:r>
        <w:rPr>
          <w:rFonts w:ascii="Calibri" w:hAnsi="Calibri" w:cs="黑体"/>
          <w:i w:val="0"/>
          <w:iCs w:val="0"/>
          <w:szCs w:val="22"/>
        </w:rPr>
        <w:tab/>
      </w:r>
      <w:r>
        <w:rPr>
          <w:rStyle w:val="43"/>
          <w:rFonts w:hint="eastAsia"/>
        </w:rPr>
        <w:t>磋商文件</w:t>
      </w:r>
      <w:r>
        <w:tab/>
      </w:r>
      <w:r>
        <w:fldChar w:fldCharType="begin"/>
      </w:r>
      <w:r>
        <w:instrText xml:space="preserve"> PAGEREF _Toc491372350 \h </w:instrText>
      </w:r>
      <w:r>
        <w:fldChar w:fldCharType="separate"/>
      </w:r>
      <w:r>
        <w:t>10</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"_Toc491372351" </w:instrText>
      </w:r>
      <w:r>
        <w:fldChar w:fldCharType="separate"/>
      </w:r>
      <w:r>
        <w:rPr>
          <w:rStyle w:val="43"/>
          <w:rFonts w:hint="eastAsia"/>
        </w:rPr>
        <w:t>三、</w:t>
      </w:r>
      <w:r>
        <w:rPr>
          <w:rFonts w:ascii="Calibri" w:hAnsi="Calibri" w:cs="黑体"/>
          <w:i w:val="0"/>
          <w:iCs w:val="0"/>
          <w:szCs w:val="22"/>
        </w:rPr>
        <w:tab/>
      </w:r>
      <w:r>
        <w:rPr>
          <w:rStyle w:val="43"/>
          <w:rFonts w:hint="eastAsia"/>
        </w:rPr>
        <w:t>响应文件</w:t>
      </w:r>
      <w:r>
        <w:tab/>
      </w:r>
      <w:r>
        <w:fldChar w:fldCharType="begin"/>
      </w:r>
      <w:r>
        <w:instrText xml:space="preserve"> PAGEREF _Toc491372351 \h </w:instrText>
      </w:r>
      <w:r>
        <w:fldChar w:fldCharType="separate"/>
      </w:r>
      <w:r>
        <w:t>11</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"_Toc491372352" </w:instrText>
      </w:r>
      <w:r>
        <w:fldChar w:fldCharType="separate"/>
      </w:r>
      <w:r>
        <w:rPr>
          <w:rStyle w:val="43"/>
          <w:rFonts w:hint="eastAsia"/>
        </w:rPr>
        <w:t>四、</w:t>
      </w:r>
      <w:r>
        <w:rPr>
          <w:rFonts w:ascii="Calibri" w:hAnsi="Calibri" w:cs="黑体"/>
          <w:i w:val="0"/>
          <w:iCs w:val="0"/>
          <w:szCs w:val="22"/>
        </w:rPr>
        <w:tab/>
      </w:r>
      <w:r>
        <w:rPr>
          <w:rStyle w:val="43"/>
          <w:rFonts w:hint="eastAsia"/>
        </w:rPr>
        <w:t>响应文件的递交</w:t>
      </w:r>
      <w:r>
        <w:tab/>
      </w:r>
      <w:r>
        <w:fldChar w:fldCharType="begin"/>
      </w:r>
      <w:r>
        <w:instrText xml:space="preserve"> PAGEREF _Toc491372352 \h </w:instrText>
      </w:r>
      <w:r>
        <w:fldChar w:fldCharType="separate"/>
      </w:r>
      <w:r>
        <w:t>15</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"_Toc491372353" </w:instrText>
      </w:r>
      <w:r>
        <w:fldChar w:fldCharType="separate"/>
      </w:r>
      <w:r>
        <w:rPr>
          <w:rStyle w:val="43"/>
          <w:rFonts w:hint="eastAsia"/>
        </w:rPr>
        <w:t>五、</w:t>
      </w:r>
      <w:r>
        <w:rPr>
          <w:rFonts w:ascii="Calibri" w:hAnsi="Calibri" w:cs="黑体"/>
          <w:i w:val="0"/>
          <w:iCs w:val="0"/>
          <w:szCs w:val="22"/>
        </w:rPr>
        <w:tab/>
      </w:r>
      <w:r>
        <w:rPr>
          <w:rStyle w:val="43"/>
          <w:rFonts w:hint="eastAsia"/>
        </w:rPr>
        <w:t>评标步骤和要求</w:t>
      </w:r>
      <w:r>
        <w:tab/>
      </w:r>
      <w:r>
        <w:fldChar w:fldCharType="begin"/>
      </w:r>
      <w:r>
        <w:instrText xml:space="preserve"> PAGEREF _Toc491372353 \h </w:instrText>
      </w:r>
      <w:r>
        <w:fldChar w:fldCharType="separate"/>
      </w:r>
      <w:r>
        <w:t>15</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"_Toc491372354" </w:instrText>
      </w:r>
      <w:r>
        <w:fldChar w:fldCharType="separate"/>
      </w:r>
      <w:r>
        <w:rPr>
          <w:rStyle w:val="43"/>
          <w:rFonts w:hint="eastAsia"/>
        </w:rPr>
        <w:t>六、</w:t>
      </w:r>
      <w:r>
        <w:rPr>
          <w:rFonts w:ascii="Calibri" w:hAnsi="Calibri" w:cs="黑体"/>
          <w:i w:val="0"/>
          <w:iCs w:val="0"/>
          <w:szCs w:val="22"/>
        </w:rPr>
        <w:tab/>
      </w:r>
      <w:r>
        <w:rPr>
          <w:rStyle w:val="43"/>
          <w:rFonts w:hint="eastAsia"/>
        </w:rPr>
        <w:t>签订合同</w:t>
      </w:r>
      <w:r>
        <w:tab/>
      </w:r>
      <w:r>
        <w:fldChar w:fldCharType="begin"/>
      </w:r>
      <w:r>
        <w:instrText xml:space="preserve"> PAGEREF _Toc491372354 \h </w:instrText>
      </w:r>
      <w:r>
        <w:fldChar w:fldCharType="separate"/>
      </w:r>
      <w:r>
        <w:t>20</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"_Toc491372355" </w:instrText>
      </w:r>
      <w:r>
        <w:fldChar w:fldCharType="separate"/>
      </w:r>
      <w:r>
        <w:rPr>
          <w:rStyle w:val="43"/>
          <w:rFonts w:hint="eastAsia"/>
        </w:rPr>
        <w:t>七、</w:t>
      </w:r>
      <w:r>
        <w:rPr>
          <w:rFonts w:ascii="Calibri" w:hAnsi="Calibri" w:cs="黑体"/>
          <w:i w:val="0"/>
          <w:iCs w:val="0"/>
          <w:szCs w:val="22"/>
        </w:rPr>
        <w:tab/>
      </w:r>
      <w:r>
        <w:rPr>
          <w:rStyle w:val="43"/>
          <w:rFonts w:hint="eastAsia"/>
        </w:rPr>
        <w:t>成交服务费</w:t>
      </w:r>
      <w:r>
        <w:tab/>
      </w:r>
      <w:r>
        <w:fldChar w:fldCharType="begin"/>
      </w:r>
      <w:r>
        <w:instrText xml:space="preserve"> PAGEREF _Toc491372355 \h </w:instrText>
      </w:r>
      <w:r>
        <w:fldChar w:fldCharType="separate"/>
      </w:r>
      <w:r>
        <w:t>20</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"_Toc491372356" </w:instrText>
      </w:r>
      <w:r>
        <w:fldChar w:fldCharType="separate"/>
      </w:r>
      <w:r>
        <w:rPr>
          <w:rStyle w:val="43"/>
          <w:rFonts w:hint="eastAsia"/>
        </w:rPr>
        <w:t>八、</w:t>
      </w:r>
      <w:r>
        <w:rPr>
          <w:rFonts w:ascii="Calibri" w:hAnsi="Calibri" w:cs="黑体"/>
          <w:i w:val="0"/>
          <w:iCs w:val="0"/>
          <w:szCs w:val="22"/>
        </w:rPr>
        <w:tab/>
      </w:r>
      <w:r>
        <w:rPr>
          <w:rStyle w:val="43"/>
          <w:rFonts w:hint="eastAsia"/>
        </w:rPr>
        <w:t>处罚、询问和质疑</w:t>
      </w:r>
      <w:r>
        <w:tab/>
      </w:r>
      <w:r>
        <w:fldChar w:fldCharType="begin"/>
      </w:r>
      <w:r>
        <w:instrText xml:space="preserve"> PAGEREF _Toc491372356 \h </w:instrText>
      </w:r>
      <w:r>
        <w:fldChar w:fldCharType="separate"/>
      </w:r>
      <w:r>
        <w:t>21</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"_Toc491372357" </w:instrText>
      </w:r>
      <w:r>
        <w:fldChar w:fldCharType="separate"/>
      </w:r>
      <w:r>
        <w:rPr>
          <w:rStyle w:val="43"/>
          <w:rFonts w:hint="eastAsia"/>
        </w:rPr>
        <w:t>九、</w:t>
      </w:r>
      <w:r>
        <w:rPr>
          <w:rFonts w:ascii="Calibri" w:hAnsi="Calibri" w:cs="黑体"/>
          <w:i w:val="0"/>
          <w:iCs w:val="0"/>
          <w:szCs w:val="22"/>
        </w:rPr>
        <w:tab/>
      </w:r>
      <w:r>
        <w:rPr>
          <w:rStyle w:val="43"/>
          <w:rFonts w:hint="eastAsia"/>
        </w:rPr>
        <w:t>保密和披露</w:t>
      </w:r>
      <w:r>
        <w:tab/>
      </w:r>
      <w:r>
        <w:fldChar w:fldCharType="begin"/>
      </w:r>
      <w:r>
        <w:instrText xml:space="preserve"> PAGEREF _Toc491372357 \h </w:instrText>
      </w:r>
      <w:r>
        <w:fldChar w:fldCharType="separate"/>
      </w:r>
      <w:r>
        <w:t>22</w:t>
      </w:r>
      <w:r>
        <w:fldChar w:fldCharType="end"/>
      </w:r>
      <w:r>
        <w:fldChar w:fldCharType="end"/>
      </w:r>
    </w:p>
    <w:p>
      <w:pPr>
        <w:pStyle w:val="35"/>
        <w:tabs>
          <w:tab w:val="right" w:leader="dot" w:pos="8922"/>
        </w:tabs>
        <w:ind w:left="480"/>
        <w:rPr>
          <w:rFonts w:ascii="Calibri" w:hAnsi="Calibri" w:cs="黑体"/>
          <w:kern w:val="2"/>
          <w:sz w:val="21"/>
          <w:szCs w:val="22"/>
        </w:rPr>
      </w:pPr>
      <w:r>
        <w:fldChar w:fldCharType="begin"/>
      </w:r>
      <w:r>
        <w:instrText xml:space="preserve"> HYPERLINK \l "_Toc491372358" </w:instrText>
      </w:r>
      <w:r>
        <w:fldChar w:fldCharType="separate"/>
      </w:r>
      <w:r>
        <w:rPr>
          <w:rStyle w:val="43"/>
          <w:rFonts w:hint="eastAsia"/>
        </w:rPr>
        <w:t>第四部分</w:t>
      </w:r>
      <w:r>
        <w:rPr>
          <w:rStyle w:val="43"/>
        </w:rPr>
        <w:t xml:space="preserve">  </w:t>
      </w:r>
      <w:r>
        <w:rPr>
          <w:rStyle w:val="43"/>
          <w:rFonts w:hint="eastAsia"/>
        </w:rPr>
        <w:t>评标标准和评标办法</w:t>
      </w:r>
      <w:r>
        <w:tab/>
      </w:r>
      <w:r>
        <w:fldChar w:fldCharType="begin"/>
      </w:r>
      <w:r>
        <w:instrText xml:space="preserve"> PAGEREF _Toc491372358 \h </w:instrText>
      </w:r>
      <w:r>
        <w:fldChar w:fldCharType="separate"/>
      </w:r>
      <w:r>
        <w:t>23</w:t>
      </w:r>
      <w:r>
        <w:fldChar w:fldCharType="end"/>
      </w:r>
      <w:r>
        <w:fldChar w:fldCharType="end"/>
      </w:r>
    </w:p>
    <w:p>
      <w:pPr>
        <w:pStyle w:val="35"/>
        <w:tabs>
          <w:tab w:val="right" w:leader="dot" w:pos="8922"/>
        </w:tabs>
        <w:ind w:left="480"/>
        <w:rPr>
          <w:rFonts w:ascii="Calibri" w:hAnsi="Calibri" w:cs="黑体"/>
          <w:kern w:val="2"/>
          <w:sz w:val="21"/>
          <w:szCs w:val="22"/>
        </w:rPr>
      </w:pPr>
      <w:r>
        <w:fldChar w:fldCharType="begin"/>
      </w:r>
      <w:r>
        <w:instrText xml:space="preserve"> HYPERLINK \l "_Toc491372359" </w:instrText>
      </w:r>
      <w:r>
        <w:fldChar w:fldCharType="separate"/>
      </w:r>
      <w:r>
        <w:rPr>
          <w:rStyle w:val="43"/>
          <w:rFonts w:hint="eastAsia"/>
        </w:rPr>
        <w:t>第五部分</w:t>
      </w:r>
      <w:r>
        <w:rPr>
          <w:rStyle w:val="43"/>
        </w:rPr>
        <w:t xml:space="preserve">  </w:t>
      </w:r>
      <w:r>
        <w:rPr>
          <w:rStyle w:val="43"/>
          <w:rFonts w:hint="eastAsia"/>
        </w:rPr>
        <w:t>磋商货物、服务的具体需求</w:t>
      </w:r>
      <w:r>
        <w:tab/>
      </w:r>
      <w:r>
        <w:fldChar w:fldCharType="begin"/>
      </w:r>
      <w:r>
        <w:instrText xml:space="preserve"> PAGEREF _Toc491372359 \h </w:instrText>
      </w:r>
      <w:r>
        <w:fldChar w:fldCharType="separate"/>
      </w:r>
      <w:r>
        <w:t>25</w:t>
      </w:r>
      <w:r>
        <w:fldChar w:fldCharType="end"/>
      </w:r>
      <w:r>
        <w:fldChar w:fldCharType="end"/>
      </w:r>
    </w:p>
    <w:p>
      <w:pPr>
        <w:pStyle w:val="35"/>
        <w:tabs>
          <w:tab w:val="right" w:leader="dot" w:pos="8922"/>
        </w:tabs>
        <w:ind w:left="480"/>
        <w:rPr>
          <w:rFonts w:ascii="Calibri" w:hAnsi="Calibri" w:cs="黑体"/>
          <w:kern w:val="2"/>
          <w:sz w:val="21"/>
          <w:szCs w:val="22"/>
        </w:rPr>
      </w:pPr>
      <w:r>
        <w:fldChar w:fldCharType="begin"/>
      </w:r>
      <w:r>
        <w:instrText xml:space="preserve"> HYPERLINK \l "_Toc491372360" </w:instrText>
      </w:r>
      <w:r>
        <w:fldChar w:fldCharType="separate"/>
      </w:r>
      <w:r>
        <w:rPr>
          <w:rStyle w:val="43"/>
          <w:rFonts w:hint="eastAsia"/>
        </w:rPr>
        <w:t>第六部分</w:t>
      </w:r>
      <w:r>
        <w:rPr>
          <w:rStyle w:val="43"/>
        </w:rPr>
        <w:t xml:space="preserve">  </w:t>
      </w:r>
      <w:r>
        <w:rPr>
          <w:rStyle w:val="43"/>
          <w:rFonts w:hint="eastAsia"/>
        </w:rPr>
        <w:t>响应文件格式</w:t>
      </w:r>
      <w:r>
        <w:tab/>
      </w:r>
      <w:r>
        <w:fldChar w:fldCharType="begin"/>
      </w:r>
      <w:r>
        <w:instrText xml:space="preserve"> PAGEREF _Toc491372360 \h </w:instrText>
      </w:r>
      <w:r>
        <w:fldChar w:fldCharType="separate"/>
      </w:r>
      <w:r>
        <w:t>26</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"_Toc491372361" </w:instrText>
      </w:r>
      <w:r>
        <w:fldChar w:fldCharType="separate"/>
      </w:r>
      <w:r>
        <w:rPr>
          <w:rStyle w:val="43"/>
          <w:rFonts w:hint="eastAsia"/>
        </w:rPr>
        <w:t>一、</w:t>
      </w:r>
      <w:r>
        <w:rPr>
          <w:rFonts w:ascii="Calibri" w:hAnsi="Calibri" w:cs="黑体"/>
          <w:i w:val="0"/>
          <w:iCs w:val="0"/>
          <w:szCs w:val="22"/>
        </w:rPr>
        <w:tab/>
      </w:r>
      <w:r>
        <w:rPr>
          <w:rStyle w:val="43"/>
          <w:rFonts w:hint="eastAsia"/>
        </w:rPr>
        <w:t>响应人提交文件须知</w:t>
      </w:r>
      <w:r>
        <w:tab/>
      </w:r>
      <w:r>
        <w:fldChar w:fldCharType="begin"/>
      </w:r>
      <w:r>
        <w:instrText xml:space="preserve"> PAGEREF _Toc491372361 \h </w:instrText>
      </w:r>
      <w:r>
        <w:fldChar w:fldCharType="separate"/>
      </w:r>
      <w:r>
        <w:t>26</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"_Toc491372362" </w:instrText>
      </w:r>
      <w:r>
        <w:fldChar w:fldCharType="separate"/>
      </w:r>
      <w:r>
        <w:rPr>
          <w:rStyle w:val="43"/>
          <w:rFonts w:hint="eastAsia"/>
        </w:rPr>
        <w:t>二、</w:t>
      </w:r>
      <w:r>
        <w:rPr>
          <w:rFonts w:ascii="Calibri" w:hAnsi="Calibri" w:cs="黑体"/>
          <w:i w:val="0"/>
          <w:iCs w:val="0"/>
          <w:szCs w:val="22"/>
        </w:rPr>
        <w:tab/>
      </w:r>
      <w:r>
        <w:rPr>
          <w:rStyle w:val="43"/>
          <w:rFonts w:hint="eastAsia"/>
        </w:rPr>
        <w:t>响应文件顺序</w:t>
      </w:r>
      <w:r>
        <w:tab/>
      </w:r>
      <w:r>
        <w:fldChar w:fldCharType="begin"/>
      </w:r>
      <w:r>
        <w:instrText xml:space="preserve"> PAGEREF _Toc491372362 \h </w:instrText>
      </w:r>
      <w:r>
        <w:fldChar w:fldCharType="separate"/>
      </w:r>
      <w:r>
        <w:t>27</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"_Toc491372363" </w:instrText>
      </w:r>
      <w:r>
        <w:fldChar w:fldCharType="separate"/>
      </w:r>
      <w:r>
        <w:rPr>
          <w:rStyle w:val="43"/>
          <w:rFonts w:hint="eastAsia"/>
        </w:rPr>
        <w:t>附件1</w:t>
      </w:r>
      <w:r>
        <w:rPr>
          <w:rFonts w:ascii="Calibri" w:hAnsi="Calibri" w:cs="黑体"/>
          <w:i w:val="0"/>
          <w:iCs w:val="0"/>
          <w:szCs w:val="22"/>
        </w:rPr>
        <w:tab/>
      </w:r>
      <w:r>
        <w:rPr>
          <w:rStyle w:val="43"/>
          <w:rFonts w:hint="eastAsia"/>
        </w:rPr>
        <w:t>响应确认函</w:t>
      </w:r>
      <w:r>
        <w:tab/>
      </w:r>
      <w:r>
        <w:fldChar w:fldCharType="begin"/>
      </w:r>
      <w:r>
        <w:instrText xml:space="preserve"> PAGEREF _Toc491372363 \h </w:instrText>
      </w:r>
      <w:r>
        <w:fldChar w:fldCharType="separate"/>
      </w:r>
      <w:r>
        <w:t>29</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"_Toc491372364" </w:instrText>
      </w:r>
      <w:r>
        <w:fldChar w:fldCharType="separate"/>
      </w:r>
      <w:r>
        <w:rPr>
          <w:rStyle w:val="43"/>
          <w:rFonts w:hint="eastAsia"/>
        </w:rPr>
        <w:t>附件2</w:t>
      </w:r>
      <w:r>
        <w:rPr>
          <w:rFonts w:ascii="Calibri" w:hAnsi="Calibri" w:cs="黑体"/>
          <w:i w:val="0"/>
          <w:iCs w:val="0"/>
          <w:szCs w:val="22"/>
        </w:rPr>
        <w:tab/>
      </w:r>
      <w:r>
        <w:rPr>
          <w:rStyle w:val="43"/>
          <w:rFonts w:hint="eastAsia"/>
        </w:rPr>
        <w:t>承诺函</w:t>
      </w:r>
      <w:r>
        <w:tab/>
      </w:r>
      <w:r>
        <w:fldChar w:fldCharType="begin"/>
      </w:r>
      <w:r>
        <w:instrText xml:space="preserve"> PAGEREF _Toc491372364 \h </w:instrText>
      </w:r>
      <w:r>
        <w:fldChar w:fldCharType="separate"/>
      </w:r>
      <w:r>
        <w:t>30</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"_Toc491372365" </w:instrText>
      </w:r>
      <w:r>
        <w:fldChar w:fldCharType="separate"/>
      </w:r>
      <w:r>
        <w:rPr>
          <w:rStyle w:val="43"/>
          <w:rFonts w:hint="eastAsia"/>
        </w:rPr>
        <w:t>附件3</w:t>
      </w:r>
      <w:r>
        <w:rPr>
          <w:rFonts w:ascii="Calibri" w:hAnsi="Calibri" w:cs="黑体"/>
          <w:i w:val="0"/>
          <w:iCs w:val="0"/>
          <w:szCs w:val="22"/>
        </w:rPr>
        <w:tab/>
      </w:r>
      <w:r>
        <w:rPr>
          <w:rStyle w:val="43"/>
          <w:rFonts w:hint="eastAsia"/>
        </w:rPr>
        <w:t>法定代表人授权委托书</w:t>
      </w:r>
      <w:r>
        <w:tab/>
      </w:r>
      <w:r>
        <w:fldChar w:fldCharType="begin"/>
      </w:r>
      <w:r>
        <w:instrText xml:space="preserve"> PAGEREF _Toc491372365 \h </w:instrText>
      </w:r>
      <w:r>
        <w:fldChar w:fldCharType="separate"/>
      </w:r>
      <w:r>
        <w:t>32</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"_Toc491372366" </w:instrText>
      </w:r>
      <w:r>
        <w:fldChar w:fldCharType="separate"/>
      </w:r>
      <w:r>
        <w:rPr>
          <w:rStyle w:val="43"/>
          <w:rFonts w:hint="eastAsia"/>
        </w:rPr>
        <w:t>附件4</w:t>
      </w:r>
      <w:r>
        <w:rPr>
          <w:rFonts w:ascii="Calibri" w:hAnsi="Calibri" w:cs="黑体"/>
          <w:i w:val="0"/>
          <w:iCs w:val="0"/>
          <w:szCs w:val="22"/>
        </w:rPr>
        <w:tab/>
      </w:r>
      <w:r>
        <w:rPr>
          <w:rStyle w:val="43"/>
          <w:rFonts w:hint="eastAsia"/>
        </w:rPr>
        <w:t>制造厂家授权委托书</w:t>
      </w:r>
      <w:r>
        <w:tab/>
      </w:r>
      <w:r>
        <w:fldChar w:fldCharType="begin"/>
      </w:r>
      <w:r>
        <w:instrText xml:space="preserve"> PAGEREF _Toc491372366 \h </w:instrText>
      </w:r>
      <w:r>
        <w:fldChar w:fldCharType="separate"/>
      </w:r>
      <w:r>
        <w:t>33</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"_Toc491372367" </w:instrText>
      </w:r>
      <w:r>
        <w:fldChar w:fldCharType="separate"/>
      </w:r>
      <w:r>
        <w:rPr>
          <w:rStyle w:val="43"/>
          <w:rFonts w:hint="eastAsia"/>
        </w:rPr>
        <w:t>附件5</w:t>
      </w:r>
      <w:r>
        <w:rPr>
          <w:rFonts w:ascii="Calibri" w:hAnsi="Calibri" w:cs="黑体"/>
          <w:i w:val="0"/>
          <w:iCs w:val="0"/>
          <w:szCs w:val="22"/>
        </w:rPr>
        <w:tab/>
      </w:r>
      <w:r>
        <w:rPr>
          <w:rStyle w:val="43"/>
          <w:rFonts w:hint="eastAsia"/>
        </w:rPr>
        <w:t>商务条款偏离表</w:t>
      </w:r>
      <w:r>
        <w:tab/>
      </w:r>
      <w:r>
        <w:fldChar w:fldCharType="begin"/>
      </w:r>
      <w:r>
        <w:instrText xml:space="preserve"> PAGEREF _Toc491372367 \h </w:instrText>
      </w:r>
      <w:r>
        <w:fldChar w:fldCharType="separate"/>
      </w:r>
      <w:r>
        <w:t>34</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"_Toc491372368" </w:instrText>
      </w:r>
      <w:r>
        <w:fldChar w:fldCharType="separate"/>
      </w:r>
      <w:r>
        <w:rPr>
          <w:rStyle w:val="43"/>
          <w:rFonts w:hint="eastAsia"/>
        </w:rPr>
        <w:t>附件6</w:t>
      </w:r>
      <w:r>
        <w:rPr>
          <w:rFonts w:ascii="Calibri" w:hAnsi="Calibri" w:cs="黑体"/>
          <w:i w:val="0"/>
          <w:iCs w:val="0"/>
          <w:szCs w:val="22"/>
        </w:rPr>
        <w:tab/>
      </w:r>
      <w:r>
        <w:rPr>
          <w:rStyle w:val="43"/>
        </w:rPr>
        <w:t xml:space="preserve">  </w:t>
      </w:r>
      <w:r>
        <w:rPr>
          <w:rStyle w:val="43"/>
          <w:rFonts w:hint="eastAsia"/>
        </w:rPr>
        <w:t>报价一览表</w:t>
      </w:r>
      <w:r>
        <w:tab/>
      </w:r>
      <w:r>
        <w:fldChar w:fldCharType="begin"/>
      </w:r>
      <w:r>
        <w:instrText xml:space="preserve"> PAGEREF _Toc491372368 \h </w:instrText>
      </w:r>
      <w:r>
        <w:fldChar w:fldCharType="separate"/>
      </w:r>
      <w:r>
        <w:t>35</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"_Toc491372369" </w:instrText>
      </w:r>
      <w:r>
        <w:fldChar w:fldCharType="separate"/>
      </w:r>
      <w:r>
        <w:rPr>
          <w:rStyle w:val="43"/>
          <w:rFonts w:hint="eastAsia"/>
        </w:rPr>
        <w:t>附件7</w:t>
      </w:r>
      <w:r>
        <w:rPr>
          <w:rFonts w:ascii="Calibri" w:hAnsi="Calibri" w:cs="黑体"/>
          <w:i w:val="0"/>
          <w:iCs w:val="0"/>
          <w:szCs w:val="22"/>
        </w:rPr>
        <w:tab/>
      </w:r>
      <w:r>
        <w:rPr>
          <w:rStyle w:val="43"/>
          <w:rFonts w:hint="eastAsia"/>
        </w:rPr>
        <w:t>报价明细表</w:t>
      </w:r>
      <w:r>
        <w:tab/>
      </w:r>
      <w:r>
        <w:fldChar w:fldCharType="begin"/>
      </w:r>
      <w:r>
        <w:instrText xml:space="preserve"> PAGEREF _Toc491372369 \h </w:instrText>
      </w:r>
      <w:r>
        <w:fldChar w:fldCharType="separate"/>
      </w:r>
      <w:r>
        <w:t>36</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"_Toc491372370" </w:instrText>
      </w:r>
      <w:r>
        <w:fldChar w:fldCharType="separate"/>
      </w:r>
      <w:r>
        <w:rPr>
          <w:rStyle w:val="43"/>
          <w:rFonts w:hint="eastAsia"/>
        </w:rPr>
        <w:t>附件8</w:t>
      </w:r>
      <w:r>
        <w:rPr>
          <w:rFonts w:ascii="Calibri" w:hAnsi="Calibri" w:cs="黑体"/>
          <w:i w:val="0"/>
          <w:iCs w:val="0"/>
          <w:szCs w:val="22"/>
        </w:rPr>
        <w:tab/>
      </w:r>
      <w:r>
        <w:rPr>
          <w:rStyle w:val="43"/>
          <w:rFonts w:hint="eastAsia"/>
        </w:rPr>
        <w:t>响应人货物、服务项目偏离表</w:t>
      </w:r>
      <w:r>
        <w:tab/>
      </w:r>
      <w:r>
        <w:fldChar w:fldCharType="begin"/>
      </w:r>
      <w:r>
        <w:instrText xml:space="preserve"> PAGEREF _Toc491372370 \h </w:instrText>
      </w:r>
      <w:r>
        <w:fldChar w:fldCharType="separate"/>
      </w:r>
      <w:r>
        <w:t>38</w:t>
      </w:r>
      <w:r>
        <w:fldChar w:fldCharType="end"/>
      </w:r>
      <w:r>
        <w:fldChar w:fldCharType="end"/>
      </w:r>
    </w:p>
    <w:p>
      <w:r>
        <w:rPr>
          <w:b/>
          <w:bCs/>
          <w:lang w:val="zh-CN"/>
        </w:rPr>
        <w:fldChar w:fldCharType="end"/>
      </w:r>
    </w:p>
    <w:p>
      <w:pPr>
        <w:pStyle w:val="3"/>
        <w:adjustRightInd/>
        <w:spacing w:line="415" w:lineRule="auto"/>
        <w:ind w:left="420" w:hanging="420"/>
        <w:jc w:val="center"/>
        <w:textAlignment w:val="auto"/>
        <w:rPr>
          <w:rFonts w:ascii="Times New Roman" w:hAnsi="Times New Roman" w:eastAsia="宋体"/>
          <w:kern w:val="2"/>
        </w:rPr>
        <w:sectPr>
          <w:footerReference r:id="rId6" w:type="default"/>
          <w:type w:val="continuous"/>
          <w:pgSz w:w="11909" w:h="16834"/>
          <w:pgMar w:top="1418" w:right="1418" w:bottom="1418" w:left="1559" w:header="851" w:footer="851" w:gutter="0"/>
          <w:cols w:space="720" w:num="1"/>
          <w:titlePg/>
        </w:sectPr>
      </w:pPr>
      <w:bookmarkStart w:id="5" w:name="_Toc477456197"/>
    </w:p>
    <w:p>
      <w:pPr>
        <w:pStyle w:val="3"/>
        <w:adjustRightInd/>
        <w:spacing w:line="415" w:lineRule="auto"/>
        <w:ind w:left="420" w:hanging="420"/>
        <w:jc w:val="center"/>
        <w:textAlignment w:val="auto"/>
        <w:rPr>
          <w:rFonts w:ascii="Times New Roman" w:hAnsi="Times New Roman" w:eastAsia="宋体"/>
          <w:kern w:val="2"/>
        </w:rPr>
      </w:pPr>
      <w:bookmarkStart w:id="6" w:name="_Toc491372346"/>
      <w:r>
        <w:rPr>
          <w:rFonts w:ascii="Times New Roman" w:hAnsi="Times New Roman" w:eastAsia="宋体"/>
          <w:kern w:val="2"/>
        </w:rPr>
        <w:t xml:space="preserve">第一部分  </w:t>
      </w:r>
      <w:bookmarkStart w:id="7" w:name="响应邀请"/>
      <w:r>
        <w:rPr>
          <w:rFonts w:ascii="Times New Roman" w:hAnsi="Times New Roman" w:eastAsia="宋体"/>
          <w:kern w:val="2"/>
        </w:rPr>
        <w:t>响应邀请</w:t>
      </w:r>
      <w:bookmarkEnd w:id="2"/>
      <w:bookmarkEnd w:id="3"/>
      <w:bookmarkEnd w:id="4"/>
      <w:bookmarkEnd w:id="5"/>
      <w:bookmarkEnd w:id="6"/>
      <w:bookmarkEnd w:id="7"/>
    </w:p>
    <w:p>
      <w:pPr>
        <w:autoSpaceDE w:val="0"/>
        <w:autoSpaceDN w:val="0"/>
        <w:spacing w:line="400" w:lineRule="exact"/>
        <w:ind w:firstLine="420" w:firstLineChars="200"/>
        <w:rPr>
          <w:color w:val="000000"/>
          <w:sz w:val="21"/>
          <w:szCs w:val="21"/>
        </w:rPr>
      </w:pPr>
      <w:r>
        <w:rPr>
          <w:sz w:val="21"/>
          <w:szCs w:val="21"/>
        </w:rPr>
        <w:t>根据关于印发《政府采购竞争性磋商采购方式管理暂行办法》的通知（财库〔2014〕214号）要求，中央财经大学招标与采购事务中心就以下所述项目</w:t>
      </w:r>
      <w:r>
        <w:rPr>
          <w:bCs/>
          <w:sz w:val="21"/>
          <w:szCs w:val="21"/>
        </w:rPr>
        <w:t>相</w:t>
      </w:r>
      <w:r>
        <w:rPr>
          <w:sz w:val="21"/>
          <w:szCs w:val="21"/>
        </w:rPr>
        <w:t>关服务进行国内竞争性磋商，现邀请有供应能力的供应商前来响应</w:t>
      </w:r>
      <w:r>
        <w:rPr>
          <w:color w:val="000000"/>
          <w:sz w:val="21"/>
          <w:szCs w:val="21"/>
        </w:rPr>
        <w:t>。</w:t>
      </w:r>
    </w:p>
    <w:p>
      <w:pPr>
        <w:pStyle w:val="92"/>
        <w:numPr>
          <w:ilvl w:val="0"/>
          <w:numId w:val="8"/>
        </w:numPr>
        <w:ind w:left="420" w:firstLineChars="0"/>
      </w:pPr>
      <w:r>
        <w:t>磋商内容：</w:t>
      </w:r>
    </w:p>
    <w:p>
      <w:pPr>
        <w:pStyle w:val="92"/>
        <w:numPr>
          <w:ilvl w:val="0"/>
          <w:numId w:val="9"/>
        </w:numPr>
        <w:ind w:firstLineChars="0"/>
      </w:pPr>
      <w:r>
        <w:t>采购项目名称：</w:t>
      </w:r>
      <w:r>
        <w:fldChar w:fldCharType="begin"/>
      </w:r>
      <w:r>
        <w:instrText xml:space="preserve"> REF 项目名称 \h  \* MERGEFORMAT </w:instrText>
      </w:r>
      <w:r>
        <w:fldChar w:fldCharType="separate"/>
      </w:r>
      <w:r>
        <w:t>中央财经大学</w:t>
      </w:r>
      <w:r>
        <w:rPr>
          <w:rFonts w:hint="eastAsia"/>
        </w:rPr>
        <w:t>后勤服务产业集团财务软件</w:t>
      </w:r>
      <w:r>
        <w:t>采购项目</w:t>
      </w:r>
      <w:r>
        <w:fldChar w:fldCharType="end"/>
      </w:r>
    </w:p>
    <w:p>
      <w:pPr>
        <w:pStyle w:val="92"/>
        <w:numPr>
          <w:ilvl w:val="0"/>
          <w:numId w:val="9"/>
        </w:numPr>
        <w:ind w:firstLineChars="0"/>
      </w:pPr>
      <w:r>
        <w:t>采购项目编号：JC-</w:t>
      </w:r>
      <w:r>
        <w:rPr>
          <w:rFonts w:hint="eastAsia"/>
        </w:rPr>
        <w:t>2017039</w:t>
      </w:r>
    </w:p>
    <w:p>
      <w:pPr>
        <w:pStyle w:val="92"/>
        <w:numPr>
          <w:ilvl w:val="0"/>
          <w:numId w:val="9"/>
        </w:numPr>
        <w:ind w:firstLineChars="0"/>
      </w:pPr>
      <w:r>
        <w:t>采购项目性质：竞争性磋商</w:t>
      </w:r>
    </w:p>
    <w:p>
      <w:pPr>
        <w:pStyle w:val="92"/>
        <w:numPr>
          <w:ilvl w:val="0"/>
          <w:numId w:val="9"/>
        </w:numPr>
        <w:ind w:firstLineChars="0"/>
      </w:pPr>
      <w:r>
        <w:t>简要规格描述或项目基本情况介绍</w:t>
      </w:r>
    </w:p>
    <w:p>
      <w:pPr>
        <w:pStyle w:val="92"/>
      </w:pPr>
      <w: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pPr>
        <w:pStyle w:val="92"/>
      </w:pPr>
      <w:r>
        <w:t>履约时间：             合同签订后</w:t>
      </w:r>
      <w:r>
        <w:rPr>
          <w:rFonts w:hint="eastAsia"/>
        </w:rPr>
        <w:t>30</w:t>
      </w:r>
      <w:r>
        <w:t>个工作日                  。</w:t>
      </w:r>
    </w:p>
    <w:p>
      <w:pPr>
        <w:pStyle w:val="92"/>
      </w:pPr>
      <w:r>
        <w:t>履约地点：             中央财经大学学院南路校区               。</w:t>
      </w:r>
    </w:p>
    <w:p>
      <w:pPr>
        <w:pStyle w:val="92"/>
        <w:numPr>
          <w:ilvl w:val="0"/>
          <w:numId w:val="9"/>
        </w:numPr>
        <w:ind w:firstLineChars="0"/>
      </w:pPr>
      <w:r>
        <w:t>需要落实的政府采购政策</w:t>
      </w:r>
    </w:p>
    <w:p>
      <w:pPr>
        <w:pStyle w:val="92"/>
      </w:pPr>
      <w:r>
        <w:t>详见《</w:t>
      </w:r>
      <w:r>
        <w:fldChar w:fldCharType="begin"/>
      </w:r>
      <w:r>
        <w:instrText xml:space="preserve"> REF 项目名称 \h  \* MERGEFORMAT </w:instrText>
      </w:r>
      <w:r>
        <w:fldChar w:fldCharType="separate"/>
      </w:r>
      <w:r>
        <w:t>中央财经大学</w:t>
      </w:r>
      <w:r>
        <w:rPr>
          <w:rFonts w:hint="eastAsia"/>
        </w:rPr>
        <w:t>后勤服务产业集团财务软件</w:t>
      </w:r>
      <w:r>
        <w:t>采购项目</w:t>
      </w:r>
      <w:r>
        <w:fldChar w:fldCharType="end"/>
      </w:r>
      <w:r>
        <w:t>竞争性磋商文件》。</w:t>
      </w:r>
    </w:p>
    <w:p>
      <w:pPr>
        <w:pStyle w:val="92"/>
        <w:numPr>
          <w:ilvl w:val="0"/>
          <w:numId w:val="8"/>
        </w:numPr>
        <w:ind w:left="420" w:firstLineChars="0"/>
      </w:pPr>
      <w:r>
        <w:t>项目预算金额：</w:t>
      </w:r>
      <w:bookmarkStart w:id="8" w:name="预算"/>
      <w:r>
        <w:rPr>
          <w:rFonts w:hint="eastAsia"/>
        </w:rPr>
        <w:t>30万</w:t>
      </w:r>
      <w:r>
        <w:t>元</w:t>
      </w:r>
      <w:bookmarkEnd w:id="8"/>
    </w:p>
    <w:p>
      <w:pPr>
        <w:pStyle w:val="92"/>
        <w:numPr>
          <w:ilvl w:val="0"/>
          <w:numId w:val="8"/>
        </w:numPr>
        <w:ind w:left="420" w:firstLineChars="0"/>
      </w:pPr>
      <w:r>
        <w:t>响应人资格要求：</w:t>
      </w:r>
    </w:p>
    <w:p>
      <w:pPr>
        <w:pStyle w:val="92"/>
      </w:pPr>
      <w:r>
        <w:t>见本文件第</w:t>
      </w:r>
      <w:r>
        <w:fldChar w:fldCharType="begin"/>
      </w:r>
      <w:r>
        <w:instrText xml:space="preserve"> REF 二 \h  \* MERGEFORMAT </w:instrText>
      </w:r>
      <w:r>
        <w:fldChar w:fldCharType="separate"/>
      </w:r>
      <w:r>
        <w:t>二</w:t>
      </w:r>
      <w:r>
        <w:fldChar w:fldCharType="end"/>
      </w:r>
      <w:r>
        <w:t>部分“</w:t>
      </w:r>
      <w:r>
        <w:fldChar w:fldCharType="begin"/>
      </w:r>
      <w:r>
        <w:instrText xml:space="preserve"> REF 响应人须知前附表 \h  \* MERGEFORMAT </w:instrText>
      </w:r>
      <w:r>
        <w:fldChar w:fldCharType="separate"/>
      </w:r>
      <w:r>
        <w:t>响应人须知前附表</w:t>
      </w:r>
      <w:r>
        <w:fldChar w:fldCharType="end"/>
      </w:r>
      <w:r>
        <w:t>”中的“</w:t>
      </w:r>
      <w:r>
        <w:fldChar w:fldCharType="begin"/>
      </w:r>
      <w:r>
        <w:instrText xml:space="preserve"> REF 响应人（或响应产品）资质要求 \h  \* MERGEFORMAT </w:instrText>
      </w:r>
      <w:r>
        <w:fldChar w:fldCharType="separate"/>
      </w:r>
      <w:r>
        <w:t>响应人（或响应产品）资质要求</w:t>
      </w:r>
      <w:r>
        <w:fldChar w:fldCharType="end"/>
      </w:r>
      <w:r>
        <w:t>”。</w:t>
      </w:r>
    </w:p>
    <w:p>
      <w:pPr>
        <w:pStyle w:val="92"/>
        <w:numPr>
          <w:ilvl w:val="0"/>
          <w:numId w:val="8"/>
        </w:numPr>
        <w:ind w:left="420" w:firstLineChars="0"/>
      </w:pPr>
      <w:bookmarkStart w:id="9" w:name="_Toc116879910"/>
      <w:r>
        <w:t>磋商文件领取时间、地点和办法</w:t>
      </w:r>
      <w:bookmarkEnd w:id="9"/>
    </w:p>
    <w:p>
      <w:pPr>
        <w:pStyle w:val="80"/>
        <w:spacing w:before="0" w:after="0" w:line="400" w:lineRule="exact"/>
        <w:ind w:left="0" w:leftChars="0" w:firstLine="420"/>
        <w:rPr>
          <w:color w:val="000000"/>
          <w:sz w:val="21"/>
          <w:szCs w:val="21"/>
        </w:rPr>
      </w:pPr>
      <w:r>
        <w:rPr>
          <w:color w:val="000000"/>
          <w:sz w:val="21"/>
          <w:szCs w:val="21"/>
        </w:rPr>
        <w:t>即日起五日内“中国政府采购网”、“中国教育装备网”、“中央财经大学官网”等公告信息发布页面免费下载。</w:t>
      </w:r>
    </w:p>
    <w:p>
      <w:pPr>
        <w:pStyle w:val="92"/>
        <w:numPr>
          <w:ilvl w:val="0"/>
          <w:numId w:val="8"/>
        </w:numPr>
        <w:ind w:left="420" w:firstLineChars="0"/>
      </w:pPr>
      <w:r>
        <w:t>磋商文件接收时间及地点</w:t>
      </w:r>
    </w:p>
    <w:p>
      <w:pPr>
        <w:pStyle w:val="80"/>
        <w:spacing w:before="0" w:after="0" w:line="400" w:lineRule="exact"/>
        <w:ind w:left="0" w:leftChars="0" w:firstLine="420"/>
        <w:rPr>
          <w:color w:val="000000"/>
          <w:sz w:val="21"/>
          <w:szCs w:val="21"/>
        </w:rPr>
      </w:pPr>
      <w:bookmarkStart w:id="10" w:name="磋商时间"/>
      <w:r>
        <w:rPr>
          <w:rFonts w:hint="eastAsia"/>
          <w:color w:val="000000"/>
          <w:sz w:val="21"/>
          <w:szCs w:val="21"/>
        </w:rPr>
        <w:t>2017</w:t>
      </w:r>
      <w:r>
        <w:rPr>
          <w:color w:val="000000"/>
          <w:sz w:val="21"/>
          <w:szCs w:val="21"/>
        </w:rPr>
        <w:t>年</w:t>
      </w:r>
      <w:r>
        <w:rPr>
          <w:rFonts w:hint="eastAsia"/>
          <w:color w:val="000000"/>
          <w:sz w:val="21"/>
          <w:szCs w:val="21"/>
        </w:rPr>
        <w:t>1</w:t>
      </w:r>
      <w:r>
        <w:rPr>
          <w:color w:val="000000"/>
          <w:sz w:val="21"/>
          <w:szCs w:val="21"/>
        </w:rPr>
        <w:t>月</w:t>
      </w:r>
      <w:r>
        <w:rPr>
          <w:rFonts w:hint="eastAsia"/>
          <w:color w:val="000000"/>
          <w:sz w:val="21"/>
          <w:szCs w:val="21"/>
        </w:rPr>
        <w:t>15</w:t>
      </w:r>
      <w:r>
        <w:rPr>
          <w:color w:val="000000"/>
          <w:sz w:val="21"/>
          <w:szCs w:val="21"/>
        </w:rPr>
        <w:t>日</w:t>
      </w:r>
      <w:bookmarkEnd w:id="10"/>
      <w:r>
        <w:rPr>
          <w:rFonts w:hint="eastAsia"/>
          <w:color w:val="000000"/>
          <w:sz w:val="21"/>
          <w:szCs w:val="21"/>
          <w:lang w:eastAsia="zh-CN"/>
        </w:rPr>
        <w:t>下</w:t>
      </w:r>
      <w:r>
        <w:rPr>
          <w:color w:val="000000"/>
          <w:sz w:val="21"/>
          <w:szCs w:val="21"/>
        </w:rPr>
        <w:t>午</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3</w:t>
      </w:r>
      <w:r>
        <w:rPr>
          <w:color w:val="000000"/>
          <w:sz w:val="21"/>
          <w:szCs w:val="21"/>
        </w:rPr>
        <w:t>0至</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5</w:t>
      </w:r>
      <w:r>
        <w:rPr>
          <w:color w:val="000000"/>
          <w:sz w:val="21"/>
          <w:szCs w:val="21"/>
        </w:rPr>
        <w:t>0</w:t>
      </w:r>
    </w:p>
    <w:p>
      <w:pPr>
        <w:pStyle w:val="80"/>
        <w:spacing w:before="0" w:after="0" w:line="400" w:lineRule="exact"/>
        <w:ind w:left="0" w:leftChars="0" w:firstLine="420"/>
        <w:rPr>
          <w:color w:val="000000"/>
          <w:sz w:val="21"/>
          <w:szCs w:val="21"/>
        </w:rPr>
      </w:pPr>
      <w:r>
        <w:rPr>
          <w:color w:val="000000"/>
          <w:sz w:val="21"/>
          <w:szCs w:val="21"/>
        </w:rPr>
        <w:t>北京海淀区学院南路39号中央财经大学学六楼201室。</w:t>
      </w:r>
    </w:p>
    <w:p>
      <w:pPr>
        <w:pStyle w:val="92"/>
        <w:numPr>
          <w:ilvl w:val="0"/>
          <w:numId w:val="8"/>
        </w:numPr>
        <w:ind w:left="420" w:firstLineChars="0"/>
      </w:pPr>
      <w:bookmarkStart w:id="118" w:name="_GoBack"/>
      <w:r>
        <w:t>磋商文件开启时间及地点</w:t>
      </w:r>
    </w:p>
    <w:p>
      <w:pPr>
        <w:pStyle w:val="80"/>
        <w:spacing w:before="0" w:after="0" w:line="400" w:lineRule="exact"/>
        <w:ind w:left="0" w:leftChars="0" w:firstLine="480"/>
        <w:rPr>
          <w:color w:val="000000"/>
          <w:sz w:val="21"/>
          <w:szCs w:val="21"/>
        </w:rPr>
      </w:pPr>
      <w:r>
        <w:fldChar w:fldCharType="begin"/>
      </w:r>
      <w:r>
        <w:instrText xml:space="preserve"> REF 磋商时间 \h  \* MERGEFORMAT </w:instrText>
      </w:r>
      <w:r>
        <w:fldChar w:fldCharType="separate"/>
      </w:r>
      <w:r>
        <w:rPr>
          <w:rFonts w:hint="eastAsia"/>
          <w:color w:val="000000"/>
          <w:sz w:val="21"/>
          <w:szCs w:val="21"/>
        </w:rPr>
        <w:t>2017</w:t>
      </w:r>
      <w:r>
        <w:rPr>
          <w:color w:val="000000"/>
          <w:sz w:val="21"/>
          <w:szCs w:val="21"/>
        </w:rPr>
        <w:t>年</w:t>
      </w:r>
      <w:r>
        <w:rPr>
          <w:rFonts w:hint="eastAsia"/>
          <w:color w:val="000000"/>
          <w:sz w:val="21"/>
          <w:szCs w:val="21"/>
        </w:rPr>
        <w:t>1</w:t>
      </w:r>
      <w:r>
        <w:rPr>
          <w:color w:val="000000"/>
          <w:sz w:val="21"/>
          <w:szCs w:val="21"/>
        </w:rPr>
        <w:t>月</w:t>
      </w:r>
      <w:r>
        <w:rPr>
          <w:rFonts w:hint="eastAsia"/>
          <w:color w:val="000000"/>
          <w:sz w:val="21"/>
          <w:szCs w:val="21"/>
        </w:rPr>
        <w:t>15</w:t>
      </w:r>
      <w:r>
        <w:rPr>
          <w:color w:val="000000"/>
          <w:sz w:val="21"/>
          <w:szCs w:val="21"/>
        </w:rPr>
        <w:t>日</w:t>
      </w:r>
      <w:r>
        <w:rPr>
          <w:color w:val="000000"/>
          <w:sz w:val="21"/>
          <w:szCs w:val="21"/>
        </w:rPr>
        <w:fldChar w:fldCharType="end"/>
      </w:r>
      <w:r>
        <w:rPr>
          <w:rFonts w:hint="eastAsia"/>
          <w:color w:val="000000"/>
          <w:sz w:val="21"/>
          <w:szCs w:val="21"/>
          <w:lang w:eastAsia="zh-CN"/>
        </w:rPr>
        <w:t>下</w:t>
      </w:r>
      <w:r>
        <w:rPr>
          <w:color w:val="000000"/>
          <w:sz w:val="21"/>
          <w:szCs w:val="21"/>
        </w:rPr>
        <w:t>午</w:t>
      </w:r>
      <w:r>
        <w:rPr>
          <w:rFonts w:hint="eastAsia"/>
          <w:color w:val="000000"/>
          <w:sz w:val="21"/>
          <w:szCs w:val="21"/>
          <w:lang w:val="en-US" w:eastAsia="zh-CN"/>
        </w:rPr>
        <w:t>14</w:t>
      </w:r>
      <w:r>
        <w:rPr>
          <w:color w:val="000000"/>
          <w:sz w:val="21"/>
          <w:szCs w:val="21"/>
        </w:rPr>
        <w:t>:00</w:t>
      </w:r>
    </w:p>
    <w:bookmarkEnd w:id="118"/>
    <w:p>
      <w:pPr>
        <w:pStyle w:val="80"/>
        <w:spacing w:before="0" w:after="0" w:line="400" w:lineRule="exact"/>
        <w:ind w:left="0" w:leftChars="0" w:firstLine="420"/>
        <w:rPr>
          <w:color w:val="000000"/>
          <w:sz w:val="21"/>
          <w:szCs w:val="21"/>
        </w:rPr>
      </w:pPr>
      <w:r>
        <w:rPr>
          <w:color w:val="000000"/>
          <w:sz w:val="21"/>
          <w:szCs w:val="21"/>
        </w:rPr>
        <w:t>北京海淀区学院南路39号中央财经大学学六楼201室。</w:t>
      </w:r>
    </w:p>
    <w:p>
      <w:pPr>
        <w:pStyle w:val="92"/>
        <w:numPr>
          <w:ilvl w:val="0"/>
          <w:numId w:val="8"/>
        </w:numPr>
        <w:ind w:left="420" w:firstLineChars="0"/>
      </w:pPr>
      <w:r>
        <w:t>磋商确认函截止时间</w:t>
      </w:r>
    </w:p>
    <w:p>
      <w:pPr>
        <w:pStyle w:val="92"/>
      </w:pPr>
      <w:bookmarkStart w:id="11" w:name="确认函说明"/>
      <w:r>
        <w:t>请确认参加磋商的供应</w:t>
      </w:r>
      <w:r>
        <w:rPr>
          <w:highlight w:val="none"/>
        </w:rPr>
        <w:t>商于</w:t>
      </w:r>
      <w:r>
        <w:rPr>
          <w:rFonts w:hint="eastAsia"/>
          <w:highlight w:val="none"/>
        </w:rPr>
        <w:t>2017</w:t>
      </w:r>
      <w:r>
        <w:rPr>
          <w:highlight w:val="none"/>
        </w:rPr>
        <w:t>年</w:t>
      </w:r>
      <w:r>
        <w:rPr>
          <w:rFonts w:hint="eastAsia"/>
          <w:highlight w:val="none"/>
        </w:rPr>
        <w:t>1</w:t>
      </w:r>
      <w:r>
        <w:rPr>
          <w:highlight w:val="none"/>
        </w:rPr>
        <w:t>月</w:t>
      </w:r>
      <w:r>
        <w:rPr>
          <w:rFonts w:hint="eastAsia"/>
          <w:highlight w:val="none"/>
        </w:rPr>
        <w:t>12</w:t>
      </w:r>
      <w:r>
        <w:rPr>
          <w:highlight w:val="none"/>
        </w:rPr>
        <w:t>日</w:t>
      </w:r>
      <w:r>
        <w:t>15:00前传真至我单位，同时将盖章扫描件发送至邮箱：</w:t>
      </w:r>
      <w:bookmarkStart w:id="12" w:name="邮箱"/>
      <w:r>
        <w:t>cgzx@cufe.edu.cn</w:t>
      </w:r>
      <w:bookmarkEnd w:id="12"/>
      <w:r>
        <w:t>，邮件发送确认函的</w:t>
      </w:r>
      <w:r>
        <w:rPr>
          <w:rFonts w:hint="eastAsia"/>
        </w:rPr>
        <w:t>，请务必保证您的</w:t>
      </w:r>
      <w:r>
        <w:rPr>
          <w:b/>
        </w:rPr>
        <w:t>邮件主题为“磋商确认函+公司简称+项目名称+项目编号”</w:t>
      </w:r>
      <w:r>
        <w:rPr>
          <w:rFonts w:hint="eastAsia"/>
        </w:rPr>
        <w:t>，</w:t>
      </w:r>
      <w:r>
        <w:rPr>
          <w:rFonts w:hint="eastAsia"/>
          <w:b/>
        </w:rPr>
        <w:t>以免邮件漏检！</w:t>
      </w:r>
    </w:p>
    <w:bookmarkEnd w:id="11"/>
    <w:p>
      <w:pPr>
        <w:pStyle w:val="92"/>
        <w:numPr>
          <w:ilvl w:val="0"/>
          <w:numId w:val="8"/>
        </w:numPr>
        <w:ind w:left="420" w:firstLineChars="0"/>
      </w:pPr>
      <w:r>
        <w:t>项目联系人</w:t>
      </w:r>
    </w:p>
    <w:p>
      <w:pPr>
        <w:pStyle w:val="80"/>
        <w:spacing w:before="0" w:after="0" w:line="400" w:lineRule="exact"/>
        <w:ind w:left="0" w:leftChars="0" w:firstLine="420"/>
        <w:rPr>
          <w:color w:val="000000"/>
          <w:sz w:val="21"/>
          <w:szCs w:val="21"/>
        </w:rPr>
      </w:pPr>
      <w:bookmarkStart w:id="13" w:name="项目联系信息"/>
      <w:r>
        <w:rPr>
          <w:color w:val="000000"/>
          <w:sz w:val="21"/>
          <w:szCs w:val="21"/>
        </w:rPr>
        <w:t>联系人：闫老师，王老师</w:t>
      </w:r>
    </w:p>
    <w:p>
      <w:pPr>
        <w:pStyle w:val="80"/>
        <w:spacing w:before="0" w:after="0" w:line="400" w:lineRule="exact"/>
        <w:ind w:left="0" w:leftChars="0" w:firstLine="420"/>
        <w:rPr>
          <w:color w:val="000000"/>
          <w:sz w:val="21"/>
          <w:szCs w:val="21"/>
        </w:rPr>
      </w:pPr>
      <w:r>
        <w:rPr>
          <w:color w:val="000000"/>
          <w:sz w:val="21"/>
          <w:szCs w:val="21"/>
        </w:rPr>
        <w:t>联系电话：010-62289113，010-62288705</w:t>
      </w:r>
    </w:p>
    <w:p>
      <w:pPr>
        <w:pStyle w:val="80"/>
        <w:spacing w:before="0" w:after="0" w:line="400" w:lineRule="exact"/>
        <w:ind w:left="0" w:leftChars="0" w:firstLine="420"/>
        <w:rPr>
          <w:color w:val="000000"/>
          <w:sz w:val="21"/>
          <w:szCs w:val="21"/>
        </w:rPr>
      </w:pPr>
      <w:r>
        <w:rPr>
          <w:color w:val="000000"/>
          <w:sz w:val="21"/>
          <w:szCs w:val="21"/>
        </w:rPr>
        <w:t>传真电话：010-62288705（可自动接收传真）</w:t>
      </w:r>
    </w:p>
    <w:p>
      <w:pPr>
        <w:pStyle w:val="80"/>
        <w:spacing w:before="0" w:after="0" w:line="400" w:lineRule="exact"/>
        <w:ind w:left="0" w:leftChars="0" w:firstLine="420"/>
        <w:rPr>
          <w:color w:val="000000"/>
          <w:sz w:val="21"/>
          <w:szCs w:val="21"/>
        </w:rPr>
      </w:pPr>
      <w:r>
        <w:rPr>
          <w:color w:val="000000"/>
          <w:sz w:val="21"/>
          <w:szCs w:val="21"/>
        </w:rPr>
        <w:t>联系邮箱：</w:t>
      </w:r>
      <w:r>
        <w:fldChar w:fldCharType="begin"/>
      </w:r>
      <w:r>
        <w:instrText xml:space="preserve"> REF 邮箱 \h  \* MERGEFORMAT </w:instrText>
      </w:r>
      <w:r>
        <w:fldChar w:fldCharType="separate"/>
      </w:r>
      <w:r>
        <w:t>cgzx@cufe.edu.cn</w:t>
      </w:r>
      <w:r>
        <w:fldChar w:fldCharType="end"/>
      </w:r>
      <w:r>
        <w:rPr>
          <w:color w:val="000000"/>
          <w:sz w:val="21"/>
          <w:szCs w:val="21"/>
        </w:rPr>
        <w:t xml:space="preserve"> </w:t>
      </w:r>
    </w:p>
    <w:bookmarkEnd w:id="13"/>
    <w:p>
      <w:pPr>
        <w:pStyle w:val="92"/>
        <w:numPr>
          <w:ilvl w:val="0"/>
          <w:numId w:val="8"/>
        </w:numPr>
        <w:ind w:left="420" w:firstLineChars="0"/>
      </w:pPr>
      <w:r>
        <w:t>其他</w:t>
      </w:r>
    </w:p>
    <w:p>
      <w:pPr>
        <w:pStyle w:val="80"/>
        <w:spacing w:before="0" w:after="0" w:line="400" w:lineRule="exact"/>
        <w:ind w:left="0" w:leftChars="0" w:firstLine="420"/>
        <w:rPr>
          <w:color w:val="000000"/>
          <w:sz w:val="21"/>
          <w:szCs w:val="21"/>
        </w:rPr>
      </w:pPr>
      <w:r>
        <w:rPr>
          <w:color w:val="000000"/>
          <w:sz w:val="21"/>
          <w:szCs w:val="21"/>
        </w:rPr>
        <w:t>本项目其余信息均在“中国政府采购网”、“中国教育装备网”、“中央财经大学官网”等媒体发布。</w:t>
      </w:r>
    </w:p>
    <w:p>
      <w:pPr>
        <w:pStyle w:val="80"/>
        <w:spacing w:before="0" w:after="0" w:line="400" w:lineRule="exact"/>
        <w:ind w:left="0" w:leftChars="0" w:firstLine="420"/>
        <w:rPr>
          <w:b/>
          <w:color w:val="000000"/>
          <w:sz w:val="21"/>
          <w:szCs w:val="21"/>
        </w:rPr>
      </w:pPr>
      <w:r>
        <w:rPr>
          <w:rFonts w:hint="eastAsia"/>
          <w:color w:val="000000"/>
          <w:sz w:val="21"/>
          <w:szCs w:val="21"/>
        </w:rPr>
        <w:tab/>
      </w:r>
      <w:r>
        <w:rPr>
          <w:rFonts w:hint="eastAsia"/>
          <w:b/>
          <w:color w:val="000000"/>
          <w:sz w:val="21"/>
          <w:szCs w:val="21"/>
        </w:rPr>
        <w:t>磋商文件中加“*”的项目为必须响应项，若有实质性修改或非实质性响应，将导致响应被拒绝且不允许在响应截止后补正，请各位响应人务必按照磋商文件要求准备响应文件。</w:t>
      </w:r>
    </w:p>
    <w:p>
      <w:pPr>
        <w:widowControl/>
        <w:adjustRightInd/>
        <w:spacing w:line="240" w:lineRule="auto"/>
        <w:textAlignment w:val="auto"/>
        <w:rPr>
          <w:color w:val="000000"/>
          <w:kern w:val="2"/>
          <w:sz w:val="21"/>
          <w:szCs w:val="21"/>
        </w:rPr>
      </w:pPr>
      <w:r>
        <w:rPr>
          <w:color w:val="000000"/>
          <w:sz w:val="21"/>
          <w:szCs w:val="21"/>
        </w:rPr>
        <w:br w:type="page"/>
      </w:r>
    </w:p>
    <w:p>
      <w:pPr>
        <w:pStyle w:val="3"/>
        <w:adjustRightInd/>
        <w:spacing w:line="415" w:lineRule="auto"/>
        <w:ind w:left="420" w:hanging="420"/>
        <w:jc w:val="center"/>
        <w:textAlignment w:val="auto"/>
        <w:rPr>
          <w:rFonts w:ascii="Times New Roman" w:hAnsi="Times New Roman" w:eastAsia="宋体"/>
          <w:kern w:val="2"/>
        </w:rPr>
      </w:pPr>
      <w:bookmarkStart w:id="14" w:name="_Toc491372347"/>
      <w:bookmarkStart w:id="15" w:name="_Toc477456198"/>
      <w:r>
        <w:rPr>
          <w:rFonts w:ascii="Times New Roman" w:hAnsi="Times New Roman" w:eastAsia="宋体"/>
          <w:kern w:val="2"/>
        </w:rPr>
        <w:t>第</w:t>
      </w:r>
      <w:bookmarkStart w:id="16" w:name="二"/>
      <w:r>
        <w:rPr>
          <w:rFonts w:ascii="Times New Roman" w:hAnsi="Times New Roman" w:eastAsia="宋体"/>
          <w:kern w:val="2"/>
        </w:rPr>
        <w:t>二</w:t>
      </w:r>
      <w:bookmarkEnd w:id="16"/>
      <w:r>
        <w:rPr>
          <w:rFonts w:ascii="Times New Roman" w:hAnsi="Times New Roman" w:eastAsia="宋体"/>
          <w:kern w:val="2"/>
        </w:rPr>
        <w:t xml:space="preserve">部分  </w:t>
      </w:r>
      <w:bookmarkStart w:id="17" w:name="响应人须知前附表"/>
      <w:r>
        <w:rPr>
          <w:rFonts w:ascii="Times New Roman" w:hAnsi="Times New Roman" w:eastAsia="宋体"/>
          <w:kern w:val="2"/>
        </w:rPr>
        <w:t>响应人须知前附表</w:t>
      </w:r>
      <w:bookmarkEnd w:id="14"/>
      <w:bookmarkEnd w:id="15"/>
      <w:bookmarkEnd w:id="17"/>
    </w:p>
    <w:tbl>
      <w:tblPr>
        <w:tblStyle w:val="45"/>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spacing w:line="400" w:lineRule="exact"/>
              <w:jc w:val="center"/>
              <w:rPr>
                <w:sz w:val="21"/>
                <w:szCs w:val="21"/>
              </w:rPr>
            </w:pPr>
            <w:r>
              <w:rPr>
                <w:sz w:val="21"/>
                <w:szCs w:val="21"/>
              </w:rPr>
              <w:t>序号</w:t>
            </w:r>
          </w:p>
        </w:tc>
        <w:tc>
          <w:tcPr>
            <w:tcW w:w="2404" w:type="dxa"/>
            <w:vAlign w:val="center"/>
          </w:tcPr>
          <w:p>
            <w:pPr>
              <w:spacing w:line="400" w:lineRule="exact"/>
              <w:jc w:val="center"/>
              <w:rPr>
                <w:sz w:val="21"/>
                <w:szCs w:val="21"/>
              </w:rPr>
            </w:pPr>
            <w:r>
              <w:rPr>
                <w:sz w:val="21"/>
                <w:szCs w:val="21"/>
              </w:rPr>
              <w:t>内容</w:t>
            </w:r>
          </w:p>
        </w:tc>
        <w:tc>
          <w:tcPr>
            <w:tcW w:w="5880" w:type="dxa"/>
            <w:vAlign w:val="center"/>
          </w:tcPr>
          <w:p>
            <w:pPr>
              <w:spacing w:line="400" w:lineRule="exact"/>
              <w:jc w:val="center"/>
              <w:rPr>
                <w:sz w:val="21"/>
                <w:szCs w:val="21"/>
              </w:rPr>
            </w:pPr>
            <w:r>
              <w:rPr>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4" w:type="dxa"/>
            <w:vAlign w:val="center"/>
          </w:tcPr>
          <w:p>
            <w:pPr>
              <w:pStyle w:val="74"/>
              <w:numPr>
                <w:ilvl w:val="0"/>
                <w:numId w:val="10"/>
              </w:numPr>
              <w:spacing w:line="400" w:lineRule="exact"/>
              <w:ind w:firstLineChars="0"/>
              <w:jc w:val="center"/>
            </w:pPr>
            <w:bookmarkStart w:id="18" w:name="_Ref477961867"/>
          </w:p>
          <w:bookmarkEnd w:id="18"/>
        </w:tc>
        <w:tc>
          <w:tcPr>
            <w:tcW w:w="2404" w:type="dxa"/>
            <w:vAlign w:val="center"/>
          </w:tcPr>
          <w:p>
            <w:pPr>
              <w:pStyle w:val="50"/>
              <w:spacing w:before="0" w:after="0" w:line="400" w:lineRule="exact"/>
              <w:jc w:val="both"/>
              <w:rPr>
                <w:rFonts w:ascii="Times New Roman" w:hAnsi="Times New Roman" w:eastAsia="宋体" w:cs="Times New Roman"/>
                <w:b w:val="0"/>
                <w:bCs w:val="0"/>
                <w:sz w:val="21"/>
                <w:szCs w:val="21"/>
              </w:rPr>
            </w:pPr>
            <w:r>
              <w:rPr>
                <w:rFonts w:ascii="Times New Roman" w:hAnsi="Times New Roman" w:eastAsia="宋体" w:cs="Times New Roman"/>
                <w:b w:val="0"/>
                <w:bCs w:val="0"/>
                <w:sz w:val="21"/>
                <w:szCs w:val="21"/>
              </w:rPr>
              <w:t>采购人名称</w:t>
            </w:r>
          </w:p>
        </w:tc>
        <w:tc>
          <w:tcPr>
            <w:tcW w:w="5880" w:type="dxa"/>
            <w:vAlign w:val="center"/>
          </w:tcPr>
          <w:p>
            <w:pPr>
              <w:spacing w:line="400" w:lineRule="exact"/>
              <w:ind w:firstLine="420" w:firstLineChars="200"/>
              <w:jc w:val="both"/>
              <w:rPr>
                <w:sz w:val="21"/>
                <w:szCs w:val="21"/>
              </w:rPr>
            </w:pPr>
            <w:r>
              <w:rPr>
                <w:sz w:val="21"/>
                <w:szCs w:val="21"/>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704" w:type="dxa"/>
            <w:vAlign w:val="center"/>
          </w:tcPr>
          <w:p>
            <w:pPr>
              <w:pStyle w:val="74"/>
              <w:numPr>
                <w:ilvl w:val="0"/>
                <w:numId w:val="10"/>
              </w:numPr>
              <w:spacing w:line="400" w:lineRule="exact"/>
              <w:ind w:firstLineChars="0"/>
              <w:jc w:val="center"/>
            </w:pPr>
            <w:bookmarkStart w:id="19" w:name="_Ref477459456"/>
          </w:p>
          <w:bookmarkEnd w:id="19"/>
        </w:tc>
        <w:tc>
          <w:tcPr>
            <w:tcW w:w="2404" w:type="dxa"/>
            <w:vAlign w:val="center"/>
          </w:tcPr>
          <w:p>
            <w:pPr>
              <w:pStyle w:val="50"/>
              <w:spacing w:before="120" w:beforeLines="50" w:after="120" w:afterLines="50" w:line="400" w:lineRule="exact"/>
              <w:jc w:val="both"/>
              <w:rPr>
                <w:rFonts w:ascii="Times New Roman" w:hAnsi="Times New Roman" w:eastAsia="宋体" w:cs="Times New Roman"/>
                <w:b w:val="0"/>
                <w:bCs w:val="0"/>
                <w:sz w:val="21"/>
                <w:szCs w:val="21"/>
              </w:rPr>
            </w:pPr>
            <w:bookmarkStart w:id="20" w:name="响应人（或响应产品）资质要求"/>
            <w:r>
              <w:rPr>
                <w:rFonts w:ascii="Times New Roman" w:hAnsi="Times New Roman" w:eastAsia="宋体" w:cs="Times New Roman"/>
                <w:b w:val="0"/>
                <w:bCs w:val="0"/>
                <w:sz w:val="21"/>
                <w:szCs w:val="21"/>
              </w:rPr>
              <w:t>响应人（或响应产品）资质要求</w:t>
            </w:r>
            <w:bookmarkEnd w:id="20"/>
          </w:p>
        </w:tc>
        <w:tc>
          <w:tcPr>
            <w:tcW w:w="5880" w:type="dxa"/>
            <w:vAlign w:val="center"/>
          </w:tcPr>
          <w:p>
            <w:pPr>
              <w:spacing w:line="400" w:lineRule="exact"/>
              <w:ind w:firstLine="480" w:firstLineChars="200"/>
              <w:jc w:val="both"/>
              <w:rPr>
                <w:sz w:val="21"/>
                <w:szCs w:val="21"/>
              </w:rPr>
            </w:pPr>
            <w:r>
              <w:rPr>
                <w:rFonts w:hint="eastAsia"/>
              </w:rPr>
              <w:t>符合《中华人民共和国政府采购法》第二十二条规定的供应商。</w:t>
            </w:r>
            <w:r>
              <w:rPr>
                <w:rFonts w:hint="eastAsia" w:ascii="宋体" w:cs="宋体"/>
              </w:rPr>
              <w:t>在中华人民共和国境内注册的具有独立法人资格的企业,企业营业执照中具备相应经营范围</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1" w:name="是否允许代理商响应"/>
            <w:r>
              <w:rPr>
                <w:sz w:val="21"/>
                <w:szCs w:val="21"/>
              </w:rPr>
              <w:t>是否允许代理商响应</w:t>
            </w:r>
            <w:bookmarkEnd w:id="21"/>
          </w:p>
        </w:tc>
        <w:tc>
          <w:tcPr>
            <w:tcW w:w="5880" w:type="dxa"/>
            <w:vAlign w:val="center"/>
          </w:tcPr>
          <w:p>
            <w:pPr>
              <w:spacing w:line="400" w:lineRule="exact"/>
              <w:ind w:firstLine="420" w:firstLineChars="200"/>
              <w:jc w:val="both"/>
              <w:rPr>
                <w:sz w:val="21"/>
                <w:szCs w:val="21"/>
              </w:rPr>
            </w:pPr>
            <w:bookmarkStart w:id="22" w:name="_Toc477456199"/>
            <w:bookmarkStart w:id="23" w:name="_Toc477456266"/>
            <w:r>
              <w:rPr>
                <w:sz w:val="21"/>
                <w:szCs w:val="21"/>
              </w:rPr>
              <w:t>否</w:t>
            </w:r>
            <w:bookmarkEnd w:id="22"/>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4" w:name="代理要求对应证书"/>
            <w:r>
              <w:rPr>
                <w:sz w:val="21"/>
                <w:szCs w:val="21"/>
              </w:rPr>
              <w:t>代理商应提交资料</w:t>
            </w:r>
            <w:bookmarkEnd w:id="24"/>
          </w:p>
        </w:tc>
        <w:tc>
          <w:tcPr>
            <w:tcW w:w="5880" w:type="dxa"/>
            <w:vAlign w:val="center"/>
          </w:tcPr>
          <w:p>
            <w:pPr>
              <w:spacing w:line="400" w:lineRule="exact"/>
              <w:ind w:firstLine="420" w:firstLineChars="200"/>
              <w:jc w:val="both"/>
              <w:rPr>
                <w:sz w:val="21"/>
                <w:szCs w:val="21"/>
              </w:rPr>
            </w:pPr>
            <w:r>
              <w:rPr>
                <w:sz w:val="21"/>
                <w:szCs w:val="21"/>
              </w:rPr>
              <w:t>说明</w:t>
            </w:r>
            <w:r>
              <w:rPr>
                <w:rFonts w:hint="eastAsia"/>
                <w:sz w:val="21"/>
                <w:szCs w:val="21"/>
              </w:rPr>
              <w:t>：</w:t>
            </w:r>
          </w:p>
          <w:p>
            <w:pPr>
              <w:spacing w:line="400" w:lineRule="exact"/>
              <w:ind w:firstLine="420" w:firstLineChars="200"/>
              <w:jc w:val="both"/>
              <w:rPr>
                <w:sz w:val="21"/>
                <w:szCs w:val="21"/>
              </w:rPr>
            </w:pPr>
            <w:r>
              <w:rPr>
                <w:rFonts w:hint="eastAsia"/>
                <w:sz w:val="21"/>
                <w:szCs w:val="21"/>
              </w:rPr>
              <w:t>1、若本表第</w:t>
            </w:r>
            <w:r>
              <w:rPr>
                <w:sz w:val="21"/>
                <w:szCs w:val="21"/>
              </w:rPr>
              <w:fldChar w:fldCharType="begin"/>
            </w:r>
            <w:r>
              <w:rPr>
                <w:sz w:val="21"/>
                <w:szCs w:val="21"/>
              </w:rPr>
              <w:instrText xml:space="preserve"> REF _Ref491349452 \r \h </w:instrText>
            </w:r>
            <w:r>
              <w:rPr>
                <w:sz w:val="21"/>
                <w:szCs w:val="21"/>
              </w:rPr>
              <w:fldChar w:fldCharType="separate"/>
            </w:r>
            <w:r>
              <w:rPr>
                <w:sz w:val="21"/>
                <w:szCs w:val="21"/>
              </w:rPr>
              <w:t>5</w:t>
            </w:r>
            <w:r>
              <w:rPr>
                <w:sz w:val="21"/>
                <w:szCs w:val="21"/>
              </w:rPr>
              <w:fldChar w:fldCharType="end"/>
            </w:r>
            <w:r>
              <w:rPr>
                <w:rFonts w:hint="eastAsia"/>
                <w:sz w:val="21"/>
                <w:szCs w:val="21"/>
              </w:rPr>
              <w:t>项已要求，应分别提供本表第</w:t>
            </w:r>
            <w:r>
              <w:rPr>
                <w:sz w:val="21"/>
                <w:szCs w:val="21"/>
              </w:rPr>
              <w:fldChar w:fldCharType="begin"/>
            </w:r>
            <w:r>
              <w:rPr>
                <w:sz w:val="21"/>
                <w:szCs w:val="21"/>
              </w:rPr>
              <w:instrText xml:space="preserve"> REF _Ref491349452 \r \h </w:instrText>
            </w:r>
            <w:r>
              <w:rPr>
                <w:sz w:val="21"/>
                <w:szCs w:val="21"/>
              </w:rPr>
              <w:fldChar w:fldCharType="separate"/>
            </w:r>
            <w:r>
              <w:rPr>
                <w:sz w:val="21"/>
                <w:szCs w:val="21"/>
              </w:rPr>
              <w:t>5</w:t>
            </w:r>
            <w:r>
              <w:rPr>
                <w:sz w:val="21"/>
                <w:szCs w:val="21"/>
              </w:rPr>
              <w:fldChar w:fldCharType="end"/>
            </w:r>
            <w:r>
              <w:rPr>
                <w:rFonts w:hint="eastAsia"/>
                <w:sz w:val="21"/>
                <w:szCs w:val="21"/>
              </w:rPr>
              <w:t>项所列设备生产制造厂商针对本项目的正式授权文件：</w:t>
            </w:r>
          </w:p>
          <w:p>
            <w:pPr>
              <w:spacing w:line="400" w:lineRule="exact"/>
              <w:ind w:firstLine="420" w:firstLineChars="200"/>
              <w:jc w:val="both"/>
              <w:rPr>
                <w:sz w:val="21"/>
                <w:szCs w:val="21"/>
              </w:rPr>
            </w:pPr>
            <w:r>
              <w:rPr>
                <w:rFonts w:hint="eastAsia"/>
                <w:sz w:val="21"/>
                <w:szCs w:val="21"/>
              </w:rPr>
              <w:t>2、若生产制造厂商直接参加投标的，则不得再授权代理商参加投标，若授权，则仅接受该厂商的投标，其授权的代理商投标将被拒绝；</w:t>
            </w:r>
          </w:p>
          <w:p>
            <w:pPr>
              <w:spacing w:line="400" w:lineRule="exact"/>
              <w:ind w:firstLine="420" w:firstLineChars="200"/>
              <w:jc w:val="both"/>
              <w:rPr>
                <w:sz w:val="21"/>
                <w:szCs w:val="21"/>
              </w:rPr>
            </w:pPr>
            <w:r>
              <w:rPr>
                <w:rFonts w:hint="eastAsia"/>
                <w:sz w:val="21"/>
                <w:szCs w:val="21"/>
              </w:rPr>
              <w:t>3、若生产制造厂商不直接参加投标的，只能授权不超过1家代理商参与投标，否则该厂商授权的所有代理商的投标将全部被拒绝。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4" w:type="dxa"/>
            <w:vAlign w:val="center"/>
          </w:tcPr>
          <w:p>
            <w:pPr>
              <w:pStyle w:val="74"/>
              <w:numPr>
                <w:ilvl w:val="0"/>
                <w:numId w:val="10"/>
              </w:numPr>
              <w:spacing w:line="400" w:lineRule="exact"/>
              <w:ind w:firstLineChars="0"/>
              <w:jc w:val="center"/>
            </w:pPr>
            <w:bookmarkStart w:id="25" w:name="_Ref491349452"/>
          </w:p>
          <w:bookmarkEnd w:id="25"/>
        </w:tc>
        <w:tc>
          <w:tcPr>
            <w:tcW w:w="2404" w:type="dxa"/>
            <w:vAlign w:val="center"/>
          </w:tcPr>
          <w:p>
            <w:pPr>
              <w:spacing w:line="400" w:lineRule="exact"/>
              <w:jc w:val="both"/>
              <w:rPr>
                <w:sz w:val="21"/>
                <w:szCs w:val="21"/>
              </w:rPr>
            </w:pPr>
            <w:bookmarkStart w:id="26" w:name="本次采购是否需要提供厂家授权的产品或服务清单"/>
            <w:r>
              <w:rPr>
                <w:sz w:val="21"/>
                <w:szCs w:val="21"/>
              </w:rPr>
              <w:t>本次采购是否需要提供厂家授权的产品或服务清单</w:t>
            </w:r>
            <w:bookmarkEnd w:id="26"/>
          </w:p>
        </w:tc>
        <w:tc>
          <w:tcPr>
            <w:tcW w:w="5880" w:type="dxa"/>
            <w:vAlign w:val="center"/>
          </w:tcPr>
          <w:p>
            <w:pPr>
              <w:spacing w:line="400" w:lineRule="exact"/>
              <w:ind w:firstLine="420" w:firstLineChars="200"/>
              <w:jc w:val="both"/>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7" w:name="是否允许联合体响应"/>
            <w:r>
              <w:rPr>
                <w:sz w:val="21"/>
                <w:szCs w:val="21"/>
              </w:rPr>
              <w:t>是否允许联合体响应</w:t>
            </w:r>
            <w:bookmarkEnd w:id="27"/>
          </w:p>
        </w:tc>
        <w:tc>
          <w:tcPr>
            <w:tcW w:w="5880" w:type="dxa"/>
            <w:vAlign w:val="center"/>
          </w:tcPr>
          <w:p>
            <w:pPr>
              <w:spacing w:line="400" w:lineRule="exact"/>
              <w:ind w:firstLine="420" w:firstLineChars="200"/>
              <w:jc w:val="both"/>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8" w:name="响应人应提交的商务文件"/>
            <w:r>
              <w:rPr>
                <w:sz w:val="21"/>
                <w:szCs w:val="21"/>
              </w:rPr>
              <w:t>响应人应提交的商务文件</w:t>
            </w:r>
            <w:bookmarkEnd w:id="28"/>
          </w:p>
        </w:tc>
        <w:tc>
          <w:tcPr>
            <w:tcW w:w="5880" w:type="dxa"/>
            <w:vAlign w:val="center"/>
          </w:tcPr>
          <w:p>
            <w:pPr>
              <w:pStyle w:val="92"/>
              <w:numPr>
                <w:ilvl w:val="0"/>
                <w:numId w:val="11"/>
              </w:numPr>
              <w:ind w:firstLineChars="0"/>
            </w:pPr>
            <w:bookmarkStart w:id="29" w:name="响应函"/>
            <w:r>
              <w:t>响应确认函</w:t>
            </w:r>
            <w:r>
              <w:rPr>
                <w:rFonts w:hint="eastAsia"/>
              </w:rPr>
              <w:t>；</w:t>
            </w:r>
          </w:p>
          <w:p>
            <w:pPr>
              <w:pStyle w:val="92"/>
              <w:numPr>
                <w:ilvl w:val="0"/>
                <w:numId w:val="11"/>
              </w:numPr>
              <w:ind w:firstLineChars="0"/>
              <w:rPr>
                <w:b/>
              </w:rPr>
            </w:pPr>
            <w:r>
              <w:rPr>
                <w:b/>
              </w:rPr>
              <w:t>* 承诺函</w:t>
            </w:r>
            <w:bookmarkEnd w:id="29"/>
            <w:r>
              <w:rPr>
                <w:b/>
              </w:rPr>
              <w:t>；</w:t>
            </w:r>
          </w:p>
          <w:p>
            <w:pPr>
              <w:pStyle w:val="92"/>
              <w:numPr>
                <w:ilvl w:val="0"/>
                <w:numId w:val="11"/>
              </w:numPr>
              <w:ind w:firstLineChars="0"/>
              <w:rPr>
                <w:b/>
              </w:rPr>
            </w:pPr>
            <w:bookmarkStart w:id="30" w:name="授权委托书"/>
            <w:r>
              <w:rPr>
                <w:b/>
              </w:rPr>
              <w:t>* 法定代表人授权委托书</w:t>
            </w:r>
            <w:bookmarkEnd w:id="30"/>
            <w:r>
              <w:rPr>
                <w:b/>
              </w:rPr>
              <w:t>；</w:t>
            </w:r>
          </w:p>
          <w:p>
            <w:pPr>
              <w:pStyle w:val="92"/>
              <w:numPr>
                <w:ilvl w:val="0"/>
                <w:numId w:val="11"/>
              </w:numPr>
              <w:ind w:firstLineChars="0"/>
              <w:rPr>
                <w:b/>
              </w:rPr>
            </w:pPr>
            <w:bookmarkStart w:id="31" w:name="营业执照"/>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bookmarkEnd w:id="31"/>
            <w:r>
              <w:rPr>
                <w:b/>
              </w:rPr>
              <w:t>；</w:t>
            </w:r>
          </w:p>
          <w:p>
            <w:pPr>
              <w:pStyle w:val="92"/>
              <w:numPr>
                <w:ilvl w:val="0"/>
                <w:numId w:val="11"/>
              </w:numPr>
              <w:ind w:firstLineChars="0"/>
              <w:rPr>
                <w:b/>
              </w:rPr>
            </w:pPr>
            <w:bookmarkStart w:id="32" w:name="资质要求证书"/>
            <w:r>
              <w:rPr>
                <w:rFonts w:hint="eastAsia"/>
                <w:b/>
              </w:rPr>
              <w:t>* 按照“</w:t>
            </w:r>
            <w:r>
              <w:fldChar w:fldCharType="begin"/>
            </w:r>
            <w:r>
              <w:instrText xml:space="preserve"> REF 响应人（或响应产品）资质要求 \h  \* MERGEFORMAT </w:instrText>
            </w:r>
            <w:r>
              <w:fldChar w:fldCharType="separate"/>
            </w:r>
            <w:r>
              <w:rPr>
                <w:b/>
                <w:bCs/>
                <w:szCs w:val="21"/>
              </w:rPr>
              <w:t>响应人（或响应产品）资质要求</w:t>
            </w:r>
            <w:r>
              <w:rPr>
                <w:b/>
                <w:bCs/>
                <w:szCs w:val="21"/>
              </w:rPr>
              <w:fldChar w:fldCharType="end"/>
            </w:r>
            <w:r>
              <w:rPr>
                <w:rFonts w:hint="eastAsia"/>
                <w:b/>
              </w:rPr>
              <w:t>”需提供的材料；</w:t>
            </w:r>
            <w:bookmarkEnd w:id="32"/>
          </w:p>
          <w:p>
            <w:pPr>
              <w:pStyle w:val="92"/>
              <w:numPr>
                <w:ilvl w:val="0"/>
                <w:numId w:val="11"/>
              </w:numPr>
              <w:ind w:firstLineChars="0"/>
              <w:rPr>
                <w:b/>
              </w:rPr>
            </w:pPr>
            <w:bookmarkStart w:id="33" w:name="按照代理商应提交资料"/>
            <w:r>
              <w:rPr>
                <w:b/>
              </w:rPr>
              <w:t>* 按照“</w:t>
            </w:r>
            <w:r>
              <w:fldChar w:fldCharType="begin"/>
            </w:r>
            <w:r>
              <w:instrText xml:space="preserve"> REF 代理要求对应证书 \h  \* MERGEFORMAT </w:instrText>
            </w:r>
            <w:r>
              <w:fldChar w:fldCharType="separate"/>
            </w:r>
            <w:r>
              <w:rPr>
                <w:b/>
                <w:szCs w:val="21"/>
              </w:rPr>
              <w:t>代理商应提交资料</w:t>
            </w:r>
            <w:r>
              <w:rPr>
                <w:b/>
                <w:szCs w:val="21"/>
              </w:rPr>
              <w:fldChar w:fldCharType="end"/>
            </w:r>
            <w:r>
              <w:rPr>
                <w:b/>
              </w:rPr>
              <w:t>”规定提交的相关证明文件</w:t>
            </w:r>
            <w:bookmarkEnd w:id="33"/>
            <w:r>
              <w:rPr>
                <w:b/>
              </w:rPr>
              <w:t>；</w:t>
            </w:r>
          </w:p>
          <w:p>
            <w:pPr>
              <w:pStyle w:val="74"/>
              <w:numPr>
                <w:ilvl w:val="0"/>
                <w:numId w:val="11"/>
              </w:numPr>
              <w:ind w:firstLineChars="0"/>
              <w:rPr>
                <w:rFonts w:ascii="宋体" w:hAnsi="宋体"/>
                <w:b/>
                <w:szCs w:val="22"/>
              </w:rPr>
            </w:pPr>
            <w:bookmarkStart w:id="34" w:name="无重大违法记录声明函"/>
            <w:r>
              <w:rPr>
                <w:rFonts w:hint="eastAsia" w:ascii="宋体" w:hAnsi="宋体"/>
                <w:b/>
                <w:szCs w:val="22"/>
              </w:rPr>
              <w:t>*</w:t>
            </w:r>
            <w:r>
              <w:rPr>
                <w:rFonts w:ascii="宋体" w:hAnsi="宋体"/>
                <w:b/>
                <w:szCs w:val="22"/>
              </w:rPr>
              <w:t xml:space="preserve"> </w:t>
            </w:r>
            <w:r>
              <w:rPr>
                <w:rFonts w:hint="eastAsia" w:ascii="宋体" w:hAnsi="宋体"/>
                <w:b/>
                <w:szCs w:val="22"/>
              </w:rPr>
              <w:t>提交参与采购活动前三年内在经营活动中没有重大违法记录的书面声明函</w:t>
            </w:r>
            <w:bookmarkEnd w:id="34"/>
            <w:r>
              <w:rPr>
                <w:rFonts w:hint="eastAsia" w:ascii="宋体" w:hAnsi="宋体"/>
                <w:b/>
                <w:szCs w:val="22"/>
              </w:rPr>
              <w:t>；</w:t>
            </w:r>
          </w:p>
          <w:p>
            <w:pPr>
              <w:pStyle w:val="92"/>
              <w:numPr>
                <w:ilvl w:val="0"/>
                <w:numId w:val="11"/>
              </w:numPr>
              <w:ind w:firstLineChars="0"/>
              <w:rPr>
                <w:b/>
              </w:rPr>
            </w:pPr>
            <w:bookmarkStart w:id="35" w:name="财务证明文件"/>
            <w:r>
              <w:rPr>
                <w:rFonts w:hint="eastAsia"/>
                <w:b/>
              </w:rPr>
              <w:t>* 近两年度任意一年度经会计师事务所审计的财务审计报告（需包含报告页及资产负债表、损益表（利润表）和现金流量表，复印件加盖报价人公章，部分其他组织和自然人及开业不满一年的没有经审计的财务报告，可以提供银行出具的资信证明）</w:t>
            </w:r>
            <w:bookmarkEnd w:id="35"/>
            <w:r>
              <w:rPr>
                <w:rFonts w:hint="eastAsia"/>
                <w:b/>
              </w:rPr>
              <w:t>；</w:t>
            </w:r>
          </w:p>
          <w:p>
            <w:pPr>
              <w:pStyle w:val="92"/>
              <w:numPr>
                <w:ilvl w:val="0"/>
                <w:numId w:val="11"/>
              </w:numPr>
              <w:ind w:firstLineChars="0"/>
              <w:rPr>
                <w:b/>
              </w:rPr>
            </w:pPr>
            <w:bookmarkStart w:id="36" w:name="纳税证明"/>
            <w:r>
              <w:rPr>
                <w:rFonts w:hint="eastAsia"/>
                <w:b/>
              </w:rPr>
              <w:t>* 开标日前半年内不少于一个月缴纳税收 及 不少于三个月的社会保障资金的证明材料（缴纳凭证复印件或税务部门及社保中心开具的缴纳证明扫描件）</w:t>
            </w:r>
            <w:bookmarkEnd w:id="36"/>
            <w:r>
              <w:rPr>
                <w:rFonts w:hint="eastAsia"/>
                <w:b/>
              </w:rPr>
              <w:t>；</w:t>
            </w:r>
          </w:p>
          <w:p>
            <w:pPr>
              <w:pStyle w:val="92"/>
              <w:numPr>
                <w:ilvl w:val="0"/>
                <w:numId w:val="11"/>
              </w:numPr>
              <w:ind w:firstLineChars="0"/>
              <w:rPr>
                <w:b/>
              </w:rPr>
            </w:pPr>
            <w:bookmarkStart w:id="37" w:name="信用记录"/>
            <w:r>
              <w:rPr>
                <w:rFonts w:hint="eastAsia"/>
                <w:b/>
              </w:rPr>
              <w:t>* 信用信息查询记录及查询结果</w:t>
            </w:r>
            <w:bookmarkEnd w:id="37"/>
            <w:r>
              <w:rPr>
                <w:rFonts w:hint="eastAsia"/>
                <w:b/>
              </w:rPr>
              <w:t>：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92"/>
              <w:ind w:left="240" w:firstLine="0" w:firstLineChars="0"/>
              <w:rPr>
                <w:b/>
              </w:rPr>
            </w:pPr>
            <w:r>
              <w:rPr>
                <w:rFonts w:hint="eastAsia"/>
                <w:b/>
              </w:rPr>
              <w:t>11、</w:t>
            </w:r>
            <w:r>
              <w:rPr>
                <w:b/>
              </w:rPr>
              <w:t>* 报价一览表</w:t>
            </w:r>
            <w:r>
              <w:rPr>
                <w:rFonts w:hint="eastAsia"/>
                <w:b/>
              </w:rPr>
              <w:t>，</w:t>
            </w:r>
            <w:r>
              <w:rPr>
                <w:b/>
              </w:rPr>
              <w:t>除装订在响应文件中外</w:t>
            </w:r>
            <w:r>
              <w:rPr>
                <w:rFonts w:hint="eastAsia"/>
                <w:b/>
              </w:rPr>
              <w:t>，</w:t>
            </w:r>
            <w:r>
              <w:rPr>
                <w:b/>
              </w:rPr>
              <w:t xml:space="preserve">还需要提供单独密封的报价一览表一份； </w:t>
            </w:r>
          </w:p>
          <w:p>
            <w:pPr>
              <w:pStyle w:val="92"/>
              <w:ind w:left="240" w:firstLine="0" w:firstLineChars="0"/>
              <w:rPr>
                <w:b/>
              </w:rPr>
            </w:pPr>
            <w:r>
              <w:rPr>
                <w:rFonts w:hint="eastAsia"/>
              </w:rPr>
              <w:t>12、报价明细表；</w:t>
            </w:r>
          </w:p>
          <w:p>
            <w:pPr>
              <w:pStyle w:val="92"/>
              <w:ind w:left="240" w:firstLine="0" w:firstLineChars="0"/>
            </w:pPr>
            <w:r>
              <w:rPr>
                <w:rFonts w:hint="eastAsia"/>
              </w:rPr>
              <w:t>13、</w:t>
            </w:r>
            <w:r>
              <w:t>商务条款偏离表；</w:t>
            </w:r>
          </w:p>
          <w:p>
            <w:pPr>
              <w:pStyle w:val="92"/>
              <w:ind w:left="240" w:firstLine="0" w:firstLineChars="0"/>
            </w:pPr>
            <w:r>
              <w:rPr>
                <w:rFonts w:hint="eastAsia"/>
              </w:rPr>
              <w:t>14、</w:t>
            </w:r>
            <w:r>
              <w:t>响应人认为需要提供的其他商务资料。</w:t>
            </w:r>
          </w:p>
          <w:p>
            <w:pPr>
              <w:pStyle w:val="92"/>
              <w:ind w:left="240" w:firstLine="0" w:firstLineChars="0"/>
            </w:pPr>
            <w:r>
              <w:rPr>
                <w:rFonts w:hint="eastAsia"/>
                <w:b/>
              </w:rPr>
              <w:t>★该部分中2-</w:t>
            </w:r>
            <w:r>
              <w:rPr>
                <w:b/>
              </w:rPr>
              <w:t>1</w:t>
            </w:r>
            <w:r>
              <w:rPr>
                <w:rFonts w:hint="eastAsia"/>
                <w:b/>
              </w:rPr>
              <w:t>1</w:t>
            </w:r>
            <w:r>
              <w:rPr>
                <w:b/>
              </w:rPr>
              <w:t>项对应文件</w:t>
            </w:r>
            <w:r>
              <w:rPr>
                <w:rFonts w:hint="eastAsia"/>
                <w:b/>
              </w:rPr>
              <w:t>需单独装订成册，正本一份，副本一份，并在封面注明为“资格文件”，其余文件（含商务和技术部分）再单独装订，请勿重复装订。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38" w:name="响应人应提交的技术文件"/>
            <w:r>
              <w:rPr>
                <w:sz w:val="21"/>
                <w:szCs w:val="21"/>
              </w:rPr>
              <w:t>响应人应提交的技术文件</w:t>
            </w:r>
            <w:bookmarkEnd w:id="38"/>
          </w:p>
        </w:tc>
        <w:tc>
          <w:tcPr>
            <w:tcW w:w="5880" w:type="dxa"/>
            <w:vAlign w:val="center"/>
          </w:tcPr>
          <w:p>
            <w:pPr>
              <w:pStyle w:val="92"/>
              <w:numPr>
                <w:ilvl w:val="0"/>
                <w:numId w:val="12"/>
              </w:numPr>
              <w:ind w:firstLineChars="0"/>
            </w:pPr>
            <w:r>
              <w:t>针对本项目的服务团队表；</w:t>
            </w:r>
          </w:p>
          <w:p>
            <w:pPr>
              <w:pStyle w:val="92"/>
              <w:numPr>
                <w:ilvl w:val="0"/>
                <w:numId w:val="12"/>
              </w:numPr>
              <w:ind w:firstLineChars="0"/>
            </w:pPr>
            <w:r>
              <w:t>针对本项目的服务方案；</w:t>
            </w:r>
          </w:p>
          <w:p>
            <w:pPr>
              <w:pStyle w:val="92"/>
              <w:numPr>
                <w:ilvl w:val="0"/>
                <w:numId w:val="12"/>
              </w:numPr>
              <w:ind w:firstLineChars="0"/>
            </w:pPr>
            <w:r>
              <w:t>特殊紧急情况应急预案；</w:t>
            </w:r>
          </w:p>
          <w:p>
            <w:pPr>
              <w:pStyle w:val="92"/>
              <w:numPr>
                <w:ilvl w:val="0"/>
                <w:numId w:val="12"/>
              </w:numPr>
              <w:ind w:firstLineChars="0"/>
            </w:pPr>
            <w:r>
              <w:t>业绩证明材料；</w:t>
            </w:r>
          </w:p>
          <w:p>
            <w:pPr>
              <w:pStyle w:val="92"/>
              <w:numPr>
                <w:ilvl w:val="0"/>
                <w:numId w:val="12"/>
              </w:numPr>
              <w:ind w:firstLineChars="0"/>
            </w:pPr>
            <w:r>
              <w:t>响应人服务偏离表；</w:t>
            </w:r>
          </w:p>
          <w:p>
            <w:pPr>
              <w:pStyle w:val="92"/>
              <w:numPr>
                <w:ilvl w:val="0"/>
                <w:numId w:val="12"/>
              </w:numPr>
              <w:ind w:firstLineChars="0"/>
              <w:rPr>
                <w:szCs w:val="21"/>
              </w:rPr>
            </w:pPr>
            <w:r>
              <w:t>响应人认为需要提供的其它说明和资料。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39" w:name="响应人自行编写的技术文件"/>
            <w:r>
              <w:rPr>
                <w:sz w:val="21"/>
                <w:szCs w:val="21"/>
              </w:rPr>
              <w:t>响应人自行编写的技术文件</w:t>
            </w:r>
            <w:bookmarkEnd w:id="39"/>
          </w:p>
        </w:tc>
        <w:tc>
          <w:tcPr>
            <w:tcW w:w="5880" w:type="dxa"/>
            <w:vAlign w:val="center"/>
          </w:tcPr>
          <w:p>
            <w:pPr>
              <w:autoSpaceDN w:val="0"/>
              <w:spacing w:line="400" w:lineRule="exact"/>
              <w:ind w:firstLine="420" w:firstLineChars="200"/>
              <w:rPr>
                <w:sz w:val="21"/>
                <w:szCs w:val="21"/>
              </w:rPr>
            </w:pPr>
            <w:r>
              <w:rPr>
                <w:sz w:val="21"/>
                <w:szCs w:val="21"/>
              </w:rPr>
              <w:t>包括但不限于：</w:t>
            </w:r>
          </w:p>
          <w:p>
            <w:pPr>
              <w:pStyle w:val="92"/>
              <w:numPr>
                <w:ilvl w:val="0"/>
                <w:numId w:val="13"/>
              </w:numPr>
              <w:ind w:firstLineChars="0"/>
            </w:pPr>
            <w:r>
              <w:t>服务项目点对点对应情况等；</w:t>
            </w:r>
          </w:p>
          <w:p>
            <w:pPr>
              <w:pStyle w:val="92"/>
              <w:numPr>
                <w:ilvl w:val="0"/>
                <w:numId w:val="13"/>
              </w:numPr>
              <w:ind w:firstLineChars="0"/>
            </w:pPr>
            <w:r>
              <w:t>响应人所提供的服务；</w:t>
            </w:r>
          </w:p>
          <w:p>
            <w:pPr>
              <w:pStyle w:val="92"/>
              <w:numPr>
                <w:ilvl w:val="0"/>
                <w:numId w:val="13"/>
              </w:numPr>
              <w:ind w:firstLineChars="0"/>
            </w:pPr>
            <w:r>
              <w:t>项目进度表；</w:t>
            </w:r>
          </w:p>
          <w:p>
            <w:pPr>
              <w:pStyle w:val="92"/>
              <w:numPr>
                <w:ilvl w:val="0"/>
                <w:numId w:val="13"/>
              </w:numPr>
              <w:ind w:firstLineChars="0"/>
            </w:pPr>
            <w:r>
              <w:t>实施人员组织规划及参与人员简介；</w:t>
            </w:r>
          </w:p>
          <w:p>
            <w:pPr>
              <w:pStyle w:val="92"/>
              <w:numPr>
                <w:ilvl w:val="0"/>
                <w:numId w:val="13"/>
              </w:numPr>
              <w:ind w:firstLineChars="0"/>
            </w:pPr>
            <w: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74"/>
              <w:numPr>
                <w:ilvl w:val="0"/>
                <w:numId w:val="10"/>
              </w:numPr>
              <w:spacing w:line="400" w:lineRule="exact"/>
              <w:ind w:firstLineChars="0"/>
              <w:jc w:val="center"/>
            </w:pPr>
            <w:bookmarkStart w:id="40" w:name="_Ref477449610"/>
          </w:p>
          <w:bookmarkEnd w:id="40"/>
        </w:tc>
        <w:tc>
          <w:tcPr>
            <w:tcW w:w="2404" w:type="dxa"/>
            <w:vAlign w:val="center"/>
          </w:tcPr>
          <w:p>
            <w:pPr>
              <w:spacing w:line="400" w:lineRule="exact"/>
              <w:jc w:val="both"/>
              <w:rPr>
                <w:sz w:val="21"/>
                <w:szCs w:val="21"/>
              </w:rPr>
            </w:pPr>
            <w:r>
              <w:rPr>
                <w:sz w:val="21"/>
                <w:szCs w:val="21"/>
              </w:rPr>
              <w:t>是否交纳响应保证金额</w:t>
            </w:r>
          </w:p>
        </w:tc>
        <w:tc>
          <w:tcPr>
            <w:tcW w:w="5880" w:type="dxa"/>
            <w:vAlign w:val="center"/>
          </w:tcPr>
          <w:p>
            <w:pPr>
              <w:spacing w:line="400" w:lineRule="exact"/>
              <w:ind w:firstLine="420" w:firstLineChars="200"/>
              <w:jc w:val="both"/>
              <w:rPr>
                <w:sz w:val="21"/>
                <w:szCs w:val="21"/>
              </w:rPr>
            </w:pPr>
            <w:bookmarkStart w:id="41" w:name="_Toc477456267"/>
            <w:bookmarkStart w:id="42" w:name="_Toc477456200"/>
            <w:r>
              <w:rPr>
                <w:sz w:val="21"/>
                <w:szCs w:val="21"/>
              </w:rPr>
              <w:t>本项目</w:t>
            </w:r>
            <w:r>
              <w:rPr>
                <w:rFonts w:hint="eastAsia"/>
                <w:sz w:val="21"/>
                <w:szCs w:val="21"/>
              </w:rPr>
              <w:t>响应保证金</w:t>
            </w:r>
            <w:r>
              <w:rPr>
                <w:sz w:val="21"/>
                <w:szCs w:val="21"/>
              </w:rPr>
              <w:t>6000</w:t>
            </w:r>
            <w:r>
              <w:rPr>
                <w:rFonts w:hint="eastAsia"/>
                <w:sz w:val="21"/>
                <w:szCs w:val="21"/>
              </w:rPr>
              <w:t>元整。</w:t>
            </w:r>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r>
              <w:rPr>
                <w:sz w:val="21"/>
                <w:szCs w:val="21"/>
              </w:rPr>
              <w:t>是否接受可选择或可调整的响应报价或方案</w:t>
            </w:r>
          </w:p>
        </w:tc>
        <w:tc>
          <w:tcPr>
            <w:tcW w:w="5880" w:type="dxa"/>
            <w:vAlign w:val="center"/>
          </w:tcPr>
          <w:p>
            <w:pPr>
              <w:spacing w:line="400" w:lineRule="exact"/>
              <w:ind w:firstLine="420" w:firstLineChars="200"/>
              <w:jc w:val="both"/>
              <w:rPr>
                <w:sz w:val="21"/>
                <w:szCs w:val="21"/>
              </w:rPr>
            </w:pPr>
            <w:bookmarkStart w:id="43" w:name="_Toc477456201"/>
            <w:bookmarkStart w:id="44" w:name="_Toc477456268"/>
            <w:r>
              <w:rPr>
                <w:sz w:val="21"/>
                <w:szCs w:val="21"/>
              </w:rPr>
              <w:t>否</w:t>
            </w:r>
            <w:bookmarkEnd w:id="43"/>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04" w:type="dxa"/>
            <w:vAlign w:val="center"/>
          </w:tcPr>
          <w:p>
            <w:pPr>
              <w:pStyle w:val="74"/>
              <w:numPr>
                <w:ilvl w:val="0"/>
                <w:numId w:val="10"/>
              </w:numPr>
              <w:spacing w:line="400" w:lineRule="exact"/>
              <w:ind w:firstLineChars="0"/>
              <w:jc w:val="center"/>
            </w:pPr>
            <w:bookmarkStart w:id="45" w:name="_Ref477449806"/>
          </w:p>
          <w:bookmarkEnd w:id="45"/>
        </w:tc>
        <w:tc>
          <w:tcPr>
            <w:tcW w:w="2404" w:type="dxa"/>
            <w:vAlign w:val="center"/>
          </w:tcPr>
          <w:p>
            <w:pPr>
              <w:spacing w:line="400" w:lineRule="exact"/>
              <w:jc w:val="both"/>
              <w:rPr>
                <w:sz w:val="21"/>
                <w:szCs w:val="21"/>
              </w:rPr>
            </w:pPr>
            <w:bookmarkStart w:id="46" w:name="_Toc477456269"/>
            <w:r>
              <w:rPr>
                <w:sz w:val="21"/>
                <w:szCs w:val="21"/>
              </w:rPr>
              <w:t>是否允许响应人将项目非主体、非关键性工作交由他人完成</w:t>
            </w:r>
            <w:bookmarkEnd w:id="46"/>
          </w:p>
        </w:tc>
        <w:tc>
          <w:tcPr>
            <w:tcW w:w="5880" w:type="dxa"/>
            <w:vAlign w:val="center"/>
          </w:tcPr>
          <w:p>
            <w:pPr>
              <w:spacing w:line="400" w:lineRule="exact"/>
              <w:ind w:firstLine="420" w:firstLineChars="200"/>
              <w:jc w:val="both"/>
              <w:rPr>
                <w:sz w:val="21"/>
                <w:szCs w:val="21"/>
              </w:rPr>
            </w:pPr>
            <w:bookmarkStart w:id="47" w:name="_Toc477456270"/>
            <w:bookmarkStart w:id="48" w:name="_Toc477456202"/>
            <w:r>
              <w:rPr>
                <w:sz w:val="21"/>
                <w:szCs w:val="21"/>
              </w:rPr>
              <w:t>否</w:t>
            </w:r>
            <w:bookmarkEnd w:id="47"/>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49" w:name="_Toc477456271"/>
            <w:r>
              <w:rPr>
                <w:sz w:val="21"/>
                <w:szCs w:val="21"/>
              </w:rPr>
              <w:t>现场踏勘</w:t>
            </w:r>
            <w:bookmarkEnd w:id="49"/>
          </w:p>
        </w:tc>
        <w:tc>
          <w:tcPr>
            <w:tcW w:w="5880" w:type="dxa"/>
            <w:vAlign w:val="center"/>
          </w:tcPr>
          <w:p>
            <w:pPr>
              <w:spacing w:line="400" w:lineRule="exact"/>
              <w:ind w:firstLine="420" w:firstLineChars="200"/>
              <w:jc w:val="both"/>
              <w:rPr>
                <w:b/>
                <w:sz w:val="21"/>
                <w:szCs w:val="21"/>
              </w:rPr>
            </w:pPr>
            <w:bookmarkStart w:id="50" w:name="_Toc477456203"/>
            <w:bookmarkStart w:id="51" w:name="_Toc477456272"/>
            <w:r>
              <w:rPr>
                <w:rFonts w:hint="eastAsia"/>
                <w:sz w:val="21"/>
                <w:szCs w:val="21"/>
              </w:rPr>
              <w:t>无</w:t>
            </w:r>
            <w:bookmarkEnd w:id="50"/>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74"/>
              <w:numPr>
                <w:ilvl w:val="0"/>
                <w:numId w:val="10"/>
              </w:numPr>
              <w:spacing w:line="400" w:lineRule="exact"/>
              <w:ind w:firstLineChars="0"/>
              <w:jc w:val="center"/>
            </w:pPr>
            <w:bookmarkStart w:id="52" w:name="_Ref477450077"/>
          </w:p>
          <w:bookmarkEnd w:id="52"/>
        </w:tc>
        <w:tc>
          <w:tcPr>
            <w:tcW w:w="2404" w:type="dxa"/>
            <w:vAlign w:val="center"/>
          </w:tcPr>
          <w:p>
            <w:pPr>
              <w:spacing w:line="400" w:lineRule="exact"/>
              <w:jc w:val="both"/>
              <w:rPr>
                <w:sz w:val="21"/>
                <w:szCs w:val="21"/>
              </w:rPr>
            </w:pPr>
            <w:bookmarkStart w:id="53" w:name="_Toc477456273"/>
            <w:r>
              <w:rPr>
                <w:sz w:val="21"/>
                <w:szCs w:val="21"/>
              </w:rPr>
              <w:t>现场演示</w:t>
            </w:r>
            <w:bookmarkEnd w:id="53"/>
          </w:p>
        </w:tc>
        <w:tc>
          <w:tcPr>
            <w:tcW w:w="5880" w:type="dxa"/>
            <w:vAlign w:val="center"/>
          </w:tcPr>
          <w:p>
            <w:pPr>
              <w:spacing w:line="400" w:lineRule="exact"/>
              <w:ind w:firstLine="420" w:firstLineChars="200"/>
              <w:jc w:val="both"/>
              <w:rPr>
                <w:sz w:val="21"/>
                <w:szCs w:val="21"/>
              </w:rPr>
            </w:pPr>
            <w:bookmarkStart w:id="54" w:name="_Toc477456204"/>
            <w:bookmarkStart w:id="55" w:name="_Toc477456274"/>
            <w:r>
              <w:rPr>
                <w:rFonts w:hint="eastAsia"/>
                <w:sz w:val="21"/>
                <w:szCs w:val="21"/>
              </w:rPr>
              <w:t>是：</w:t>
            </w:r>
          </w:p>
          <w:p>
            <w:pPr>
              <w:pStyle w:val="92"/>
              <w:numPr>
                <w:ilvl w:val="0"/>
                <w:numId w:val="14"/>
              </w:numPr>
              <w:ind w:firstLineChars="0"/>
            </w:pPr>
            <w:r>
              <w:t>现场演示内容</w:t>
            </w:r>
            <w:r>
              <w:rPr>
                <w:rFonts w:hint="eastAsia"/>
              </w:rPr>
              <w:t>：</w:t>
            </w:r>
          </w:p>
          <w:p>
            <w:pPr>
              <w:spacing w:line="400" w:lineRule="exact"/>
              <w:ind w:firstLine="420" w:firstLineChars="200"/>
              <w:rPr>
                <w:rFonts w:ascii="宋体" w:hAnsi="宋体"/>
                <w:color w:val="000000"/>
                <w:sz w:val="21"/>
                <w:szCs w:val="21"/>
              </w:rPr>
            </w:pPr>
            <w:r>
              <w:rPr>
                <w:sz w:val="21"/>
                <w:szCs w:val="21"/>
              </w:rPr>
              <w:t>系统类项目</w:t>
            </w:r>
            <w:r>
              <w:rPr>
                <w:rFonts w:hint="eastAsia"/>
                <w:sz w:val="21"/>
                <w:szCs w:val="21"/>
              </w:rPr>
              <w:t>：</w:t>
            </w:r>
            <w:r>
              <w:rPr>
                <w:rFonts w:hint="eastAsia" w:ascii="宋体" w:hAnsi="宋体"/>
                <w:color w:val="000000"/>
                <w:sz w:val="21"/>
                <w:szCs w:val="21"/>
              </w:rPr>
              <w:t>根据需求演示实际产品或定制产品原型，PPT及视频不得作为演示依据；</w:t>
            </w:r>
          </w:p>
          <w:p>
            <w:pPr>
              <w:pStyle w:val="92"/>
              <w:numPr>
                <w:ilvl w:val="0"/>
                <w:numId w:val="14"/>
              </w:numPr>
              <w:ind w:firstLineChars="0"/>
            </w:pPr>
            <w:r>
              <w:t>现场演示方式</w:t>
            </w:r>
            <w:r>
              <w:rPr>
                <w:rFonts w:hint="eastAsia"/>
              </w:rPr>
              <w:t>：系统演示</w:t>
            </w:r>
          </w:p>
          <w:p>
            <w:pPr>
              <w:pStyle w:val="92"/>
              <w:numPr>
                <w:ilvl w:val="0"/>
                <w:numId w:val="14"/>
              </w:numPr>
              <w:ind w:firstLineChars="0"/>
            </w:pPr>
            <w:r>
              <w:rPr>
                <w:rFonts w:hint="eastAsia"/>
              </w:rPr>
              <w:t>演示时长：5—8分钟</w:t>
            </w:r>
          </w:p>
          <w:p>
            <w:pPr>
              <w:pStyle w:val="92"/>
              <w:numPr>
                <w:ilvl w:val="0"/>
                <w:numId w:val="14"/>
              </w:numPr>
              <w:ind w:firstLineChars="0"/>
            </w:pPr>
            <w:r>
              <w:t>演示现场提供演示设备仅包括以下内容</w:t>
            </w:r>
            <w:r>
              <w:rPr>
                <w:rFonts w:hint="eastAsia"/>
              </w:rPr>
              <w:t>：</w:t>
            </w:r>
          </w:p>
          <w:p>
            <w:pPr>
              <w:pStyle w:val="92"/>
              <w:numPr>
                <w:ilvl w:val="0"/>
                <w:numId w:val="15"/>
              </w:numPr>
              <w:ind w:firstLineChars="0"/>
            </w:pPr>
            <w:r>
              <w:t>投影仪</w:t>
            </w:r>
            <w:r>
              <w:rPr>
                <w:rFonts w:hint="eastAsia"/>
              </w:rPr>
              <w:t>：支持VGA和HDMI两种接口，其余接口类型需自备转接头；</w:t>
            </w:r>
          </w:p>
          <w:p>
            <w:pPr>
              <w:pStyle w:val="92"/>
              <w:numPr>
                <w:ilvl w:val="0"/>
                <w:numId w:val="15"/>
              </w:numPr>
              <w:ind w:firstLineChars="0"/>
            </w:pPr>
            <w:r>
              <w:t>幕布</w:t>
            </w:r>
          </w:p>
          <w:p>
            <w:pPr>
              <w:pStyle w:val="92"/>
              <w:numPr>
                <w:ilvl w:val="0"/>
                <w:numId w:val="15"/>
              </w:numPr>
              <w:ind w:firstLineChars="0"/>
            </w:pPr>
            <w:r>
              <w:t xml:space="preserve"> </w:t>
            </w:r>
            <w:r>
              <w:rPr>
                <w:rStyle w:val="44"/>
                <w:rFonts w:hint="eastAsia"/>
                <w:kern w:val="0"/>
              </w:rPr>
              <w:t>无线网络</w:t>
            </w:r>
          </w:p>
          <w:p>
            <w:pPr>
              <w:pStyle w:val="92"/>
            </w:pPr>
            <w:r>
              <w:rPr>
                <w:rFonts w:hint="eastAsia"/>
              </w:rPr>
              <w:t>其他演示所需设备请响应人自行携带。</w:t>
            </w:r>
          </w:p>
          <w:p>
            <w:pPr>
              <w:pStyle w:val="92"/>
            </w:pPr>
            <w:r>
              <w:rPr>
                <w:rFonts w:hint="eastAsia"/>
              </w:rPr>
              <w:t>演示内容为该项目同类型案例信息系统演示，没有演示</w:t>
            </w:r>
            <w:r>
              <w:rPr>
                <w:rFonts w:hint="eastAsia"/>
                <w:lang w:eastAsia="zh-CN"/>
              </w:rPr>
              <w:t>的响应人</w:t>
            </w:r>
            <w:r>
              <w:rPr>
                <w:rFonts w:hint="eastAsia"/>
              </w:rPr>
              <w:t>，</w:t>
            </w:r>
            <w:bookmarkEnd w:id="54"/>
            <w:bookmarkEnd w:id="55"/>
            <w:r>
              <w:rPr>
                <w:rFonts w:hint="eastAsia"/>
                <w:lang w:eastAsia="zh-CN"/>
              </w:rPr>
              <w:t>其演示得分为</w:t>
            </w: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4" w:type="dxa"/>
            <w:vAlign w:val="center"/>
          </w:tcPr>
          <w:p>
            <w:pPr>
              <w:pStyle w:val="74"/>
              <w:numPr>
                <w:ilvl w:val="0"/>
                <w:numId w:val="10"/>
              </w:numPr>
              <w:spacing w:line="400" w:lineRule="exact"/>
              <w:ind w:firstLineChars="0"/>
              <w:jc w:val="center"/>
            </w:pPr>
            <w:bookmarkStart w:id="56" w:name="_Ref477450110"/>
          </w:p>
          <w:bookmarkEnd w:id="56"/>
        </w:tc>
        <w:tc>
          <w:tcPr>
            <w:tcW w:w="2404" w:type="dxa"/>
            <w:vAlign w:val="center"/>
          </w:tcPr>
          <w:p>
            <w:pPr>
              <w:spacing w:line="400" w:lineRule="exact"/>
              <w:jc w:val="both"/>
              <w:rPr>
                <w:sz w:val="21"/>
                <w:szCs w:val="21"/>
              </w:rPr>
            </w:pPr>
            <w:r>
              <w:rPr>
                <w:sz w:val="21"/>
                <w:szCs w:val="21"/>
              </w:rPr>
              <w:t>响应文件有效期</w:t>
            </w:r>
          </w:p>
        </w:tc>
        <w:tc>
          <w:tcPr>
            <w:tcW w:w="5880" w:type="dxa"/>
            <w:vAlign w:val="center"/>
          </w:tcPr>
          <w:p>
            <w:pPr>
              <w:spacing w:line="400" w:lineRule="exact"/>
              <w:ind w:firstLine="420" w:firstLineChars="200"/>
              <w:jc w:val="both"/>
              <w:rPr>
                <w:sz w:val="21"/>
                <w:szCs w:val="21"/>
              </w:rPr>
            </w:pPr>
            <w:bookmarkStart w:id="57" w:name="_Toc477456205"/>
            <w:bookmarkStart w:id="58" w:name="_Toc477456275"/>
            <w:r>
              <w:rPr>
                <w:sz w:val="21"/>
                <w:szCs w:val="21"/>
              </w:rPr>
              <w:t>90日历天（从响应截止日起计算</w:t>
            </w:r>
            <w:r>
              <w:rPr>
                <w:rFonts w:hint="eastAsia"/>
                <w:sz w:val="21"/>
                <w:szCs w:val="21"/>
              </w:rPr>
              <w:t>，若响应人被确定为成交人，则其响应文件有效期自动延续至合同履行完毕为止</w:t>
            </w:r>
            <w:r>
              <w:rPr>
                <w:sz w:val="21"/>
                <w:szCs w:val="21"/>
              </w:rPr>
              <w:t>）</w:t>
            </w:r>
            <w:bookmarkEnd w:id="57"/>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74"/>
              <w:numPr>
                <w:ilvl w:val="0"/>
                <w:numId w:val="10"/>
              </w:numPr>
              <w:spacing w:line="400" w:lineRule="exact"/>
              <w:ind w:firstLineChars="0"/>
              <w:jc w:val="center"/>
            </w:pPr>
            <w:bookmarkStart w:id="59" w:name="_Ref477450181"/>
          </w:p>
          <w:bookmarkEnd w:id="59"/>
        </w:tc>
        <w:tc>
          <w:tcPr>
            <w:tcW w:w="2404" w:type="dxa"/>
            <w:vAlign w:val="center"/>
          </w:tcPr>
          <w:p>
            <w:pPr>
              <w:spacing w:line="400" w:lineRule="exact"/>
              <w:jc w:val="both"/>
              <w:rPr>
                <w:sz w:val="21"/>
                <w:szCs w:val="21"/>
              </w:rPr>
            </w:pPr>
            <w:r>
              <w:rPr>
                <w:sz w:val="21"/>
                <w:szCs w:val="21"/>
              </w:rPr>
              <w:t>响应文件份数</w:t>
            </w:r>
          </w:p>
        </w:tc>
        <w:tc>
          <w:tcPr>
            <w:tcW w:w="5880" w:type="dxa"/>
            <w:vAlign w:val="center"/>
          </w:tcPr>
          <w:p>
            <w:pPr>
              <w:spacing w:line="400" w:lineRule="exact"/>
              <w:ind w:firstLine="420" w:firstLineChars="200"/>
              <w:jc w:val="both"/>
              <w:rPr>
                <w:sz w:val="21"/>
                <w:szCs w:val="21"/>
              </w:rPr>
            </w:pPr>
            <w:bookmarkStart w:id="60" w:name="_Toc477456276"/>
            <w:bookmarkStart w:id="61" w:name="_Toc477456206"/>
            <w:r>
              <w:rPr>
                <w:rFonts w:hint="eastAsia"/>
                <w:sz w:val="21"/>
                <w:szCs w:val="21"/>
              </w:rPr>
              <w:t>响应文件一式</w:t>
            </w:r>
            <w:r>
              <w:rPr>
                <w:sz w:val="21"/>
                <w:szCs w:val="21"/>
              </w:rPr>
              <w:t>6</w:t>
            </w:r>
            <w:r>
              <w:rPr>
                <w:rFonts w:hint="eastAsia"/>
                <w:sz w:val="21"/>
                <w:szCs w:val="21"/>
              </w:rPr>
              <w:t>份，其中正本</w:t>
            </w:r>
            <w:r>
              <w:rPr>
                <w:sz w:val="21"/>
                <w:szCs w:val="21"/>
              </w:rPr>
              <w:t>1</w:t>
            </w:r>
            <w:r>
              <w:rPr>
                <w:rFonts w:hint="eastAsia"/>
                <w:sz w:val="21"/>
                <w:szCs w:val="21"/>
              </w:rPr>
              <w:t>份，副本</w:t>
            </w:r>
            <w:r>
              <w:rPr>
                <w:sz w:val="21"/>
                <w:szCs w:val="21"/>
              </w:rPr>
              <w:t>5</w:t>
            </w:r>
            <w:r>
              <w:rPr>
                <w:rFonts w:hint="eastAsia"/>
                <w:sz w:val="21"/>
                <w:szCs w:val="21"/>
              </w:rPr>
              <w:t>份；电子文档</w:t>
            </w:r>
            <w:r>
              <w:rPr>
                <w:sz w:val="21"/>
                <w:szCs w:val="21"/>
              </w:rPr>
              <w:t>1</w:t>
            </w:r>
            <w:r>
              <w:rPr>
                <w:rFonts w:hint="eastAsia"/>
                <w:sz w:val="21"/>
                <w:szCs w:val="21"/>
              </w:rPr>
              <w:t>份。</w:t>
            </w:r>
            <w:bookmarkEnd w:id="60"/>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r>
              <w:rPr>
                <w:sz w:val="21"/>
                <w:szCs w:val="21"/>
              </w:rPr>
              <w:t>是否接受进口产品响应</w:t>
            </w:r>
          </w:p>
        </w:tc>
        <w:tc>
          <w:tcPr>
            <w:tcW w:w="5880" w:type="dxa"/>
            <w:vAlign w:val="center"/>
          </w:tcPr>
          <w:p>
            <w:pPr>
              <w:spacing w:line="400" w:lineRule="exact"/>
              <w:ind w:firstLine="420" w:firstLineChars="200"/>
              <w:jc w:val="both"/>
              <w:rPr>
                <w:sz w:val="21"/>
                <w:szCs w:val="21"/>
              </w:rPr>
            </w:pPr>
            <w:bookmarkStart w:id="62" w:name="_Toc477456277"/>
            <w:bookmarkStart w:id="63" w:name="_Toc477456207"/>
            <w:r>
              <w:rPr>
                <w:sz w:val="21"/>
                <w:szCs w:val="21"/>
              </w:rPr>
              <w:t>否</w:t>
            </w:r>
            <w:bookmarkEnd w:id="62"/>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r>
              <w:rPr>
                <w:sz w:val="21"/>
                <w:szCs w:val="21"/>
              </w:rPr>
              <w:t>节能环保要求</w:t>
            </w:r>
          </w:p>
        </w:tc>
        <w:tc>
          <w:tcPr>
            <w:tcW w:w="5880" w:type="dxa"/>
            <w:vAlign w:val="center"/>
          </w:tcPr>
          <w:p>
            <w:pPr>
              <w:spacing w:line="400" w:lineRule="exact"/>
              <w:ind w:firstLine="420" w:firstLineChars="200"/>
              <w:jc w:val="both"/>
              <w:rPr>
                <w:sz w:val="21"/>
                <w:szCs w:val="21"/>
              </w:rPr>
            </w:pPr>
            <w:bookmarkStart w:id="64" w:name="_Toc477456278"/>
            <w:bookmarkStart w:id="65" w:name="_Toc477456208"/>
            <w:r>
              <w:rPr>
                <w:sz w:val="21"/>
                <w:szCs w:val="21"/>
              </w:rPr>
              <w:t>按国家有关节能环保政策执行</w:t>
            </w:r>
            <w:bookmarkEnd w:id="64"/>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autoSpaceDN w:val="0"/>
              <w:spacing w:line="400" w:lineRule="exact"/>
              <w:rPr>
                <w:sz w:val="21"/>
                <w:szCs w:val="21"/>
              </w:rPr>
            </w:pPr>
            <w:r>
              <w:rPr>
                <w:sz w:val="21"/>
                <w:szCs w:val="21"/>
              </w:rPr>
              <w:t>其他事项</w:t>
            </w:r>
          </w:p>
        </w:tc>
        <w:tc>
          <w:tcPr>
            <w:tcW w:w="5880" w:type="dxa"/>
            <w:vAlign w:val="center"/>
          </w:tcPr>
          <w:p>
            <w:pPr>
              <w:pStyle w:val="92"/>
              <w:numPr>
                <w:ilvl w:val="0"/>
                <w:numId w:val="16"/>
              </w:numPr>
              <w:ind w:firstLineChars="0"/>
            </w:pPr>
            <w:r>
              <w:t>本项目预算</w:t>
            </w:r>
            <w:r>
              <w:rPr>
                <w:b/>
                <w:bCs/>
              </w:rPr>
              <w:t>人民币</w:t>
            </w:r>
            <w:r>
              <w:rPr>
                <w:b/>
                <w:bCs/>
              </w:rPr>
              <w:fldChar w:fldCharType="begin"/>
            </w:r>
            <w:r>
              <w:rPr>
                <w:b/>
                <w:bCs/>
              </w:rPr>
              <w:instrText xml:space="preserve"> REF 预算 \h  \* MERGEFORMAT </w:instrText>
            </w:r>
            <w:r>
              <w:rPr>
                <w:b/>
                <w:bCs/>
              </w:rPr>
              <w:fldChar w:fldCharType="separate"/>
            </w:r>
            <w:r>
              <w:rPr>
                <w:rFonts w:hint="eastAsia"/>
                <w:b/>
                <w:bCs/>
              </w:rPr>
              <w:t>30万</w:t>
            </w:r>
            <w:r>
              <w:rPr>
                <w:b/>
                <w:bCs/>
              </w:rPr>
              <w:t>元</w:t>
            </w:r>
            <w:r>
              <w:rPr>
                <w:b/>
                <w:bCs/>
              </w:rPr>
              <w:fldChar w:fldCharType="end"/>
            </w:r>
            <w:r>
              <w:t>，超过此预算的响应文件将被拒绝；</w:t>
            </w:r>
          </w:p>
          <w:p>
            <w:pPr>
              <w:pStyle w:val="92"/>
              <w:numPr>
                <w:ilvl w:val="0"/>
                <w:numId w:val="16"/>
              </w:numPr>
              <w:ind w:firstLineChars="0"/>
              <w:rPr>
                <w:szCs w:val="21"/>
              </w:rPr>
            </w:pPr>
            <w:r>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的响应人的响应文件将被拒绝。（规定时间内允许补正）；</w:t>
            </w:r>
          </w:p>
          <w:p>
            <w:pPr>
              <w:pStyle w:val="92"/>
              <w:numPr>
                <w:ilvl w:val="0"/>
                <w:numId w:val="16"/>
              </w:numPr>
              <w:ind w:firstLineChars="0"/>
              <w:rPr>
                <w:szCs w:val="21"/>
              </w:rPr>
            </w:pPr>
            <w:r>
              <w:t>根据工信部等部委发布的《关于印发中小企业划型标准规定的通知》（工信部联企业〔2011〕300号），符合</w:t>
            </w:r>
            <w:r>
              <w:rPr>
                <w:rFonts w:hint="eastAsia"/>
              </w:rPr>
              <w:t>通知</w:t>
            </w:r>
            <w:r>
              <w:t>规定条件的小微型企业（提示：根据具体品目选取相应标准）应提供《小微企业声明函》及相关证明材料，磋商小组根据响应人提交的</w:t>
            </w:r>
            <w:r>
              <w:rPr>
                <w:rFonts w:hint="eastAsia"/>
              </w:rPr>
              <w:t>《小微企业声明函》及相关证明材料进行小微企业的认定。</w:t>
            </w:r>
          </w:p>
        </w:tc>
      </w:tr>
    </w:tbl>
    <w:p>
      <w:pPr>
        <w:pStyle w:val="92"/>
      </w:pPr>
    </w:p>
    <w:p>
      <w:pPr>
        <w:pStyle w:val="92"/>
        <w:ind w:firstLine="422"/>
        <w:rPr>
          <w:b/>
        </w:rPr>
      </w:pPr>
      <w:bookmarkStart w:id="66" w:name="_Toc86202581"/>
      <w:r>
        <w:rPr>
          <w:b/>
        </w:rPr>
        <w:t>注：</w:t>
      </w:r>
    </w:p>
    <w:p>
      <w:pPr>
        <w:pStyle w:val="92"/>
        <w:ind w:firstLine="422"/>
        <w:rPr>
          <w:b/>
        </w:rPr>
      </w:pPr>
      <w:r>
        <w:rPr>
          <w:b/>
        </w:rPr>
        <w:t>1</w:t>
      </w:r>
      <w:r>
        <w:rPr>
          <w:rFonts w:hint="eastAsia"/>
          <w:b/>
        </w:rPr>
        <w:t>、</w:t>
      </w:r>
      <w:r>
        <w:rPr>
          <w:b/>
        </w:rPr>
        <w:t>本表中加*项目若有实质性修改或非实质性响应，将导致响应被拒绝且不允许在响应截止后补正</w:t>
      </w:r>
      <w:r>
        <w:rPr>
          <w:rFonts w:hint="eastAsia"/>
          <w:b/>
        </w:rPr>
        <w:t>，</w:t>
      </w:r>
      <w:r>
        <w:rPr>
          <w:b/>
        </w:rPr>
        <w:t>请各位响应人务必按照磋商文件要求准备响应文件</w:t>
      </w:r>
      <w:r>
        <w:rPr>
          <w:rFonts w:hint="eastAsia"/>
          <w:b/>
        </w:rPr>
        <w:t>。</w:t>
      </w:r>
    </w:p>
    <w:p>
      <w:pPr>
        <w:pStyle w:val="92"/>
        <w:ind w:firstLine="422"/>
      </w:pPr>
      <w:r>
        <w:rPr>
          <w:b/>
        </w:rPr>
        <w:t>2</w:t>
      </w:r>
      <w:r>
        <w:rPr>
          <w:rFonts w:hint="eastAsia"/>
          <w:b/>
        </w:rPr>
        <w:t>、</w:t>
      </w:r>
      <w:r>
        <w:rPr>
          <w:b/>
        </w:rPr>
        <w:t>本表内容若与磋商文件其他部分的内容不一致，以本表内容为准。</w:t>
      </w:r>
    </w:p>
    <w:p>
      <w:pPr>
        <w:pStyle w:val="3"/>
        <w:adjustRightInd/>
        <w:spacing w:line="415" w:lineRule="auto"/>
        <w:ind w:left="420" w:hanging="420"/>
        <w:jc w:val="center"/>
        <w:textAlignment w:val="auto"/>
        <w:rPr>
          <w:rFonts w:ascii="Times New Roman" w:hAnsi="Times New Roman" w:eastAsia="宋体"/>
          <w:kern w:val="2"/>
        </w:rPr>
      </w:pPr>
      <w:r>
        <w:rPr>
          <w:rFonts w:ascii="Times New Roman" w:hAnsi="Times New Roman" w:eastAsia="宋体"/>
          <w:kern w:val="2"/>
        </w:rPr>
        <w:br w:type="page"/>
      </w:r>
      <w:bookmarkStart w:id="67" w:name="_Toc477456209"/>
      <w:bookmarkStart w:id="68" w:name="_Toc491372348"/>
      <w:r>
        <w:rPr>
          <w:rFonts w:ascii="Times New Roman" w:hAnsi="Times New Roman" w:eastAsia="宋体"/>
          <w:kern w:val="2"/>
        </w:rPr>
        <w:t xml:space="preserve">第三部分  </w:t>
      </w:r>
      <w:bookmarkStart w:id="69" w:name="响应人须知"/>
      <w:r>
        <w:rPr>
          <w:rFonts w:ascii="Times New Roman" w:hAnsi="Times New Roman" w:eastAsia="宋体"/>
          <w:kern w:val="2"/>
        </w:rPr>
        <w:t>响应人须知</w:t>
      </w:r>
      <w:bookmarkEnd w:id="67"/>
      <w:bookmarkEnd w:id="68"/>
      <w:bookmarkEnd w:id="69"/>
    </w:p>
    <w:p>
      <w:pPr>
        <w:pStyle w:val="4"/>
        <w:numPr>
          <w:ilvl w:val="0"/>
          <w:numId w:val="17"/>
        </w:numPr>
        <w:adjustRightInd/>
        <w:spacing w:line="415" w:lineRule="auto"/>
        <w:jc w:val="both"/>
        <w:textAlignment w:val="auto"/>
        <w:rPr>
          <w:kern w:val="2"/>
        </w:rPr>
      </w:pPr>
      <w:bookmarkStart w:id="70" w:name="_Toc491372349"/>
      <w:r>
        <w:rPr>
          <w:kern w:val="2"/>
        </w:rPr>
        <w:t>总  则</w:t>
      </w:r>
      <w:bookmarkEnd w:id="70"/>
    </w:p>
    <w:p>
      <w:pPr>
        <w:pStyle w:val="92"/>
      </w:pPr>
      <w:r>
        <w:t>本磋商文件适用于本文件</w:t>
      </w:r>
      <w:r>
        <w:rPr>
          <w:rFonts w:hint="eastAsia"/>
        </w:rPr>
        <w:t>“</w:t>
      </w:r>
      <w:r>
        <w:fldChar w:fldCharType="begin"/>
      </w:r>
      <w:r>
        <w:instrText xml:space="preserve"> REF _Ref477961348 \h </w:instrText>
      </w:r>
      <w:r>
        <w:fldChar w:fldCharType="separate"/>
      </w:r>
      <w:r>
        <w:t>第五部分  磋商货物、服务的具体需求</w:t>
      </w:r>
      <w:r>
        <w:fldChar w:fldCharType="end"/>
      </w:r>
      <w:r>
        <w:rPr>
          <w:rFonts w:hint="eastAsia"/>
        </w:rPr>
        <w:t>”</w:t>
      </w:r>
      <w:r>
        <w:t>中所述货物及相关服务的磋商响应。</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定义</w:t>
      </w:r>
    </w:p>
    <w:p>
      <w:pPr>
        <w:pStyle w:val="92"/>
      </w:pPr>
      <w:r>
        <w:t>“采购人”名称详见</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_Ref477961867 \r \h </w:instrText>
      </w:r>
      <w:r>
        <w:fldChar w:fldCharType="separate"/>
      </w:r>
      <w:r>
        <w:t>1</w:t>
      </w:r>
      <w:r>
        <w:fldChar w:fldCharType="end"/>
      </w:r>
      <w:r>
        <w:t>条。</w:t>
      </w:r>
    </w:p>
    <w:p>
      <w:pPr>
        <w:pStyle w:val="92"/>
      </w:pPr>
      <w:r>
        <w:t>“磋商货物”指本磋商文件中</w:t>
      </w:r>
      <w:r>
        <w:rPr>
          <w:rFonts w:hint="eastAsia"/>
        </w:rPr>
        <w:t>“</w:t>
      </w:r>
      <w:r>
        <w:fldChar w:fldCharType="begin"/>
      </w:r>
      <w:r>
        <w:instrText xml:space="preserve"> REF _Ref477961348 \h </w:instrText>
      </w:r>
      <w:r>
        <w:fldChar w:fldCharType="separate"/>
      </w:r>
      <w:r>
        <w:t>第五部分  磋商货物、服务的具体需求</w:t>
      </w:r>
      <w:r>
        <w:fldChar w:fldCharType="end"/>
      </w:r>
      <w:r>
        <w:rPr>
          <w:rFonts w:hint="eastAsia"/>
        </w:rPr>
        <w:t>”</w:t>
      </w:r>
      <w:r>
        <w:t>中所述所有货物。</w:t>
      </w:r>
    </w:p>
    <w:p>
      <w:pPr>
        <w:pStyle w:val="92"/>
      </w:pPr>
      <w:r>
        <w:t>“服务”指本磋商文件</w:t>
      </w:r>
      <w:r>
        <w:rPr>
          <w:rFonts w:hint="eastAsia"/>
        </w:rPr>
        <w:t>“</w:t>
      </w:r>
      <w:r>
        <w:fldChar w:fldCharType="begin"/>
      </w:r>
      <w:r>
        <w:instrText xml:space="preserve"> REF _Ref477961348 \h </w:instrText>
      </w:r>
      <w:r>
        <w:fldChar w:fldCharType="separate"/>
      </w:r>
      <w:r>
        <w:t>第五部分  磋商货物、服务的具体需求</w:t>
      </w:r>
      <w:r>
        <w:fldChar w:fldCharType="end"/>
      </w:r>
      <w:r>
        <w:rPr>
          <w:rFonts w:hint="eastAsia"/>
        </w:rPr>
        <w:t>”</w:t>
      </w:r>
      <w:r>
        <w:t>中所述响应人应该履行的承诺和义务。</w:t>
      </w:r>
    </w:p>
    <w:p>
      <w:pPr>
        <w:pStyle w:val="92"/>
      </w:pPr>
      <w:r>
        <w:t>“潜在响应人”指符合本磋商文件各项规定的合格供应商。</w:t>
      </w:r>
    </w:p>
    <w:p>
      <w:pPr>
        <w:pStyle w:val="92"/>
      </w:pPr>
      <w:r>
        <w:t>“响应人”指符合本磋商文件规定并参加响应的供应商。</w:t>
      </w:r>
    </w:p>
    <w:p>
      <w:pPr>
        <w:pStyle w:val="92"/>
      </w:pPr>
      <w:r>
        <w:t>本磋商文件各部分规定的期间以时、日、月、年计算。期间开始的时和日，不计算在期间内，而从次日开始计算。期间届满的最后一天是节假日的，以节假日后的第一日为期间届满的日期。</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合格响应人的条件</w:t>
      </w:r>
    </w:p>
    <w:p>
      <w:pPr>
        <w:pStyle w:val="92"/>
      </w:pPr>
      <w:r>
        <w:t>具有本项目生产、制造、供应及/或实施能力，符合、承认并承诺履行本磋商文件各项规定的国内供应商均可参加响应。</w:t>
      </w:r>
    </w:p>
    <w:p>
      <w:pPr>
        <w:pStyle w:val="92"/>
      </w:pPr>
      <w:r>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pPr>
        <w:pStyle w:val="92"/>
      </w:pPr>
      <w:r>
        <w:t>响应人应遵守有关的国家法律、法规和条例，具备《中华人民共和国政府采购法》和本磋商文件中规定的条件：</w:t>
      </w:r>
    </w:p>
    <w:p>
      <w:pPr>
        <w:numPr>
          <w:ilvl w:val="0"/>
          <w:numId w:val="18"/>
        </w:numPr>
        <w:spacing w:line="400" w:lineRule="exact"/>
        <w:textAlignment w:val="auto"/>
        <w:rPr>
          <w:sz w:val="21"/>
          <w:szCs w:val="21"/>
        </w:rPr>
      </w:pPr>
      <w:r>
        <w:rPr>
          <w:sz w:val="21"/>
          <w:szCs w:val="21"/>
        </w:rPr>
        <w:t>具有独立承担民事责任的能力；</w:t>
      </w:r>
    </w:p>
    <w:p>
      <w:pPr>
        <w:numPr>
          <w:ilvl w:val="0"/>
          <w:numId w:val="18"/>
        </w:numPr>
        <w:spacing w:line="400" w:lineRule="exact"/>
        <w:textAlignment w:val="auto"/>
        <w:rPr>
          <w:sz w:val="21"/>
          <w:szCs w:val="21"/>
        </w:rPr>
      </w:pPr>
      <w:r>
        <w:rPr>
          <w:sz w:val="21"/>
          <w:szCs w:val="21"/>
        </w:rPr>
        <w:t>具有良好的商业信誉和健全的财务会计制度；</w:t>
      </w:r>
    </w:p>
    <w:p>
      <w:pPr>
        <w:numPr>
          <w:ilvl w:val="0"/>
          <w:numId w:val="18"/>
        </w:numPr>
        <w:spacing w:line="400" w:lineRule="exact"/>
        <w:textAlignment w:val="auto"/>
        <w:rPr>
          <w:sz w:val="21"/>
          <w:szCs w:val="21"/>
        </w:rPr>
      </w:pPr>
      <w:r>
        <w:rPr>
          <w:sz w:val="21"/>
          <w:szCs w:val="21"/>
        </w:rPr>
        <w:t>具有履行合同所必需的设备和专业技术能力；</w:t>
      </w:r>
    </w:p>
    <w:p>
      <w:pPr>
        <w:numPr>
          <w:ilvl w:val="0"/>
          <w:numId w:val="18"/>
        </w:numPr>
        <w:spacing w:line="400" w:lineRule="exact"/>
        <w:textAlignment w:val="auto"/>
        <w:rPr>
          <w:sz w:val="21"/>
          <w:szCs w:val="21"/>
        </w:rPr>
      </w:pPr>
      <w:r>
        <w:rPr>
          <w:sz w:val="21"/>
          <w:szCs w:val="21"/>
        </w:rPr>
        <w:t>具有依法缴纳税收和社会保障资金的良好记录；</w:t>
      </w:r>
    </w:p>
    <w:p>
      <w:pPr>
        <w:numPr>
          <w:ilvl w:val="0"/>
          <w:numId w:val="18"/>
        </w:numPr>
        <w:spacing w:line="400" w:lineRule="exact"/>
        <w:textAlignment w:val="auto"/>
        <w:rPr>
          <w:sz w:val="21"/>
          <w:szCs w:val="21"/>
        </w:rPr>
      </w:pPr>
      <w:r>
        <w:rPr>
          <w:sz w:val="21"/>
          <w:szCs w:val="21"/>
        </w:rPr>
        <w:t>参加此项采购活动前三年内，在经营活动中没有重大违法记录；</w:t>
      </w:r>
    </w:p>
    <w:p>
      <w:pPr>
        <w:numPr>
          <w:ilvl w:val="0"/>
          <w:numId w:val="18"/>
        </w:numPr>
        <w:spacing w:line="400" w:lineRule="exact"/>
        <w:textAlignment w:val="auto"/>
        <w:rPr>
          <w:sz w:val="21"/>
          <w:szCs w:val="21"/>
        </w:rPr>
      </w:pPr>
      <w:r>
        <w:rPr>
          <w:sz w:val="21"/>
          <w:szCs w:val="21"/>
        </w:rPr>
        <w:t>具有</w:t>
      </w:r>
      <w:r>
        <w:fldChar w:fldCharType="begin"/>
      </w:r>
      <w:r>
        <w:instrText xml:space="preserve"> REF 响应人须知前附表 \h  \* MERGEFORMAT </w:instrText>
      </w:r>
      <w:r>
        <w:fldChar w:fldCharType="separate"/>
      </w:r>
      <w:r>
        <w:rPr>
          <w:kern w:val="2"/>
          <w:sz w:val="21"/>
          <w:u w:val="single"/>
        </w:rPr>
        <w:t>响应人须知前附表</w:t>
      </w:r>
      <w:r>
        <w:rPr>
          <w:kern w:val="2"/>
          <w:sz w:val="21"/>
          <w:u w:val="single"/>
        </w:rPr>
        <w:fldChar w:fldCharType="end"/>
      </w:r>
      <w:r>
        <w:rPr>
          <w:sz w:val="21"/>
          <w:szCs w:val="21"/>
          <w:u w:val="single"/>
        </w:rPr>
        <w:t>第</w:t>
      </w:r>
      <w:r>
        <w:fldChar w:fldCharType="begin"/>
      </w:r>
      <w:r>
        <w:instrText xml:space="preserve"> REF _Ref477459456 \r \h  \* MERGEFORMAT </w:instrText>
      </w:r>
      <w:r>
        <w:fldChar w:fldCharType="separate"/>
      </w:r>
      <w:r>
        <w:rPr>
          <w:sz w:val="21"/>
          <w:szCs w:val="21"/>
          <w:u w:val="single"/>
        </w:rPr>
        <w:t>2</w:t>
      </w:r>
      <w:r>
        <w:rPr>
          <w:sz w:val="21"/>
          <w:szCs w:val="21"/>
          <w:u w:val="single"/>
        </w:rPr>
        <w:fldChar w:fldCharType="end"/>
      </w:r>
      <w:r>
        <w:rPr>
          <w:sz w:val="21"/>
          <w:szCs w:val="21"/>
          <w:u w:val="single"/>
        </w:rPr>
        <w:t>条</w:t>
      </w:r>
      <w:r>
        <w:rPr>
          <w:sz w:val="21"/>
          <w:szCs w:val="21"/>
        </w:rPr>
        <w:t>规定的资质条件。</w:t>
      </w:r>
    </w:p>
    <w:p>
      <w:pPr>
        <w:pStyle w:val="92"/>
      </w:pPr>
      <w:r>
        <w:t>本次磋商是否允许代理商（响应人提供的货物不是自己制造的，下同）响应详见</w:t>
      </w:r>
      <w:r>
        <w:fldChar w:fldCharType="begin"/>
      </w:r>
      <w:r>
        <w:instrText xml:space="preserve"> REF 响应人须知前附表 \h  \* MERGEFORMAT </w:instrText>
      </w:r>
      <w:r>
        <w:fldChar w:fldCharType="separate"/>
      </w:r>
      <w:r>
        <w:t>响应人须知前附表</w:t>
      </w:r>
      <w:r>
        <w:fldChar w:fldCharType="end"/>
      </w:r>
      <w:r>
        <w:t>中“</w:t>
      </w:r>
      <w:r>
        <w:fldChar w:fldCharType="begin"/>
      </w:r>
      <w:r>
        <w:instrText xml:space="preserve"> REF 是否允许代理商响应 \h  \* MERGEFORMAT </w:instrText>
      </w:r>
      <w:r>
        <w:fldChar w:fldCharType="separate"/>
      </w:r>
      <w:r>
        <w:rPr>
          <w:szCs w:val="21"/>
        </w:rPr>
        <w:t>是否允许代理商响应</w:t>
      </w:r>
      <w:r>
        <w:rPr>
          <w:szCs w:val="21"/>
        </w:rPr>
        <w:fldChar w:fldCharType="end"/>
      </w:r>
      <w:r>
        <w:t>”。多家代理商参加同一品牌产品响应的处理规则详见</w:t>
      </w:r>
      <w:r>
        <w:fldChar w:fldCharType="begin"/>
      </w:r>
      <w:r>
        <w:instrText xml:space="preserve"> REF 响应人须知前附表 \h  \* MERGEFORMAT </w:instrText>
      </w:r>
      <w:r>
        <w:fldChar w:fldCharType="separate"/>
      </w:r>
      <w:r>
        <w:t>响应人须知前附表</w:t>
      </w:r>
      <w:r>
        <w:fldChar w:fldCharType="end"/>
      </w:r>
      <w:r>
        <w:t>中“</w:t>
      </w:r>
      <w:r>
        <w:fldChar w:fldCharType="begin"/>
      </w:r>
      <w:r>
        <w:instrText xml:space="preserve"> REF 代理要求对应证书 \h </w:instrText>
      </w:r>
      <w:r>
        <w:fldChar w:fldCharType="separate"/>
      </w:r>
      <w:r>
        <w:rPr>
          <w:szCs w:val="21"/>
        </w:rPr>
        <w:t>代理商应提交资料</w:t>
      </w:r>
      <w:r>
        <w:fldChar w:fldCharType="end"/>
      </w:r>
      <w:r>
        <w:t>”。如果允许代理商响应，代理商应遵守下列要求：</w:t>
      </w:r>
    </w:p>
    <w:p>
      <w:pPr>
        <w:numPr>
          <w:ilvl w:val="0"/>
          <w:numId w:val="19"/>
        </w:numPr>
        <w:spacing w:line="400" w:lineRule="exact"/>
        <w:textAlignment w:val="auto"/>
        <w:rPr>
          <w:sz w:val="21"/>
          <w:szCs w:val="21"/>
        </w:rPr>
      </w:pPr>
      <w:r>
        <w:rPr>
          <w:sz w:val="21"/>
          <w:szCs w:val="21"/>
        </w:rPr>
        <w:t>按</w:t>
      </w:r>
      <w:r>
        <w:fldChar w:fldCharType="begin"/>
      </w:r>
      <w:r>
        <w:instrText xml:space="preserve"> REF 响应人须知前附表 \h  \* MERGEFORMAT </w:instrText>
      </w:r>
      <w:r>
        <w:fldChar w:fldCharType="separate"/>
      </w:r>
      <w:r>
        <w:rPr>
          <w:kern w:val="2"/>
          <w:sz w:val="21"/>
        </w:rPr>
        <w:t>响应人须知前附表</w:t>
      </w:r>
      <w:r>
        <w:rPr>
          <w:kern w:val="2"/>
          <w:sz w:val="21"/>
        </w:rPr>
        <w:fldChar w:fldCharType="end"/>
      </w:r>
      <w:r>
        <w:rPr>
          <w:sz w:val="21"/>
        </w:rPr>
        <w:t>中“</w:t>
      </w:r>
      <w:r>
        <w:fldChar w:fldCharType="begin"/>
      </w:r>
      <w:r>
        <w:instrText xml:space="preserve"> REF 代理要求对应证书 \h </w:instrText>
      </w:r>
      <w:r>
        <w:fldChar w:fldCharType="separate"/>
      </w:r>
      <w:r>
        <w:rPr>
          <w:sz w:val="21"/>
          <w:szCs w:val="21"/>
        </w:rPr>
        <w:t>代理商应提交资料</w:t>
      </w:r>
      <w:r>
        <w:fldChar w:fldCharType="end"/>
      </w:r>
      <w:r>
        <w:t>”</w:t>
      </w:r>
      <w:r>
        <w:rPr>
          <w:sz w:val="21"/>
          <w:szCs w:val="21"/>
        </w:rPr>
        <w:t>规定提供相关证明材料。</w:t>
      </w:r>
    </w:p>
    <w:p>
      <w:pPr>
        <w:numPr>
          <w:ilvl w:val="0"/>
          <w:numId w:val="19"/>
        </w:numPr>
        <w:spacing w:line="400" w:lineRule="exact"/>
        <w:textAlignment w:val="auto"/>
        <w:rPr>
          <w:sz w:val="21"/>
          <w:szCs w:val="21"/>
        </w:rPr>
      </w:pPr>
      <w:r>
        <w:rPr>
          <w:sz w:val="21"/>
          <w:szCs w:val="21"/>
        </w:rPr>
        <w:t>如果本次磋商需要代理商提交响应产品生产制造厂商的授权，代理商应当按照</w:t>
      </w:r>
      <w:r>
        <w:fldChar w:fldCharType="begin"/>
      </w:r>
      <w:r>
        <w:instrText xml:space="preserve"> REF 响应人须知前附表 \h  \* MERGEFORMAT </w:instrText>
      </w:r>
      <w:r>
        <w:fldChar w:fldCharType="separate"/>
      </w:r>
      <w:r>
        <w:rPr>
          <w:kern w:val="2"/>
          <w:sz w:val="21"/>
          <w:szCs w:val="21"/>
        </w:rPr>
        <w:t>响应人须知前附表</w:t>
      </w:r>
      <w:r>
        <w:rPr>
          <w:kern w:val="2"/>
          <w:sz w:val="21"/>
          <w:szCs w:val="21"/>
        </w:rPr>
        <w:fldChar w:fldCharType="end"/>
      </w:r>
      <w:r>
        <w:rPr>
          <w:sz w:val="21"/>
          <w:szCs w:val="21"/>
        </w:rPr>
        <w:t>中“</w:t>
      </w:r>
      <w:r>
        <w:fldChar w:fldCharType="begin"/>
      </w:r>
      <w:r>
        <w:instrText xml:space="preserve"> REF 本次采购是否需要提供厂家授权的产品或服务清单 \h  \* MERGEFORMAT </w:instrText>
      </w:r>
      <w:r>
        <w:fldChar w:fldCharType="separate"/>
      </w:r>
      <w:r>
        <w:rPr>
          <w:sz w:val="21"/>
          <w:szCs w:val="21"/>
        </w:rPr>
        <w:t>本次采购是否需要提供厂家授权的产品或服务清单</w:t>
      </w:r>
      <w:r>
        <w:rPr>
          <w:sz w:val="21"/>
          <w:szCs w:val="21"/>
        </w:rPr>
        <w:fldChar w:fldCharType="end"/>
      </w:r>
      <w:r>
        <w:t>”</w:t>
      </w:r>
      <w:r>
        <w:rPr>
          <w:sz w:val="21"/>
          <w:szCs w:val="21"/>
        </w:rPr>
        <w:t>所列设备提供有效的生产制造厂商授权。</w:t>
      </w:r>
    </w:p>
    <w:p>
      <w:pPr>
        <w:pStyle w:val="92"/>
      </w:pPr>
      <w:r>
        <w:t>具有法人资格且与其他法人具有控股关联关系的响应人的特别规则如下：</w:t>
      </w:r>
    </w:p>
    <w:p>
      <w:pPr>
        <w:numPr>
          <w:ilvl w:val="0"/>
          <w:numId w:val="20"/>
        </w:numPr>
        <w:spacing w:line="400" w:lineRule="exact"/>
        <w:textAlignment w:val="auto"/>
        <w:rPr>
          <w:sz w:val="21"/>
          <w:szCs w:val="21"/>
        </w:rPr>
      </w:pPr>
      <w:r>
        <w:rPr>
          <w:sz w:val="21"/>
          <w:szCs w:val="21"/>
        </w:rPr>
        <w:t>同一集团、总公司或母公司等，连同其下属的全资子公司或（持股50%以上的）绝对控股子公司等（非控股子公司除外），只能由一家参加同一分包的响应，否则磋商小组有权视情况决定是否允许其自行决定撤回部分响应人只保留其中一家，或自行决定对该集团、总公司、母公司等连同其下属子公司一并拒绝。</w:t>
      </w:r>
    </w:p>
    <w:p>
      <w:pPr>
        <w:numPr>
          <w:ilvl w:val="0"/>
          <w:numId w:val="20"/>
        </w:numPr>
        <w:spacing w:line="400" w:lineRule="exact"/>
        <w:textAlignment w:val="auto"/>
        <w:rPr>
          <w:sz w:val="21"/>
          <w:szCs w:val="21"/>
        </w:rPr>
      </w:pPr>
      <w:r>
        <w:rPr>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pPr>
        <w:numPr>
          <w:ilvl w:val="0"/>
          <w:numId w:val="20"/>
        </w:numPr>
        <w:spacing w:line="400" w:lineRule="exact"/>
        <w:textAlignment w:val="auto"/>
        <w:rPr>
          <w:sz w:val="21"/>
          <w:szCs w:val="21"/>
        </w:rPr>
      </w:pPr>
      <w:r>
        <w:rPr>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承诺文件的内容应当明确包括下列含义：其所属集团、总公司或母公司等法人组织所出具的表明对该子公司参加本次响应所引起的及/或相关的任何及/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承诺文件的集团、总公司或母公司等具有约束效力，其也可以直接利用该集团、总公司或母公司等的资质与业绩，同时有义务如实披露其所受处罚、不良记录及/或其违法纪录，不应当存在丝毫差别。</w:t>
      </w:r>
    </w:p>
    <w:p>
      <w:pPr>
        <w:pStyle w:val="92"/>
      </w:pPr>
      <w:r>
        <w:t>本次磋商是否允许由两个以上响应人组成一个联合体以一个响应人身份共同响应，详见</w:t>
      </w:r>
      <w:r>
        <w:fldChar w:fldCharType="begin"/>
      </w:r>
      <w:r>
        <w:instrText xml:space="preserve"> REF 响应人须知前附表 \h  \* MERGEFORMAT </w:instrText>
      </w:r>
      <w:r>
        <w:fldChar w:fldCharType="separate"/>
      </w:r>
      <w:r>
        <w:t>响应人须知前附表</w:t>
      </w:r>
      <w:r>
        <w:fldChar w:fldCharType="end"/>
      </w:r>
      <w:r>
        <w:t>中“</w:t>
      </w:r>
      <w:r>
        <w:fldChar w:fldCharType="begin"/>
      </w:r>
      <w:r>
        <w:instrText xml:space="preserve"> REF 是否允许联合体响应 \h  \* MERGEFORMAT </w:instrText>
      </w:r>
      <w:r>
        <w:fldChar w:fldCharType="separate"/>
      </w:r>
      <w:r>
        <w:rPr>
          <w:szCs w:val="21"/>
        </w:rPr>
        <w:t>是否允许联合体响应</w:t>
      </w:r>
      <w:r>
        <w:rPr>
          <w:szCs w:val="21"/>
        </w:rPr>
        <w:fldChar w:fldCharType="end"/>
      </w:r>
      <w:r>
        <w:t>”。如果允许联合体响应，联合体各方除符合上述规定外，还应符合下列要求：</w:t>
      </w:r>
    </w:p>
    <w:p>
      <w:pPr>
        <w:numPr>
          <w:ilvl w:val="0"/>
          <w:numId w:val="21"/>
        </w:numPr>
        <w:spacing w:line="400" w:lineRule="exact"/>
        <w:textAlignment w:val="auto"/>
        <w:rPr>
          <w:sz w:val="21"/>
          <w:szCs w:val="21"/>
        </w:rPr>
      </w:pPr>
      <w:r>
        <w:rPr>
          <w:sz w:val="21"/>
          <w:szCs w:val="21"/>
        </w:rPr>
        <w:t>联合响应体应提供“联合响应协议书”，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numPr>
          <w:ilvl w:val="0"/>
          <w:numId w:val="21"/>
        </w:numPr>
        <w:spacing w:line="400" w:lineRule="exact"/>
        <w:textAlignment w:val="auto"/>
        <w:rPr>
          <w:sz w:val="21"/>
          <w:szCs w:val="21"/>
        </w:rPr>
      </w:pPr>
      <w:r>
        <w:rPr>
          <w:sz w:val="21"/>
          <w:szCs w:val="21"/>
        </w:rPr>
        <w:t>由同一专业的响应人组成的联合体，按照资质等级较低的响应人确定资质等级。</w:t>
      </w:r>
    </w:p>
    <w:p>
      <w:pPr>
        <w:numPr>
          <w:ilvl w:val="0"/>
          <w:numId w:val="21"/>
        </w:numPr>
        <w:spacing w:line="400" w:lineRule="exact"/>
        <w:textAlignment w:val="auto"/>
        <w:rPr>
          <w:sz w:val="21"/>
          <w:szCs w:val="21"/>
        </w:rPr>
      </w:pPr>
      <w:r>
        <w:rPr>
          <w:sz w:val="21"/>
          <w:szCs w:val="21"/>
        </w:rPr>
        <w:t>联合体各方中至少应当有一方对应满足本项目规定的相应资质条件，并且联合体响应人整体应当符合本项目的资质要求，否则，其提交的联合响应将被拒绝。</w:t>
      </w:r>
    </w:p>
    <w:p>
      <w:pPr>
        <w:numPr>
          <w:ilvl w:val="0"/>
          <w:numId w:val="21"/>
        </w:numPr>
        <w:spacing w:line="400" w:lineRule="exact"/>
        <w:textAlignment w:val="auto"/>
        <w:rPr>
          <w:sz w:val="21"/>
          <w:szCs w:val="21"/>
        </w:rPr>
      </w:pPr>
      <w:r>
        <w:rPr>
          <w:sz w:val="21"/>
          <w:szCs w:val="21"/>
        </w:rPr>
        <w:t>联合体成交后，合同应由各成员的合法授权代表签字并加盖各成员公章，以便对联合体成员作为整体和他们各自作为独立体均具有法律约束力，但若该等签字及/或公章不齐全或缺乏，该联合体的牵头人的签署或类似的意思表示人具有代表该联合体的签署及/或意思表示的法律效力，并且据此各成员为履行合同应向采购人/采购人/任何相关第三方承担连带责任。</w:t>
      </w:r>
    </w:p>
    <w:p>
      <w:pPr>
        <w:numPr>
          <w:ilvl w:val="0"/>
          <w:numId w:val="21"/>
        </w:numPr>
        <w:spacing w:line="400" w:lineRule="exact"/>
        <w:textAlignment w:val="auto"/>
        <w:rPr>
          <w:sz w:val="21"/>
          <w:szCs w:val="21"/>
        </w:rPr>
      </w:pPr>
      <w:r>
        <w:rPr>
          <w:sz w:val="21"/>
          <w:szCs w:val="21"/>
        </w:rPr>
        <w:t>响应联合体及/或其成员通过协议、控股或分支机构或其它方式就供货及/或服务等与任何独立或非独立的他方构成联合、分属或其它关系、相关责任义务等，均由响应联合体及/或其成员与该他方自行协商约定，响应联合体及/或其成员与该他方之间的约定均仅属于其间分担权利义务与责任的办法，对采购人/采购人/相关第三方均不具有任何约束或效力，且一旦发生与本磋商、响应、协议及其履行相关的责任，均仅应由响应联合体及/或其成员与该他方各自或承担连带责任，而响应联合体及/或其成员依据本次磋商、响应原所应承担的对采购人/采购人/相关第三方的责任均并不因此被减、免。</w:t>
      </w:r>
    </w:p>
    <w:p>
      <w:pPr>
        <w:numPr>
          <w:ilvl w:val="0"/>
          <w:numId w:val="21"/>
        </w:numPr>
        <w:spacing w:line="400" w:lineRule="exact"/>
        <w:textAlignment w:val="auto"/>
        <w:rPr>
          <w:sz w:val="21"/>
          <w:szCs w:val="21"/>
        </w:rPr>
      </w:pPr>
      <w:r>
        <w:rPr>
          <w:sz w:val="21"/>
          <w:szCs w:val="21"/>
        </w:rPr>
        <w:t>联合体及/或其成员未经采购人事先书面同意，不得将其在合同项下的权利及/或义务全部或部分转让给第三人，有关分包事项或服务委托等须事先取得采购人书面同意并且须遵守相关法律、法规、本次磋商的全部相关规定。</w:t>
      </w:r>
    </w:p>
    <w:p>
      <w:pPr>
        <w:numPr>
          <w:ilvl w:val="0"/>
          <w:numId w:val="21"/>
        </w:numPr>
        <w:spacing w:line="400" w:lineRule="exact"/>
        <w:textAlignment w:val="auto"/>
        <w:rPr>
          <w:sz w:val="21"/>
          <w:szCs w:val="21"/>
        </w:rPr>
      </w:pPr>
      <w:r>
        <w:rPr>
          <w:sz w:val="21"/>
          <w:szCs w:val="21"/>
        </w:rPr>
        <w:t>联合体各方均不得同时再以自己独立的名义单独响应，也不得再同时参加其他的联合体响应。若该等情形被发现，其单独的响应和与此有关的联合体的响应均将被一并拒绝。</w:t>
      </w:r>
    </w:p>
    <w:p>
      <w:pPr>
        <w:pStyle w:val="92"/>
      </w:pPr>
      <w:r>
        <w:t>如响应人代表不是法定代表人，须持有《法定代表人授权委托书》（按磋商文件格式填写）。</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响应费用</w:t>
      </w:r>
    </w:p>
    <w:p>
      <w:pPr>
        <w:pStyle w:val="92"/>
      </w:pPr>
      <w:r>
        <w:t>响应人应承担所有与准备和参加响应有关的费用，采购人在任何情况下均无义务和责任承担这些费用。</w:t>
      </w:r>
    </w:p>
    <w:p>
      <w:pPr>
        <w:pStyle w:val="71"/>
        <w:numPr>
          <w:ilvl w:val="0"/>
          <w:numId w:val="0"/>
        </w:numPr>
        <w:tabs>
          <w:tab w:val="left" w:pos="420"/>
        </w:tabs>
        <w:spacing w:line="400" w:lineRule="exact"/>
        <w:ind w:firstLine="420" w:firstLineChars="200"/>
        <w:rPr>
          <w:rFonts w:ascii="Times New Roman" w:hAnsi="Times New Roman"/>
        </w:rPr>
      </w:pP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通知</w:t>
      </w:r>
    </w:p>
    <w:p>
      <w:pPr>
        <w:pStyle w:val="92"/>
      </w:pPr>
      <w: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pPr>
        <w:pStyle w:val="4"/>
        <w:numPr>
          <w:ilvl w:val="0"/>
          <w:numId w:val="17"/>
        </w:numPr>
        <w:adjustRightInd/>
        <w:spacing w:line="415" w:lineRule="auto"/>
        <w:jc w:val="both"/>
        <w:textAlignment w:val="auto"/>
        <w:rPr>
          <w:kern w:val="2"/>
        </w:rPr>
      </w:pPr>
      <w:bookmarkStart w:id="71" w:name="_Toc491372350"/>
      <w:r>
        <w:rPr>
          <w:kern w:val="2"/>
        </w:rPr>
        <w:t>磋商文件</w:t>
      </w:r>
      <w:bookmarkEnd w:id="71"/>
    </w:p>
    <w:p>
      <w:pPr>
        <w:pStyle w:val="5"/>
        <w:numPr>
          <w:ilvl w:val="0"/>
          <w:numId w:val="22"/>
        </w:numPr>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磋商文件</w:t>
      </w:r>
    </w:p>
    <w:p>
      <w:pPr>
        <w:pStyle w:val="92"/>
      </w:pPr>
      <w:r>
        <w:t>磋商文件由下列六部分内容组成：</w:t>
      </w:r>
    </w:p>
    <w:p>
      <w:pPr>
        <w:pStyle w:val="92"/>
      </w:pPr>
      <w:r>
        <w:t xml:space="preserve">第一部分  </w:t>
      </w:r>
      <w:r>
        <w:fldChar w:fldCharType="begin"/>
      </w:r>
      <w:r>
        <w:instrText xml:space="preserve"> REF 响应邀请 \h  \* MERGEFORMAT </w:instrText>
      </w:r>
      <w:r>
        <w:fldChar w:fldCharType="separate"/>
      </w:r>
      <w:r>
        <w:t>响应邀请</w:t>
      </w:r>
      <w:r>
        <w:fldChar w:fldCharType="end"/>
      </w:r>
      <w:r>
        <w:t>；</w:t>
      </w:r>
    </w:p>
    <w:p>
      <w:pPr>
        <w:pStyle w:val="92"/>
      </w:pPr>
      <w:r>
        <w:t xml:space="preserve">第二部分  </w:t>
      </w:r>
      <w:r>
        <w:fldChar w:fldCharType="begin"/>
      </w:r>
      <w:r>
        <w:instrText xml:space="preserve"> REF 响应人须知前附表 \h  \* MERGEFORMAT </w:instrText>
      </w:r>
      <w:r>
        <w:fldChar w:fldCharType="separate"/>
      </w:r>
      <w:r>
        <w:t>响应人须知前附表</w:t>
      </w:r>
      <w:r>
        <w:fldChar w:fldCharType="end"/>
      </w:r>
      <w:r>
        <w:t>；</w:t>
      </w:r>
    </w:p>
    <w:p>
      <w:pPr>
        <w:pStyle w:val="92"/>
      </w:pPr>
      <w:r>
        <w:t xml:space="preserve">第三部分  </w:t>
      </w:r>
      <w:r>
        <w:fldChar w:fldCharType="begin"/>
      </w:r>
      <w:r>
        <w:instrText xml:space="preserve"> REF 响应人须知 \h  \* MERGEFORMAT </w:instrText>
      </w:r>
      <w:r>
        <w:fldChar w:fldCharType="separate"/>
      </w:r>
      <w:r>
        <w:t>响应人须知</w:t>
      </w:r>
      <w:r>
        <w:fldChar w:fldCharType="end"/>
      </w:r>
      <w:r>
        <w:t>；</w:t>
      </w:r>
    </w:p>
    <w:p>
      <w:pPr>
        <w:pStyle w:val="92"/>
      </w:pPr>
      <w:r>
        <w:t xml:space="preserve">第四部分  </w:t>
      </w:r>
      <w:r>
        <w:fldChar w:fldCharType="begin"/>
      </w:r>
      <w:r>
        <w:instrText xml:space="preserve"> REF 评标标准和评标办法 \h  \* MERGEFORMAT </w:instrText>
      </w:r>
      <w:r>
        <w:fldChar w:fldCharType="separate"/>
      </w:r>
      <w:r>
        <w:t>评标标准和评标办法</w:t>
      </w:r>
      <w:r>
        <w:fldChar w:fldCharType="end"/>
      </w:r>
      <w:r>
        <w:t>；</w:t>
      </w:r>
    </w:p>
    <w:p>
      <w:pPr>
        <w:pStyle w:val="92"/>
      </w:pPr>
      <w:r>
        <w:t xml:space="preserve">第五部分  </w:t>
      </w:r>
      <w:r>
        <w:fldChar w:fldCharType="begin"/>
      </w:r>
      <w:r>
        <w:instrText xml:space="preserve"> REF 磋商服务具体需求 \h  \* MERGEFORMAT </w:instrText>
      </w:r>
      <w:r>
        <w:fldChar w:fldCharType="separate"/>
      </w:r>
      <w:r>
        <w:t>磋商货物、服务的具体需求</w:t>
      </w:r>
      <w:r>
        <w:fldChar w:fldCharType="end"/>
      </w:r>
      <w:r>
        <w:t>；</w:t>
      </w:r>
    </w:p>
    <w:p>
      <w:pPr>
        <w:pStyle w:val="92"/>
        <w:rPr>
          <w:szCs w:val="21"/>
        </w:rPr>
      </w:pPr>
      <w:r>
        <w:t xml:space="preserve">第六部分  </w:t>
      </w:r>
      <w:r>
        <w:fldChar w:fldCharType="begin"/>
      </w:r>
      <w:r>
        <w:instrText xml:space="preserve"> REF 响应文件格式 \h  \* MERGEFORMAT </w:instrText>
      </w:r>
      <w:r>
        <w:fldChar w:fldCharType="separate"/>
      </w:r>
      <w:r>
        <w:t>响应文件格式</w:t>
      </w:r>
      <w:r>
        <w:fldChar w:fldCharType="end"/>
      </w:r>
      <w:r>
        <w:t>；</w:t>
      </w:r>
    </w:p>
    <w:p>
      <w:pPr>
        <w:pStyle w:val="5"/>
        <w:numPr>
          <w:ilvl w:val="0"/>
          <w:numId w:val="22"/>
        </w:numPr>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响应前磋商文件的澄清和修改</w:t>
      </w:r>
    </w:p>
    <w:p>
      <w:pPr>
        <w:pStyle w:val="92"/>
      </w:pPr>
      <w:r>
        <w:t>响应人的澄清、修改等要求的提交：任何下载或领取磋商文件的潜在响应人，均可要求对磋商文件进行澄清及或修改，并可以要求就货物安装使用环境的现场进行踏勘，该要求应在响应截止期5日前，按响应邀请书中的联系地址以书面形式送达采购人。</w:t>
      </w:r>
    </w:p>
    <w:p>
      <w:pPr>
        <w:pStyle w:val="92"/>
      </w:pPr>
      <w:r>
        <w:t>磋商文件在公告之前已经在相关媒体/网站发布公告公开征求过意见的或进行过论证的，采购人可以不再接受已经征求过意见或论证的商务或技术部分响应人提出的相关澄清、修改要求。</w:t>
      </w:r>
    </w:p>
    <w:p>
      <w:pPr>
        <w:pStyle w:val="92"/>
      </w:pPr>
      <w:r>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pPr>
        <w:pStyle w:val="92"/>
      </w:pPr>
      <w:r>
        <w:t>采购人对澄清、修改要求的处理：采购人对其认为不必要进行澄清及/或修改，也不需要进行其它答复的，可以不予答复。若采购人决定给予澄清、修改及/或进行其它答复的，应当用补充文件的方式进行，且应当以当面交接、邮寄、传真或电子邮件、网站披露等其中至少一种方式，统一向全体，或分别或向每一位（但不可以只向其中一部分）潜在响应人发出澄清、修改及/或进行其它答复的补充文件，补充文件中可以包括原提出的问题，但不包括问题的来源。</w:t>
      </w:r>
    </w:p>
    <w:p>
      <w:pPr>
        <w:pStyle w:val="92"/>
      </w:pPr>
      <w:r>
        <w:t>采购人主动进行的澄清、修改：采购人无论出于何种原因，均可主动对磋商文件中的相关事项，用补充文件的方式进行澄清和修改。</w:t>
      </w:r>
    </w:p>
    <w:p>
      <w:pPr>
        <w:pStyle w:val="92"/>
      </w:pPr>
      <w:r>
        <w:t>补充文件的发出时间、响应截止日的变更：在磋商采购的情形下，自澄清、修改及/或进行其它答复的补充文件发出之日起至所规定的响应人提交响应文件截止之日止，不得少于五日，需要为此调整响应文件提交截止日的，应当重新确定，并就变更后的响应截止日重新发出通知。</w:t>
      </w:r>
    </w:p>
    <w:p>
      <w:pPr>
        <w:pStyle w:val="92"/>
      </w:pPr>
      <w:r>
        <w:t>采购人澄清、修改、其它答复的效力：无论是否根据潜在响应人的澄清、修改及/或进行其它答复的要求，采购人一旦对磋商文件作出了澄清、修改及/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pPr>
        <w:pStyle w:val="4"/>
        <w:numPr>
          <w:ilvl w:val="0"/>
          <w:numId w:val="17"/>
        </w:numPr>
        <w:adjustRightInd/>
        <w:spacing w:line="415" w:lineRule="auto"/>
        <w:jc w:val="both"/>
        <w:textAlignment w:val="auto"/>
        <w:rPr>
          <w:kern w:val="2"/>
        </w:rPr>
      </w:pPr>
      <w:bookmarkStart w:id="72" w:name="_Toc491372351"/>
      <w:r>
        <w:rPr>
          <w:kern w:val="2"/>
        </w:rPr>
        <w:t>响应文件</w:t>
      </w:r>
      <w:bookmarkEnd w:id="72"/>
      <w:r>
        <w:rPr>
          <w:kern w:val="2"/>
        </w:rPr>
        <w:t xml:space="preserve">     </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响应文件的语言和计量单位</w:t>
      </w:r>
    </w:p>
    <w:p>
      <w:pPr>
        <w:pStyle w:val="92"/>
      </w:pPr>
      <w:r>
        <w:t>响应人提交的响应文件以及响应人与采购人就有关响应的所有来往函电应使用中文简体字。</w:t>
      </w:r>
    </w:p>
    <w:p>
      <w:pPr>
        <w:pStyle w:val="92"/>
      </w:pPr>
      <w:r>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pPr>
        <w:pStyle w:val="92"/>
      </w:pPr>
      <w:r>
        <w:t>响应文件所使用的计量单位，应使用国家法定计量单位。</w:t>
      </w:r>
    </w:p>
    <w:p>
      <w:pPr>
        <w:pStyle w:val="92"/>
        <w:rPr>
          <w:szCs w:val="21"/>
        </w:rPr>
      </w:pPr>
      <w:r>
        <w:t>对违反上述规定情形的，磋商小组有权要求响应人限期提供相应文件或决定对其响应予以拒绝。</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响应文件的组成及相关要求</w:t>
      </w:r>
    </w:p>
    <w:p>
      <w:pPr>
        <w:pStyle w:val="92"/>
      </w:pPr>
      <w:r>
        <w:t>响应文件分为商务部分和技术部分。</w:t>
      </w:r>
      <w:r>
        <w:rPr>
          <w:rFonts w:hint="eastAsia"/>
        </w:rPr>
        <w:t xml:space="preserve"> v</w:t>
      </w:r>
    </w:p>
    <w:p>
      <w:pPr>
        <w:pStyle w:val="92"/>
      </w:pPr>
      <w:r>
        <w:t>商务部分指响应人提交的证明其有资格参加响应和成交后有能力履行合同的文件。技术部分指响应人提交的能够证明响应人提供的货物及服务符合磋商文件规定的文件。本次磋商，响应人应按</w:t>
      </w:r>
      <w:r>
        <w:fldChar w:fldCharType="begin"/>
      </w:r>
      <w:r>
        <w:instrText xml:space="preserve"> REF 响应人须知前附表 \h  \* MERGEFORMAT </w:instrText>
      </w:r>
      <w:r>
        <w:fldChar w:fldCharType="separate"/>
      </w:r>
      <w:r>
        <w:t>响应人须知前附表</w:t>
      </w:r>
      <w:r>
        <w:fldChar w:fldCharType="end"/>
      </w:r>
      <w:r>
        <w:t>中的规定提交商务文件、技术文件和需要响应人自行编写的其他文件，其中加*项目若有实质性修改或非实质性响应，将导致响应被拒绝且不允许在响应截止后补正（具体填写要求详见磋商文件“</w:t>
      </w:r>
      <w:r>
        <w:fldChar w:fldCharType="begin"/>
      </w:r>
      <w:r>
        <w:instrText xml:space="preserve"> REF 响应文件格式 \h  \* MERGEFORMAT </w:instrText>
      </w:r>
      <w:r>
        <w:fldChar w:fldCharType="separate"/>
      </w:r>
      <w:r>
        <w:t>响应文件格式</w:t>
      </w:r>
      <w:r>
        <w:fldChar w:fldCharType="end"/>
      </w:r>
      <w:r>
        <w:t>”部分）。</w:t>
      </w:r>
    </w:p>
    <w:p>
      <w:pPr>
        <w:pStyle w:val="92"/>
      </w:pPr>
      <w:r>
        <w:t>响应文件规格幅面为（A4），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w:t>
      </w:r>
      <w:r>
        <w:rPr>
          <w:b/>
        </w:rPr>
        <w:t>响应文件的装订必须采用胶订或线订形式，不得采用活页装订方式，否则，其响应将被拒绝。</w:t>
      </w:r>
      <w:r>
        <w:t>响应文件的技术文件中的各项表格必须按照磋商文件第六部分格式要求制作。</w:t>
      </w:r>
    </w:p>
    <w:p>
      <w:pPr>
        <w:pStyle w:val="92"/>
        <w:ind w:firstLine="422"/>
      </w:pPr>
      <w:r>
        <w:rPr>
          <w:b/>
          <w:szCs w:val="21"/>
        </w:rPr>
        <w:t>响应文件正副本的书脊位置需按照竖版方式打印以下内容：“项目编号”、“项目名称”、“公司名称”。</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响应保证金</w:t>
      </w:r>
    </w:p>
    <w:p>
      <w:pPr>
        <w:pStyle w:val="92"/>
      </w:pPr>
      <w:r>
        <w:t>响应人应提供的响应保证金额详见</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_Ref477449610 \r \h  \* MERGEFORMAT </w:instrText>
      </w:r>
      <w:r>
        <w:fldChar w:fldCharType="separate"/>
      </w:r>
      <w:r>
        <w:t>10</w:t>
      </w:r>
      <w:r>
        <w:fldChar w:fldCharType="end"/>
      </w:r>
      <w:r>
        <w:t>项；</w:t>
      </w:r>
    </w:p>
    <w:p>
      <w:pPr>
        <w:pStyle w:val="92"/>
      </w:pPr>
      <w:r>
        <w:t>响应保证金必须采用电汇形式。</w:t>
      </w:r>
    </w:p>
    <w:p>
      <w:pPr>
        <w:pStyle w:val="92"/>
      </w:pPr>
      <w:r>
        <w:t>单位名称：中央财经大学；</w:t>
      </w:r>
    </w:p>
    <w:p>
      <w:pPr>
        <w:pStyle w:val="92"/>
      </w:pPr>
      <w:r>
        <w:t>开户银行：工商银行北京新街口支行；</w:t>
      </w:r>
    </w:p>
    <w:p>
      <w:pPr>
        <w:pStyle w:val="92"/>
      </w:pPr>
      <w:r>
        <w:t>开户账号：0200002909089002159；</w:t>
      </w:r>
    </w:p>
    <w:p>
      <w:pPr>
        <w:pStyle w:val="92"/>
      </w:pPr>
      <w:r>
        <w:t>响应人的响应保证金须在汇款单上注明采购项目名称、采购项目编号，并在响应截止前办理向采购人上述指定帐户汇款的手续</w:t>
      </w:r>
      <w:r>
        <w:rPr>
          <w:rFonts w:hint="eastAsia"/>
        </w:rPr>
        <w:t>。</w:t>
      </w:r>
    </w:p>
    <w:p>
      <w:pPr>
        <w:pStyle w:val="92"/>
      </w:pPr>
      <w:r>
        <w:t>同时</w:t>
      </w:r>
      <w:r>
        <w:rPr>
          <w:rFonts w:hint="eastAsia"/>
        </w:rPr>
        <w:t>，</w:t>
      </w:r>
      <w:r>
        <w:t>响应人需将银行出具的响应保证金汇款</w:t>
      </w:r>
      <w:r>
        <w:rPr>
          <w:rFonts w:hint="eastAsia"/>
        </w:rPr>
        <w:t>单</w:t>
      </w:r>
      <w:r>
        <w:t>的复印件</w:t>
      </w:r>
      <w:r>
        <w:rPr>
          <w:rFonts w:hint="eastAsia"/>
        </w:rPr>
        <w:t>加盖公章后</w:t>
      </w:r>
      <w:r>
        <w:t>单独密封</w:t>
      </w:r>
      <w:r>
        <w:rPr>
          <w:rFonts w:hint="eastAsia"/>
        </w:rPr>
        <w:t>，</w:t>
      </w:r>
      <w:r>
        <w:t>封口处应有法定代表人（或响应人代表）的签字或响应人公章</w:t>
      </w:r>
      <w:r>
        <w:rPr>
          <w:rFonts w:hint="eastAsia"/>
        </w:rPr>
        <w:t>，</w:t>
      </w:r>
      <w:r>
        <w:t>汇款</w:t>
      </w:r>
      <w:r>
        <w:rPr>
          <w:rFonts w:hint="eastAsia"/>
        </w:rPr>
        <w:t>单</w:t>
      </w:r>
      <w:r>
        <w:t>原件自行保存</w:t>
      </w:r>
      <w:r>
        <w:rPr>
          <w:rFonts w:hint="eastAsia"/>
        </w:rPr>
        <w:t>。</w:t>
      </w:r>
    </w:p>
    <w:p>
      <w:pPr>
        <w:pStyle w:val="92"/>
      </w:pPr>
      <w:r>
        <w:rPr>
          <w:szCs w:val="21"/>
        </w:rPr>
        <w:t>响应人</w:t>
      </w:r>
      <w:r>
        <w:t>在响应现场凭汇款复印件领取采购人有关凭据（否则视为未提交）。</w:t>
      </w:r>
    </w:p>
    <w:p>
      <w:pPr>
        <w:pStyle w:val="92"/>
      </w:pPr>
      <w:r>
        <w:t>未按前述各款要求提交响应保证金，或所提交保证金不完全符合各项要求的响应，将被视为无效响应。</w:t>
      </w:r>
    </w:p>
    <w:p>
      <w:pPr>
        <w:pStyle w:val="92"/>
      </w:pPr>
      <w:r>
        <w:t>响应保证金一律采用电汇方式退还。</w:t>
      </w:r>
    </w:p>
    <w:p>
      <w:pPr>
        <w:pStyle w:val="92"/>
      </w:pPr>
      <w: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pPr>
        <w:pStyle w:val="92"/>
      </w:pPr>
      <w:r>
        <w:t>办理时间：周一至周四上午8：30至11：00，下午2：00至4：30，节假日除外；</w:t>
      </w:r>
    </w:p>
    <w:p>
      <w:pPr>
        <w:pStyle w:val="92"/>
      </w:pPr>
      <w:r>
        <w:t>办理地点：北京市海淀区学院南路39号中央财经大学办公楼309室；</w:t>
      </w:r>
    </w:p>
    <w:p>
      <w:pPr>
        <w:pStyle w:val="92"/>
      </w:pPr>
      <w:r>
        <w:t>联系电话：62289113，62288705。</w:t>
      </w:r>
    </w:p>
    <w:p>
      <w:pPr>
        <w:pStyle w:val="92"/>
      </w:pPr>
      <w:r>
        <w:t>成交人除持上述资料外，还应提交采购合同副本，持采购人开具的响应保证金收据原件办理响应保证金的退还手续。</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响应报价</w:t>
      </w:r>
    </w:p>
    <w:p>
      <w:pPr>
        <w:pStyle w:val="92"/>
      </w:pPr>
      <w: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pPr>
        <w:pStyle w:val="92"/>
      </w:pPr>
      <w:r>
        <w:t>响应人投报多包的，应对每包分别报价并分别填报报价一览表。</w:t>
      </w:r>
    </w:p>
    <w:p>
      <w:pPr>
        <w:pStyle w:val="92"/>
      </w:pPr>
      <w:r>
        <w:t>本次磋商不接受可选择或可调整的响应方案和报价，任何有选择的或可调整的响应方案和报价将被视为非响应性响应而被拒绝。</w:t>
      </w:r>
    </w:p>
    <w:p>
      <w:pPr>
        <w:pStyle w:val="92"/>
      </w:pPr>
      <w:r>
        <w:t>响应人要按响应产品数量、价格表（统一格式）的内容填写货物单价（包括货物报价，装箱、包装、包装物料、送货和保险费用）、总价及其他事项，并由法定代表人或响应人代表签署。</w:t>
      </w:r>
    </w:p>
    <w:p>
      <w:pPr>
        <w:pStyle w:val="92"/>
      </w:pPr>
      <w:r>
        <w:t>响应人对响应报价若有说明应在报价一览表显著处注明，其优惠才会在评标时予以考虑。</w:t>
      </w:r>
    </w:p>
    <w:p>
      <w:pPr>
        <w:pStyle w:val="92"/>
      </w:pPr>
      <w:r>
        <w:t>响应的报价优惠应对应报价一览表、响应产品数量价格表等提供相应的明细清单。</w:t>
      </w:r>
    </w:p>
    <w:p>
      <w:pPr>
        <w:pStyle w:val="92"/>
      </w:pPr>
      <w:r>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pPr>
        <w:pStyle w:val="92"/>
        <w:rPr>
          <w:szCs w:val="21"/>
        </w:rPr>
      </w:pPr>
      <w:r>
        <w:t>最低报价不能作为成交的保证。</w:t>
      </w:r>
    </w:p>
    <w:p>
      <w:pPr>
        <w:pStyle w:val="92"/>
      </w:pPr>
      <w:r>
        <w:t>本项目是否允许响应人将项目的非主体、非关键性工作交由他人完成详见</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_Ref477449806 \r \h  \* MERGEFORMAT </w:instrText>
      </w:r>
      <w:r>
        <w:fldChar w:fldCharType="separate"/>
      </w:r>
      <w:r>
        <w:t>12</w:t>
      </w:r>
      <w:r>
        <w:fldChar w:fldCharType="end"/>
      </w:r>
      <w:r>
        <w:t>条。</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响应内容填写说明</w:t>
      </w:r>
    </w:p>
    <w:p>
      <w:pPr>
        <w:pStyle w:val="92"/>
      </w:pPr>
      <w:r>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pPr>
        <w:pStyle w:val="92"/>
      </w:pPr>
      <w:r>
        <w:t>响应文件应严格按照磋商文件规定的顺序装订成册并编制目录，由于编排混乱导致响应文件被误读或查找不到，是响应人的责任。</w:t>
      </w:r>
    </w:p>
    <w:p>
      <w:pPr>
        <w:pStyle w:val="92"/>
      </w:pPr>
      <w:r>
        <w:t>响应文件应严格按照磋商文件“</w:t>
      </w:r>
      <w:r>
        <w:fldChar w:fldCharType="begin"/>
      </w:r>
      <w:r>
        <w:instrText xml:space="preserve"> REF 响应文件格式 \h  \* MERGEFORMAT </w:instrText>
      </w:r>
      <w:r>
        <w:fldChar w:fldCharType="separate"/>
      </w:r>
      <w:r>
        <w:t>响应文件格式</w:t>
      </w:r>
      <w:r>
        <w:fldChar w:fldCharType="end"/>
      </w:r>
      <w:r>
        <w:t>”的要求提交，并按规定的统一格式逐项填写，不准有空项；无相应内容可填的项应填写“无”、“未测试”、“没有相应指标”等明确的回答文字。响应文件未按规定提交或留有空项，可能被视为不完整响应的响应文件，其响应有可能被拒绝。</w:t>
      </w:r>
    </w:p>
    <w:p>
      <w:pPr>
        <w:pStyle w:val="92"/>
      </w:pPr>
      <w:r>
        <w:t>报价一览表要求按格式统一填写，不得自行删减内容。</w:t>
      </w:r>
    </w:p>
    <w:p>
      <w:pPr>
        <w:pStyle w:val="92"/>
        <w:rPr>
          <w:szCs w:val="21"/>
        </w:rPr>
      </w:pPr>
      <w:r>
        <w:t>响应人必须保证响应文件所提供的全部资料真实可靠，并接受采购人或磋商小组对其中任何资料进一步审查的要求。</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响应文件的有效期</w:t>
      </w:r>
    </w:p>
    <w:p>
      <w:pPr>
        <w:pStyle w:val="92"/>
      </w:pPr>
      <w:r>
        <w:t>本项目响应文件的有效期详见</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_Ref477450110 \r \h  \* MERGEFORMAT </w:instrText>
      </w:r>
      <w:r>
        <w:fldChar w:fldCharType="separate"/>
      </w:r>
      <w:r>
        <w:t>15</w:t>
      </w:r>
      <w:r>
        <w:fldChar w:fldCharType="end"/>
      </w:r>
      <w:r>
        <w:t>条。有效期短于该规定期限的响应将被拒绝。</w:t>
      </w:r>
    </w:p>
    <w:p>
      <w:pPr>
        <w:pStyle w:val="92"/>
        <w:rPr>
          <w:szCs w:val="21"/>
        </w:rPr>
      </w:pPr>
      <w: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响应文件的签署及其他规定</w:t>
      </w:r>
    </w:p>
    <w:p>
      <w:pPr>
        <w:pStyle w:val="92"/>
      </w:pPr>
      <w:r>
        <w:t>组成响应文件的各项文件均应遵守本条。</w:t>
      </w:r>
    </w:p>
    <w:p>
      <w:pPr>
        <w:pStyle w:val="92"/>
      </w:pPr>
      <w:r>
        <w:t>响应文件及相关文件的签订、履行、通知等事项的书面文件中的单位盖章、印章、公章等处均仅指与当事人名称全称相一致的标准公章，不得使用其它形式（如带有“专用章”等字样的印章），响应文件正本授权文件必须是原件。否则视为非实质性响应磋商文件，其响应被拒绝。</w:t>
      </w:r>
    </w:p>
    <w:p>
      <w:pPr>
        <w:pStyle w:val="92"/>
      </w:pPr>
      <w:r>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pPr>
        <w:pStyle w:val="92"/>
      </w:pPr>
      <w:r>
        <w:t>响应人须注意：为合理节约政府采购评审成本，提倡诚实信用的响应行为，特别要求响应人应本着诚信精神，在本次响应文件的偏离表和其它偏离文件中（若本次磋商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pPr>
        <w:pStyle w:val="92"/>
      </w:pPr>
      <w:r>
        <w:t>响应人应按</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_Ref477450181 \r \h  \* MERGEFORMAT </w:instrText>
      </w:r>
      <w:r>
        <w:fldChar w:fldCharType="separate"/>
      </w:r>
      <w:r>
        <w:t>16</w:t>
      </w:r>
      <w:r>
        <w:fldChar w:fldCharType="end"/>
      </w:r>
      <w:r>
        <w:t>条规定的份数提交响应文件。</w:t>
      </w:r>
    </w:p>
    <w:p>
      <w:pPr>
        <w:pStyle w:val="92"/>
      </w:pPr>
      <w:r>
        <w:t>如果要求提交响应文件电子文档，该文档应用不可擦写的刻录光盘（CD-R）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pPr>
        <w:pStyle w:val="92"/>
      </w:pPr>
      <w:r>
        <w:t>投响应人应保证响应文件副本与正本、电子文档与文本文档的内容一致，如果正本与副本或电子文档不一致，以正本为准。响应文件正本报价一览表与报价一览表不一致的，以</w:t>
      </w:r>
      <w:r>
        <w:rPr>
          <w:rFonts w:hint="eastAsia"/>
        </w:rPr>
        <w:t>响应文件正本</w:t>
      </w:r>
      <w:r>
        <w:t>为准。响应文件被误读或被视为无效等不利后果由响应人承担。</w:t>
      </w:r>
    </w:p>
    <w:p>
      <w:pPr>
        <w:pStyle w:val="92"/>
      </w:pPr>
      <w:r>
        <w:t>响应文件的正本必须打印或用不褪色的墨水填写。响应文件正本封面注明“正本”字样。</w:t>
      </w:r>
    </w:p>
    <w:p>
      <w:pPr>
        <w:pStyle w:val="92"/>
      </w:pPr>
      <w:r>
        <w:t>响应文件应字迹清楚、内容齐全、不得涂改或增删。如有修改和增删，必须有响应人公章及法定代表人或其授权的响应人代表签字。</w:t>
      </w:r>
    </w:p>
    <w:p>
      <w:pPr>
        <w:pStyle w:val="92"/>
        <w:rPr>
          <w:szCs w:val="21"/>
        </w:rPr>
      </w:pPr>
      <w:r>
        <w:t>因响应文件字迹潦草或表达不清所引起的不利后果由响应人承担。</w:t>
      </w:r>
    </w:p>
    <w:p>
      <w:pPr>
        <w:pStyle w:val="4"/>
        <w:numPr>
          <w:ilvl w:val="0"/>
          <w:numId w:val="17"/>
        </w:numPr>
        <w:adjustRightInd/>
        <w:spacing w:line="415" w:lineRule="auto"/>
        <w:jc w:val="both"/>
        <w:textAlignment w:val="auto"/>
        <w:rPr>
          <w:kern w:val="2"/>
        </w:rPr>
      </w:pPr>
      <w:bookmarkStart w:id="73" w:name="_Toc491372352"/>
      <w:r>
        <w:rPr>
          <w:kern w:val="2"/>
        </w:rPr>
        <w:t>响应文件的递交</w:t>
      </w:r>
      <w:bookmarkEnd w:id="73"/>
    </w:p>
    <w:p>
      <w:pPr>
        <w:pStyle w:val="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响应文件的密封及标记</w:t>
      </w:r>
    </w:p>
    <w:p>
      <w:pPr>
        <w:pStyle w:val="92"/>
      </w:pPr>
      <w:r>
        <w:t>响应文件应按以下方法分别装袋密封：</w:t>
      </w:r>
    </w:p>
    <w:p>
      <w:pPr>
        <w:numPr>
          <w:ilvl w:val="0"/>
          <w:numId w:val="25"/>
        </w:numPr>
        <w:spacing w:line="400" w:lineRule="exact"/>
        <w:textAlignment w:val="auto"/>
        <w:rPr>
          <w:sz w:val="21"/>
          <w:szCs w:val="21"/>
        </w:rPr>
      </w:pPr>
      <w:r>
        <w:rPr>
          <w:sz w:val="21"/>
          <w:szCs w:val="21"/>
        </w:rPr>
        <w:t>响应文件正副本、电子文档（如果要求提交）及响应人认为有必要提交的其他资料应密封完好，封口处应有法定代表人（或响应人代表）的签字或响应人公章。</w:t>
      </w:r>
      <w:r>
        <w:rPr>
          <w:rFonts w:hint="eastAsia"/>
          <w:sz w:val="21"/>
          <w:szCs w:val="21"/>
        </w:rPr>
        <w:t>封皮上写明项目编号、项目名称、谈判供应商全称、地址，并注明“磋商时启封”字样。</w:t>
      </w:r>
    </w:p>
    <w:p>
      <w:pPr>
        <w:numPr>
          <w:ilvl w:val="0"/>
          <w:numId w:val="25"/>
        </w:numPr>
        <w:spacing w:line="400" w:lineRule="exact"/>
        <w:textAlignment w:val="auto"/>
        <w:rPr>
          <w:sz w:val="21"/>
          <w:szCs w:val="21"/>
        </w:rPr>
      </w:pPr>
      <w:r>
        <w:rPr>
          <w:sz w:val="21"/>
          <w:szCs w:val="21"/>
        </w:rPr>
        <w:t>响应文件正副本的书脊位置需按照竖版方式打印以下内容</w:t>
      </w:r>
      <w:r>
        <w:rPr>
          <w:rFonts w:hint="eastAsia"/>
          <w:sz w:val="21"/>
          <w:szCs w:val="21"/>
        </w:rPr>
        <w:t>：“项目编号”、“项目名称”、“公司名称”。</w:t>
      </w:r>
    </w:p>
    <w:p>
      <w:pPr>
        <w:numPr>
          <w:ilvl w:val="0"/>
          <w:numId w:val="25"/>
        </w:numPr>
        <w:spacing w:line="400" w:lineRule="exact"/>
        <w:textAlignment w:val="auto"/>
        <w:rPr>
          <w:sz w:val="21"/>
          <w:szCs w:val="21"/>
        </w:rPr>
      </w:pPr>
      <w:r>
        <w:rPr>
          <w:sz w:val="21"/>
          <w:szCs w:val="21"/>
        </w:rPr>
        <w:t>响应保证金汇款证明的相关材料需单独密封</w:t>
      </w:r>
      <w:r>
        <w:rPr>
          <w:rFonts w:hint="eastAsia"/>
          <w:sz w:val="21"/>
          <w:szCs w:val="21"/>
        </w:rPr>
        <w:t>，</w:t>
      </w:r>
      <w:r>
        <w:rPr>
          <w:sz w:val="21"/>
          <w:szCs w:val="21"/>
        </w:rPr>
        <w:t>封口处应有法定代表人（或响应人代表）的签字或响应人公章。</w:t>
      </w:r>
    </w:p>
    <w:p>
      <w:pPr>
        <w:pStyle w:val="92"/>
        <w:rPr>
          <w:szCs w:val="21"/>
        </w:rPr>
      </w:pPr>
      <w:r>
        <w:t>如果响应人未按上述要求对响应文件密封及加写标记，采购人对响应文件的误投和提前启封概不负责。对由此造成提前开封的响应文件，采购人有权予以拒绝，并退回响应人。</w:t>
      </w:r>
    </w:p>
    <w:p>
      <w:pPr>
        <w:pStyle w:val="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响应截止时间</w:t>
      </w:r>
    </w:p>
    <w:p>
      <w:pPr>
        <w:pStyle w:val="92"/>
      </w:pPr>
      <w:r>
        <w:t>响应文件须按照磋商文件规定的响应时间、地点送达。在响应截止时间以后送达的响应文件，采购人拒绝接收。</w:t>
      </w:r>
    </w:p>
    <w:p>
      <w:pPr>
        <w:pStyle w:val="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响应文件的补充、修改和撤回</w:t>
      </w:r>
    </w:p>
    <w:p>
      <w:pPr>
        <w:pStyle w:val="92"/>
      </w:pPr>
      <w: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pPr>
        <w:pStyle w:val="92"/>
      </w:pPr>
      <w:r>
        <w:t>响应人撤回响应的要求应由响应人法定代表人或响应人代表签署，补充、修改响应文件的书面材料，应当按照磋商文件要求签署、盖章，作为响应文件的组成部分，密封送达采购人，同时应在封套上标明“修改响应文件（并注明项目编号）”和“磋商时启封”字样。</w:t>
      </w:r>
    </w:p>
    <w:p>
      <w:pPr>
        <w:pStyle w:val="92"/>
        <w:rPr>
          <w:szCs w:val="21"/>
        </w:rPr>
      </w:pPr>
      <w:r>
        <w:t>在响应截止时间之后，响应人不得撤回响应。</w:t>
      </w:r>
    </w:p>
    <w:p>
      <w:pPr>
        <w:pStyle w:val="4"/>
        <w:numPr>
          <w:ilvl w:val="0"/>
          <w:numId w:val="17"/>
        </w:numPr>
        <w:adjustRightInd/>
        <w:spacing w:line="415" w:lineRule="auto"/>
        <w:jc w:val="both"/>
        <w:textAlignment w:val="auto"/>
        <w:rPr>
          <w:kern w:val="2"/>
        </w:rPr>
      </w:pPr>
      <w:bookmarkStart w:id="74" w:name="_Toc491372353"/>
      <w:r>
        <w:rPr>
          <w:kern w:val="2"/>
        </w:rPr>
        <w:t>评标步骤和要求</w:t>
      </w:r>
      <w:bookmarkEnd w:id="74"/>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组建磋商小组</w:t>
      </w:r>
    </w:p>
    <w:p>
      <w:pPr>
        <w:pStyle w:val="92"/>
      </w:pPr>
      <w:r>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pPr>
        <w:pStyle w:val="92"/>
      </w:pPr>
      <w:r>
        <w:t>采购人就磋商文件征询过意见的专家,不作为评审专家参加评标，采购人代表不能以专家身份参与评标，采购人工作人员不得参加评标。</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磋商准备与初步评审</w:t>
      </w:r>
    </w:p>
    <w:p>
      <w:pPr>
        <w:pStyle w:val="92"/>
      </w:pPr>
      <w:r>
        <w:t>磋商小组所有成员应当集中与单一供应商分别进行磋商，并给予所有参加磋商的供应商平等的磋商机会。</w:t>
      </w:r>
    </w:p>
    <w:p>
      <w:pPr>
        <w:pStyle w:val="92"/>
      </w:pPr>
      <w:r>
        <w:t>响应截止时间后，磋商小组将审查响应文件是否符合磋商文件的基本要求：内容是否完整、资格证明文件是否齐全、有无计算错误、文件签署是否齐全及验证保证金。</w:t>
      </w:r>
    </w:p>
    <w:p>
      <w:pPr>
        <w:pStyle w:val="92"/>
      </w:pPr>
      <w:r>
        <w:t>在详细评审之前，磋商小组要审查每份响应文件是否实质上响应了磋商文件的要求：</w:t>
      </w:r>
    </w:p>
    <w:p>
      <w:pPr>
        <w:pStyle w:val="92"/>
      </w:pPr>
      <w:r>
        <w:t>实质上响应的响应是指与磋商文件的主要条款、条件和规格相符，没有重大偏离或保留。</w:t>
      </w:r>
    </w:p>
    <w:p>
      <w:pPr>
        <w:pStyle w:val="92"/>
      </w:pPr>
      <w:r>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pPr>
        <w:numPr>
          <w:ilvl w:val="0"/>
          <w:numId w:val="27"/>
        </w:numPr>
        <w:spacing w:line="400" w:lineRule="exact"/>
        <w:textAlignment w:val="auto"/>
        <w:rPr>
          <w:sz w:val="21"/>
          <w:szCs w:val="21"/>
        </w:rPr>
      </w:pPr>
      <w:r>
        <w:rPr>
          <w:sz w:val="21"/>
          <w:szCs w:val="21"/>
        </w:rPr>
        <w:t>应当交纳响应保证金的响应人未提交响应保证金或金额不足的；</w:t>
      </w:r>
    </w:p>
    <w:p>
      <w:pPr>
        <w:numPr>
          <w:ilvl w:val="0"/>
          <w:numId w:val="27"/>
        </w:numPr>
        <w:spacing w:line="400" w:lineRule="exact"/>
        <w:textAlignment w:val="auto"/>
        <w:rPr>
          <w:sz w:val="21"/>
          <w:szCs w:val="21"/>
        </w:rPr>
      </w:pPr>
      <w:r>
        <w:rPr>
          <w:sz w:val="21"/>
          <w:szCs w:val="21"/>
        </w:rPr>
        <w:t>本文件“响应人须知”第7-9条部分中，带*的资格证明文件不全或无效的；</w:t>
      </w:r>
    </w:p>
    <w:p>
      <w:pPr>
        <w:numPr>
          <w:ilvl w:val="0"/>
          <w:numId w:val="27"/>
        </w:numPr>
        <w:spacing w:line="400" w:lineRule="exact"/>
        <w:textAlignment w:val="auto"/>
        <w:rPr>
          <w:sz w:val="21"/>
          <w:szCs w:val="21"/>
        </w:rPr>
      </w:pPr>
      <w:r>
        <w:rPr>
          <w:sz w:val="21"/>
          <w:szCs w:val="21"/>
        </w:rPr>
        <w:t>响应文件未按磋商文件的规定密封、签署、盖章的；</w:t>
      </w:r>
    </w:p>
    <w:p>
      <w:pPr>
        <w:numPr>
          <w:ilvl w:val="0"/>
          <w:numId w:val="27"/>
        </w:numPr>
        <w:spacing w:line="400" w:lineRule="exact"/>
        <w:textAlignment w:val="auto"/>
        <w:rPr>
          <w:sz w:val="21"/>
          <w:szCs w:val="21"/>
        </w:rPr>
      </w:pPr>
      <w:r>
        <w:rPr>
          <w:sz w:val="21"/>
          <w:szCs w:val="21"/>
        </w:rPr>
        <w:t>响应有效期不足的；</w:t>
      </w:r>
    </w:p>
    <w:p>
      <w:pPr>
        <w:numPr>
          <w:ilvl w:val="0"/>
          <w:numId w:val="27"/>
        </w:numPr>
        <w:spacing w:line="400" w:lineRule="exact"/>
        <w:textAlignment w:val="auto"/>
        <w:rPr>
          <w:sz w:val="21"/>
          <w:szCs w:val="21"/>
        </w:rPr>
      </w:pPr>
      <w:r>
        <w:rPr>
          <w:sz w:val="21"/>
          <w:szCs w:val="21"/>
        </w:rPr>
        <w:t>响应产品性能、规格、数量、交货时间、货物包装方式、检验标准和方法、售后服务承诺等不满足磋商文件中的相关要求和超出采购人可接受的偏差范围的；</w:t>
      </w:r>
    </w:p>
    <w:p>
      <w:pPr>
        <w:numPr>
          <w:ilvl w:val="0"/>
          <w:numId w:val="27"/>
        </w:numPr>
        <w:spacing w:line="400" w:lineRule="exact"/>
        <w:textAlignment w:val="auto"/>
        <w:rPr>
          <w:sz w:val="21"/>
          <w:szCs w:val="21"/>
        </w:rPr>
      </w:pPr>
      <w:r>
        <w:rPr>
          <w:sz w:val="21"/>
          <w:szCs w:val="21"/>
        </w:rPr>
        <w:t>未按照磋商文件规定报价的；</w:t>
      </w:r>
    </w:p>
    <w:p>
      <w:pPr>
        <w:numPr>
          <w:ilvl w:val="0"/>
          <w:numId w:val="27"/>
        </w:numPr>
        <w:spacing w:line="400" w:lineRule="exact"/>
        <w:textAlignment w:val="auto"/>
        <w:rPr>
          <w:sz w:val="21"/>
          <w:szCs w:val="21"/>
        </w:rPr>
      </w:pPr>
      <w:r>
        <w:rPr>
          <w:sz w:val="21"/>
          <w:szCs w:val="21"/>
        </w:rPr>
        <w:t>不符合磋商文件有关分包、转包规定的；</w:t>
      </w:r>
    </w:p>
    <w:p>
      <w:pPr>
        <w:numPr>
          <w:ilvl w:val="0"/>
          <w:numId w:val="27"/>
        </w:numPr>
        <w:spacing w:line="400" w:lineRule="exact"/>
        <w:textAlignment w:val="auto"/>
        <w:rPr>
          <w:sz w:val="21"/>
          <w:szCs w:val="21"/>
        </w:rPr>
      </w:pPr>
      <w:r>
        <w:rPr>
          <w:sz w:val="21"/>
          <w:szCs w:val="21"/>
        </w:rPr>
        <w:t>联合体响应文件未附联合体响应协议书的；</w:t>
      </w:r>
    </w:p>
    <w:p>
      <w:pPr>
        <w:numPr>
          <w:ilvl w:val="0"/>
          <w:numId w:val="27"/>
        </w:numPr>
        <w:spacing w:line="400" w:lineRule="exact"/>
        <w:textAlignment w:val="auto"/>
        <w:rPr>
          <w:sz w:val="21"/>
          <w:szCs w:val="21"/>
        </w:rPr>
      </w:pPr>
      <w:r>
        <w:rPr>
          <w:sz w:val="21"/>
          <w:szCs w:val="21"/>
        </w:rPr>
        <w:t>响应文件附有采购人不能接受的条件；</w:t>
      </w:r>
    </w:p>
    <w:p>
      <w:pPr>
        <w:numPr>
          <w:ilvl w:val="0"/>
          <w:numId w:val="27"/>
        </w:numPr>
        <w:spacing w:line="400" w:lineRule="exact"/>
        <w:textAlignment w:val="auto"/>
        <w:rPr>
          <w:sz w:val="21"/>
          <w:szCs w:val="21"/>
        </w:rPr>
      </w:pPr>
      <w:r>
        <w:rPr>
          <w:sz w:val="21"/>
          <w:szCs w:val="21"/>
        </w:rPr>
        <w:t>不符合磋商文件中规定的其他实质性要求。</w:t>
      </w:r>
    </w:p>
    <w:p>
      <w:pPr>
        <w:pStyle w:val="92"/>
      </w:pPr>
      <w:r>
        <w:t>重大偏离不允许在响应截止时间后修正，但磋商小组将允许修正响应中不构成重大偏离的地方，这些修正不会对其他实质上响应磋商文件要求的响应人的竞争地位产生不公正的影响。</w:t>
      </w:r>
    </w:p>
    <w:p>
      <w:pPr>
        <w:pStyle w:val="92"/>
      </w:pPr>
      <w:r>
        <w:t>如果响应文件实质上没有响应磋商文件的要求，磋商小组将予以拒绝，响应人不得再对响应文件进行任何修正从而使其响应成为实质上响应的响应。</w:t>
      </w:r>
    </w:p>
    <w:p>
      <w:pPr>
        <w:pStyle w:val="92"/>
      </w:pPr>
      <w: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pPr>
        <w:pStyle w:val="92"/>
      </w:pPr>
      <w:r>
        <w:t>初审中，对明显的文字和计算错误按下述原则处理，若出现相互矛盾之处，应以排列在先的原则为准优先处理：</w:t>
      </w:r>
    </w:p>
    <w:p>
      <w:pPr>
        <w:numPr>
          <w:ilvl w:val="0"/>
          <w:numId w:val="28"/>
        </w:numPr>
        <w:spacing w:line="400" w:lineRule="exact"/>
        <w:textAlignment w:val="auto"/>
        <w:rPr>
          <w:sz w:val="21"/>
          <w:szCs w:val="21"/>
        </w:rPr>
      </w:pPr>
      <w:r>
        <w:rPr>
          <w:sz w:val="21"/>
          <w:szCs w:val="21"/>
        </w:rPr>
        <w:t>如果响应文件正本的内容与副本或电子文档不一致，以正本为准。报价一览表内容与响应文件中明细表内容不一致的,以响应文件正本为准。</w:t>
      </w:r>
    </w:p>
    <w:p>
      <w:pPr>
        <w:numPr>
          <w:ilvl w:val="0"/>
          <w:numId w:val="28"/>
        </w:numPr>
        <w:spacing w:line="400" w:lineRule="exact"/>
        <w:textAlignment w:val="auto"/>
        <w:rPr>
          <w:sz w:val="21"/>
          <w:szCs w:val="21"/>
        </w:rPr>
      </w:pPr>
      <w:r>
        <w:rPr>
          <w:sz w:val="21"/>
          <w:szCs w:val="21"/>
        </w:rPr>
        <w:t>如果以文字表示的数据与数字表示的有差别，以文字为准修正数字。如果大小写金额不一致的，以大写金额为准。</w:t>
      </w:r>
    </w:p>
    <w:p>
      <w:pPr>
        <w:numPr>
          <w:ilvl w:val="0"/>
          <w:numId w:val="28"/>
        </w:numPr>
        <w:spacing w:line="400" w:lineRule="exact"/>
        <w:textAlignment w:val="auto"/>
        <w:rPr>
          <w:sz w:val="21"/>
          <w:szCs w:val="21"/>
        </w:rPr>
      </w:pPr>
      <w:r>
        <w:rPr>
          <w:sz w:val="21"/>
          <w:szCs w:val="21"/>
        </w:rPr>
        <w:t>如果响应文件正本中的报价一览表响应总价与分项报价之和不符，应以响应总价为准，若未注明所调整的分项报价，将按相差比例修正所有分项报价；如果报价一览表响应总价与响应文件正本报价明细表总价不一致，以响应文件正本中的响应总价为准，若未注明所调整的分项报价，将按相差比例修正报价明细表所有单价及总价。</w:t>
      </w:r>
    </w:p>
    <w:p>
      <w:pPr>
        <w:numPr>
          <w:ilvl w:val="0"/>
          <w:numId w:val="28"/>
        </w:numPr>
        <w:spacing w:line="400" w:lineRule="exact"/>
        <w:textAlignment w:val="auto"/>
        <w:rPr>
          <w:sz w:val="21"/>
          <w:szCs w:val="21"/>
        </w:rPr>
      </w:pPr>
      <w:r>
        <w:rPr>
          <w:sz w:val="21"/>
          <w:szCs w:val="21"/>
        </w:rPr>
        <w:t>调整后的数据应对响应人具有约束力，响应人不同意以上修正，其响应将被拒绝。</w:t>
      </w:r>
    </w:p>
    <w:p>
      <w:pPr>
        <w:pStyle w:val="92"/>
      </w:pPr>
      <w:r>
        <w:t>磋商小组对响应文件的判定,只依据响应文件内容本身,不依据任何外来证明。</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响应的澄清</w:t>
      </w:r>
    </w:p>
    <w:p>
      <w:pPr>
        <w:pStyle w:val="92"/>
      </w:pPr>
      <w: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pPr>
        <w:pStyle w:val="92"/>
      </w:pPr>
      <w: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pPr>
        <w:pStyle w:val="92"/>
      </w:pPr>
      <w: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对响应文件的详细评审</w:t>
      </w:r>
    </w:p>
    <w:p>
      <w:pPr>
        <w:pStyle w:val="92"/>
      </w:pPr>
      <w: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92"/>
      </w:pPr>
      <w:r>
        <w:t>磋商文件能够详细列明采购标的的技术、服务要求的，磋商结束后，磋商小组应当要求所有实质性响应的供应商在规定时间内提交最后报价，提交最后报价的供应商不得少于2家。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最后报价是供应商响应文件的有效组成部分。</w:t>
      </w:r>
    </w:p>
    <w:p>
      <w:pPr>
        <w:pStyle w:val="92"/>
      </w:pPr>
      <w:r>
        <w:t>已提交响应文件的供应商，在提交最后报价之前，可以根据磋商情况退出磋商。采购人、采购代理机构应当退还退出磋商的供应商的响应保证金。</w:t>
      </w:r>
    </w:p>
    <w:p>
      <w:pPr>
        <w:pStyle w:val="92"/>
      </w:pPr>
      <w:r>
        <w:t>经磋商确定最终采购需求和提交最后报价的供应商后，由磋商小组采用“</w:t>
      </w:r>
      <w:r>
        <w:fldChar w:fldCharType="begin"/>
      </w:r>
      <w:r>
        <w:instrText xml:space="preserve"> REF 评标标准和评标办法 \h  \* MERGEFORMAT </w:instrText>
      </w:r>
      <w:r>
        <w:fldChar w:fldCharType="separate"/>
      </w:r>
      <w:r>
        <w:t>评标标准和评标办法</w:t>
      </w:r>
      <w:r>
        <w:fldChar w:fldCharType="end"/>
      </w:r>
      <w:r>
        <w:t>”中约定的办法对提交最后报价的供应商进行评分。</w:t>
      </w:r>
    </w:p>
    <w:p>
      <w:pPr>
        <w:pStyle w:val="92"/>
        <w:rPr>
          <w:szCs w:val="21"/>
        </w:rPr>
      </w:pPr>
      <w:r>
        <w:t>磋商小组只对实质上响应磋商文件的响应进行评价和比较，评审应严格按照磋商文件的要求和条件进行；磋商文件中没有规定的评审标准不得作为评审依据，具体评审原则、方法和成交条件详见磋商文件“</w:t>
      </w:r>
      <w:r>
        <w:fldChar w:fldCharType="begin"/>
      </w:r>
      <w:r>
        <w:instrText xml:space="preserve"> REF 评标标准和评标办法 \h  \* MERGEFORMAT </w:instrText>
      </w:r>
      <w:r>
        <w:fldChar w:fldCharType="separate"/>
      </w:r>
      <w:r>
        <w:t>评标标准和评标办法</w:t>
      </w:r>
      <w:r>
        <w:fldChar w:fldCharType="end"/>
      </w:r>
      <w:r>
        <w:t>”。</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确定成交人</w:t>
      </w:r>
    </w:p>
    <w:p>
      <w:pPr>
        <w:pStyle w:val="92"/>
      </w:pPr>
      <w:r>
        <w:t>磋商小组应当根据综合评分情况，按照评审得分由高到低顺序推荐2名以上成交候选供应商，并编写评审报告。评审得分相同的，按照最后报价由低到高的顺序推荐。评审得分且最后报价相同的，按照技术指标优劣顺序推荐。</w:t>
      </w:r>
    </w:p>
    <w:p>
      <w:pPr>
        <w:pStyle w:val="92"/>
      </w:pPr>
      <w: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92"/>
      </w:pPr>
      <w:r>
        <w:t>采购人将确定排名第一的成交候选人为成交人并向其授予合同。排名第一的成交候选人因不可抗力或者自身原因不能履行合同，采购人可以按照政府采购竞争性磋商采购方式管理暂行办法》的通知（财库〔2014〕214号）第二十八条第二款规定的原则确定其他供应商作为成交供应商并签订政府采购合同。</w:t>
      </w:r>
    </w:p>
    <w:p>
      <w:pPr>
        <w:pStyle w:val="92"/>
      </w:pPr>
      <w:r>
        <w:t>采购人也可授权磋商小组按本条规定直接确定成交人。</w:t>
      </w:r>
    </w:p>
    <w:p>
      <w:pPr>
        <w:pStyle w:val="92"/>
      </w:pPr>
      <w: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pPr>
        <w:pStyle w:val="92"/>
      </w:pPr>
      <w:r>
        <w:t>采购人不得通过对样品进行检测、对供应商进行考察等方式改变评审结果。</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评标过程保密</w:t>
      </w:r>
    </w:p>
    <w:p>
      <w:pPr>
        <w:pStyle w:val="92"/>
      </w:pPr>
      <w:r>
        <w:t>响应截止时间之后，直到授予响应人合同止，凡是属于审查、澄清、评价和比较响应的有关资料以及授标意向等，均不向响应人或其他与评标无关的人员透露。</w:t>
      </w:r>
    </w:p>
    <w:p>
      <w:pPr>
        <w:pStyle w:val="92"/>
      </w:pPr>
      <w:r>
        <w:t>在评标期间，响应人企图影响采购人或磋商小组的任何活动，将导致响应被拒绝，并由其承担相应的法律责任。</w:t>
      </w:r>
    </w:p>
    <w:p>
      <w:pPr>
        <w:pStyle w:val="92"/>
      </w:pPr>
      <w: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关于响应人瑕疵滞后发现的处理规则：</w:t>
      </w:r>
    </w:p>
    <w:p>
      <w:pPr>
        <w:pStyle w:val="92"/>
      </w:pPr>
      <w: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pPr>
        <w:pStyle w:val="92"/>
      </w:pPr>
      <w: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pPr>
        <w:pStyle w:val="92"/>
      </w:pPr>
      <w: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采购项目废标</w:t>
      </w:r>
    </w:p>
    <w:p>
      <w:pPr>
        <w:pStyle w:val="92"/>
      </w:pPr>
      <w:r>
        <w:t>在评标过程中，磋商小组发现有下列情形之一的，应对采购项目予以废标：</w:t>
      </w:r>
    </w:p>
    <w:p>
      <w:pPr>
        <w:numPr>
          <w:ilvl w:val="0"/>
          <w:numId w:val="29"/>
        </w:numPr>
        <w:spacing w:line="400" w:lineRule="exact"/>
        <w:textAlignment w:val="auto"/>
        <w:rPr>
          <w:sz w:val="21"/>
          <w:szCs w:val="21"/>
        </w:rPr>
      </w:pPr>
      <w:r>
        <w:rPr>
          <w:sz w:val="21"/>
          <w:szCs w:val="21"/>
        </w:rPr>
        <w:t>因情况变化，不再符合规定的竞争性磋商采购方式适用情形的；</w:t>
      </w:r>
    </w:p>
    <w:p>
      <w:pPr>
        <w:numPr>
          <w:ilvl w:val="0"/>
          <w:numId w:val="29"/>
        </w:numPr>
        <w:spacing w:line="400" w:lineRule="exact"/>
        <w:textAlignment w:val="auto"/>
        <w:rPr>
          <w:sz w:val="21"/>
          <w:szCs w:val="21"/>
        </w:rPr>
      </w:pPr>
      <w:r>
        <w:rPr>
          <w:sz w:val="21"/>
          <w:szCs w:val="21"/>
        </w:rPr>
        <w:t>出现影响采购公正的违法、违规行为的；</w:t>
      </w:r>
    </w:p>
    <w:p>
      <w:pPr>
        <w:numPr>
          <w:ilvl w:val="0"/>
          <w:numId w:val="29"/>
        </w:numPr>
        <w:spacing w:line="400" w:lineRule="exact"/>
        <w:textAlignment w:val="auto"/>
        <w:rPr>
          <w:sz w:val="21"/>
          <w:szCs w:val="21"/>
        </w:rPr>
      </w:pPr>
      <w:r>
        <w:rPr>
          <w:sz w:val="21"/>
          <w:szCs w:val="21"/>
        </w:rPr>
        <w:t>除《政府采购竞争性磋商采购方式管理暂行办法》的通知（财库〔2014〕214号）第二十一条第三款规定的情形外，在采购过程中符合要求的供应商或者报价未超过采购预算的供应商不足2家的。</w:t>
      </w:r>
    </w:p>
    <w:p>
      <w:pPr>
        <w:pStyle w:val="92"/>
      </w:pPr>
      <w:r>
        <w:t>采购项目废标后，磋商小组应作出书面报告。</w:t>
      </w:r>
    </w:p>
    <w:p>
      <w:pPr>
        <w:pStyle w:val="92"/>
      </w:pPr>
      <w:r>
        <w:t>在采购活动中因重大变故，采购任务取消的，采购人或者采购代理机构应当终止采购活动，通知所有参加采购活动的供应商。</w:t>
      </w:r>
    </w:p>
    <w:p>
      <w:pPr>
        <w:pStyle w:val="92"/>
      </w:pPr>
      <w:r>
        <w:t>废标后，采购人应当将废标原因通知所有响应人。</w:t>
      </w:r>
    </w:p>
    <w:p>
      <w:pPr>
        <w:pStyle w:val="4"/>
        <w:numPr>
          <w:ilvl w:val="0"/>
          <w:numId w:val="17"/>
        </w:numPr>
        <w:adjustRightInd/>
        <w:spacing w:line="415" w:lineRule="auto"/>
        <w:jc w:val="both"/>
        <w:textAlignment w:val="auto"/>
        <w:rPr>
          <w:kern w:val="2"/>
        </w:rPr>
      </w:pPr>
      <w:bookmarkStart w:id="75" w:name="_Toc491372354"/>
      <w:r>
        <w:rPr>
          <w:kern w:val="2"/>
        </w:rPr>
        <w:t>签订合同</w:t>
      </w:r>
      <w:bookmarkEnd w:id="75"/>
    </w:p>
    <w:p>
      <w:pPr>
        <w:pStyle w:val="5"/>
        <w:numPr>
          <w:ilvl w:val="0"/>
          <w:numId w:val="30"/>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成交通知</w:t>
      </w:r>
    </w:p>
    <w:p>
      <w:pPr>
        <w:pStyle w:val="92"/>
      </w:pPr>
      <w:r>
        <w:t>采购人应当在成交供应商确定后2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pPr>
        <w:pStyle w:val="92"/>
        <w:rPr>
          <w:szCs w:val="21"/>
        </w:rPr>
      </w:pPr>
      <w:r>
        <w:t>成交通知书是合同的组成部分。</w:t>
      </w:r>
    </w:p>
    <w:p>
      <w:pPr>
        <w:pStyle w:val="5"/>
        <w:numPr>
          <w:ilvl w:val="0"/>
          <w:numId w:val="30"/>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签订合同</w:t>
      </w:r>
    </w:p>
    <w:p>
      <w:pPr>
        <w:pStyle w:val="92"/>
      </w:pPr>
      <w:r>
        <w:t>采购人与成交供应商应当在成交通知书发出之日起30个日规定，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92"/>
      </w:pPr>
      <w:r>
        <w:t>采购人如需追加与合同标的相同的货物，在不改变合同其他条款的前提下，成交人可与采购人协商签订补充合同，但所有补充合同的采购金额不得超过原合同金额的百分之十。</w:t>
      </w:r>
    </w:p>
    <w:p>
      <w:pPr>
        <w:pStyle w:val="92"/>
      </w:pPr>
      <w: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pStyle w:val="92"/>
      </w:pPr>
      <w: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pPr>
        <w:pStyle w:val="92"/>
      </w:pPr>
      <w: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pPr>
        <w:pStyle w:val="92"/>
        <w:rPr>
          <w:szCs w:val="21"/>
        </w:rPr>
      </w:pPr>
      <w:r>
        <w:t>违反25.1条、25.2的规定，给对方造成损失的，应承担赔偿责任。</w:t>
      </w:r>
    </w:p>
    <w:p>
      <w:pPr>
        <w:pStyle w:val="4"/>
        <w:numPr>
          <w:ilvl w:val="0"/>
          <w:numId w:val="17"/>
        </w:numPr>
        <w:adjustRightInd/>
        <w:spacing w:line="415" w:lineRule="auto"/>
        <w:jc w:val="both"/>
        <w:textAlignment w:val="auto"/>
        <w:rPr>
          <w:kern w:val="2"/>
        </w:rPr>
      </w:pPr>
      <w:bookmarkStart w:id="76" w:name="_Toc491372355"/>
      <w:r>
        <w:rPr>
          <w:kern w:val="2"/>
        </w:rPr>
        <w:t>成交服务费</w:t>
      </w:r>
      <w:bookmarkEnd w:id="76"/>
    </w:p>
    <w:p>
      <w:pPr>
        <w:pStyle w:val="92"/>
      </w:pPr>
      <w:r>
        <w:t>本次磋商收取</w:t>
      </w:r>
      <w:r>
        <w:rPr>
          <w:rFonts w:hint="eastAsia"/>
          <w:b/>
          <w:bCs/>
        </w:rPr>
        <w:t>成交服务费人民币</w:t>
      </w:r>
      <w:r>
        <w:rPr>
          <w:b/>
          <w:bCs/>
        </w:rPr>
        <w:t>6000</w:t>
      </w:r>
      <w:r>
        <w:rPr>
          <w:rFonts w:hint="eastAsia"/>
          <w:b/>
          <w:bCs/>
        </w:rPr>
        <w:t>元</w:t>
      </w:r>
      <w:r>
        <w:t>，请响应人在测算响应报价时充分考虑这一因素。</w:t>
      </w:r>
    </w:p>
    <w:p>
      <w:pPr>
        <w:pStyle w:val="4"/>
        <w:numPr>
          <w:ilvl w:val="0"/>
          <w:numId w:val="17"/>
        </w:numPr>
        <w:adjustRightInd/>
        <w:spacing w:line="415" w:lineRule="auto"/>
        <w:jc w:val="both"/>
        <w:textAlignment w:val="auto"/>
        <w:rPr>
          <w:kern w:val="2"/>
        </w:rPr>
      </w:pPr>
      <w:bookmarkStart w:id="77" w:name="_Toc491372356"/>
      <w:r>
        <w:rPr>
          <w:kern w:val="2"/>
        </w:rPr>
        <w:t>处罚、询问和质疑</w:t>
      </w:r>
      <w:bookmarkEnd w:id="77"/>
    </w:p>
    <w:p>
      <w:pPr>
        <w:pStyle w:val="92"/>
      </w:pPr>
      <w:r>
        <w:t>发生下列情况之一，响应人的响应保证金将被没收，并被列入不良记录名单，响应人今后参与同类政府采购项目的机会可能会受到影响：</w:t>
      </w:r>
    </w:p>
    <w:p>
      <w:pPr>
        <w:numPr>
          <w:ilvl w:val="0"/>
          <w:numId w:val="31"/>
        </w:numPr>
        <w:spacing w:line="400" w:lineRule="exact"/>
        <w:textAlignment w:val="auto"/>
        <w:rPr>
          <w:sz w:val="21"/>
          <w:szCs w:val="21"/>
        </w:rPr>
      </w:pPr>
      <w:r>
        <w:rPr>
          <w:sz w:val="21"/>
          <w:szCs w:val="21"/>
        </w:rPr>
        <w:t>供应商在提交响应文件截止时间后撤回响应文件的；</w:t>
      </w:r>
    </w:p>
    <w:p>
      <w:pPr>
        <w:numPr>
          <w:ilvl w:val="0"/>
          <w:numId w:val="31"/>
        </w:numPr>
        <w:spacing w:line="400" w:lineRule="exact"/>
        <w:textAlignment w:val="auto"/>
        <w:rPr>
          <w:sz w:val="21"/>
          <w:szCs w:val="21"/>
        </w:rPr>
      </w:pPr>
      <w:r>
        <w:rPr>
          <w:sz w:val="21"/>
          <w:szCs w:val="21"/>
        </w:rPr>
        <w:t>供应商在响应文件中提供虚假材料的；</w:t>
      </w:r>
    </w:p>
    <w:p>
      <w:pPr>
        <w:numPr>
          <w:ilvl w:val="0"/>
          <w:numId w:val="31"/>
        </w:numPr>
        <w:spacing w:line="400" w:lineRule="exact"/>
        <w:textAlignment w:val="auto"/>
        <w:rPr>
          <w:sz w:val="21"/>
          <w:szCs w:val="21"/>
        </w:rPr>
      </w:pPr>
      <w:r>
        <w:rPr>
          <w:sz w:val="21"/>
          <w:szCs w:val="21"/>
        </w:rPr>
        <w:t>除因不可抗力或磋商文件认可的情形以外，成交供应商不与采购人签订合同的；</w:t>
      </w:r>
    </w:p>
    <w:p>
      <w:pPr>
        <w:numPr>
          <w:ilvl w:val="0"/>
          <w:numId w:val="31"/>
        </w:numPr>
        <w:spacing w:line="400" w:lineRule="exact"/>
        <w:textAlignment w:val="auto"/>
        <w:rPr>
          <w:sz w:val="21"/>
          <w:szCs w:val="21"/>
        </w:rPr>
      </w:pPr>
      <w:r>
        <w:rPr>
          <w:sz w:val="21"/>
          <w:szCs w:val="21"/>
        </w:rPr>
        <w:t>供应商与采购人、其他供应商或者采购代理机构恶意串通的；</w:t>
      </w:r>
    </w:p>
    <w:p>
      <w:pPr>
        <w:tabs>
          <w:tab w:val="left" w:pos="709"/>
        </w:tabs>
        <w:spacing w:line="400" w:lineRule="exact"/>
        <w:ind w:firstLine="420" w:firstLineChars="200"/>
        <w:textAlignment w:val="auto"/>
      </w:pPr>
      <w:r>
        <w:rPr>
          <w:sz w:val="21"/>
          <w:szCs w:val="21"/>
        </w:rPr>
        <w:t>磋商文件规定的其他情形。</w:t>
      </w:r>
    </w:p>
    <w:p>
      <w:pPr>
        <w:pStyle w:val="92"/>
      </w:pPr>
      <w:r>
        <w:t>响应人有权就磋商事宜提出质疑</w:t>
      </w:r>
    </w:p>
    <w:p>
      <w:pPr>
        <w:pStyle w:val="92"/>
      </w:pPr>
      <w:r>
        <w:t>响应人对采购事项有疑问的，可以向采购人或采购人提出询问。</w:t>
      </w:r>
    </w:p>
    <w:p>
      <w:pPr>
        <w:pStyle w:val="92"/>
      </w:pPr>
      <w:r>
        <w:t>磋商程序受《中华人民共和国政府采购法》和相关法律法规的约束，并受到严格的内部监察，以确保授予合同过程的公平公正。</w:t>
      </w:r>
    </w:p>
    <w:p>
      <w:pPr>
        <w:pStyle w:val="92"/>
      </w:pPr>
      <w:r>
        <w:t>响应人对磋商文件条款或技术参数有异议的，应当在响应截止时间前通过澄清或修改程序提出。响应人已经参与响应，并于响应截止时间后对磋商文件提出质疑的，其质疑应当被视为无效质疑。</w:t>
      </w:r>
    </w:p>
    <w:p>
      <w:pPr>
        <w:pStyle w:val="92"/>
      </w:pPr>
      <w:r>
        <w:t xml:space="preserve">若响应人认为其响应未获公平评审或采购过程和成交结果使自己的合法权益受到损害的，可以在知道或者应知其权益受到损害之日起7个工作日内提出质疑。 </w:t>
      </w:r>
    </w:p>
    <w:p>
      <w:pPr>
        <w:pStyle w:val="92"/>
      </w:pPr>
      <w:r>
        <w:t>质疑应当以书面形式向采购人或采购人提出，经法定代表人签字并加盖公章。</w:t>
      </w:r>
    </w:p>
    <w:p>
      <w:pPr>
        <w:pStyle w:val="92"/>
      </w:pPr>
      <w:r>
        <w:t>质疑书应当包括以下主要内容：被质疑项目名称、项目编号、包号、磋商公告发布时间、质疑事项、法律依据（具体条款）、法定代表人签字、盖章、有效联系方式（包括手机、传真号码）。按照“谁主张、谁举证”的原则，质疑书应当附上相关证明材料，否则质疑将视为无有效证据支持，将被予以驳回。</w:t>
      </w:r>
    </w:p>
    <w:p>
      <w:pPr>
        <w:pStyle w:val="92"/>
      </w:pPr>
      <w:r>
        <w:t>有下列情形之一的，属于无效质疑，采购人可不予受理：</w:t>
      </w:r>
    </w:p>
    <w:p>
      <w:pPr>
        <w:numPr>
          <w:ilvl w:val="0"/>
          <w:numId w:val="32"/>
        </w:numPr>
        <w:spacing w:line="400" w:lineRule="exact"/>
        <w:textAlignment w:val="auto"/>
        <w:rPr>
          <w:sz w:val="21"/>
          <w:szCs w:val="21"/>
        </w:rPr>
      </w:pPr>
      <w:r>
        <w:rPr>
          <w:sz w:val="21"/>
          <w:szCs w:val="21"/>
        </w:rPr>
        <w:t>未在有效期限内提出质疑的；</w:t>
      </w:r>
    </w:p>
    <w:p>
      <w:pPr>
        <w:numPr>
          <w:ilvl w:val="0"/>
          <w:numId w:val="32"/>
        </w:numPr>
        <w:spacing w:line="400" w:lineRule="exact"/>
        <w:textAlignment w:val="auto"/>
        <w:rPr>
          <w:sz w:val="21"/>
          <w:szCs w:val="21"/>
        </w:rPr>
      </w:pPr>
      <w:r>
        <w:rPr>
          <w:sz w:val="21"/>
          <w:szCs w:val="21"/>
        </w:rPr>
        <w:t>质疑未以书面形式提出的；</w:t>
      </w:r>
    </w:p>
    <w:p>
      <w:pPr>
        <w:numPr>
          <w:ilvl w:val="0"/>
          <w:numId w:val="32"/>
        </w:numPr>
        <w:spacing w:line="400" w:lineRule="exact"/>
        <w:textAlignment w:val="auto"/>
        <w:rPr>
          <w:sz w:val="21"/>
          <w:szCs w:val="21"/>
        </w:rPr>
      </w:pPr>
      <w:r>
        <w:rPr>
          <w:sz w:val="21"/>
          <w:szCs w:val="21"/>
        </w:rPr>
        <w:t>所提交材料未明示属于质疑材料的；</w:t>
      </w:r>
    </w:p>
    <w:p>
      <w:pPr>
        <w:numPr>
          <w:ilvl w:val="0"/>
          <w:numId w:val="32"/>
        </w:numPr>
        <w:spacing w:line="400" w:lineRule="exact"/>
        <w:textAlignment w:val="auto"/>
        <w:rPr>
          <w:sz w:val="21"/>
          <w:szCs w:val="21"/>
        </w:rPr>
      </w:pPr>
      <w:r>
        <w:rPr>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numPr>
          <w:ilvl w:val="0"/>
          <w:numId w:val="32"/>
        </w:numPr>
        <w:spacing w:line="400" w:lineRule="exact"/>
        <w:textAlignment w:val="auto"/>
        <w:rPr>
          <w:sz w:val="21"/>
          <w:szCs w:val="21"/>
        </w:rPr>
      </w:pPr>
      <w:r>
        <w:rPr>
          <w:sz w:val="21"/>
          <w:szCs w:val="21"/>
        </w:rPr>
        <w:t>质疑书未提供有效联系人或联系方式的；</w:t>
      </w:r>
    </w:p>
    <w:p>
      <w:pPr>
        <w:numPr>
          <w:ilvl w:val="0"/>
          <w:numId w:val="32"/>
        </w:numPr>
        <w:spacing w:line="400" w:lineRule="exact"/>
        <w:textAlignment w:val="auto"/>
        <w:rPr>
          <w:sz w:val="21"/>
          <w:szCs w:val="21"/>
        </w:rPr>
      </w:pPr>
      <w:r>
        <w:rPr>
          <w:sz w:val="21"/>
          <w:szCs w:val="21"/>
        </w:rPr>
        <w:t>质疑事项已经进入投诉或者诉讼程序的；</w:t>
      </w:r>
    </w:p>
    <w:p>
      <w:pPr>
        <w:numPr>
          <w:ilvl w:val="0"/>
          <w:numId w:val="32"/>
        </w:numPr>
        <w:spacing w:line="400" w:lineRule="exact"/>
        <w:textAlignment w:val="auto"/>
        <w:rPr>
          <w:sz w:val="21"/>
          <w:szCs w:val="21"/>
        </w:rPr>
      </w:pPr>
      <w:r>
        <w:rPr>
          <w:sz w:val="21"/>
          <w:szCs w:val="21"/>
        </w:rPr>
        <w:t>其它不符合受理条件的情形。</w:t>
      </w:r>
    </w:p>
    <w:p>
      <w:pPr>
        <w:pStyle w:val="92"/>
      </w:pPr>
      <w:r>
        <w:t>采购人或采购人将在收到书面质疑后7个工作日内审查质疑事项，作出答复或相关处理决定，并以书面形式通知质疑响应人和其他有关供应商，但答复的内容不涉及商业秘密。若质疑涉及政府采购制度或程序，将被转交政府采购的管理部门审查。</w:t>
      </w:r>
    </w:p>
    <w:p>
      <w:pPr>
        <w:pStyle w:val="92"/>
      </w:pPr>
      <w:r>
        <w:t>质疑人有下列情形之一的，采购人应驳回质疑：</w:t>
      </w:r>
    </w:p>
    <w:p>
      <w:pPr>
        <w:numPr>
          <w:ilvl w:val="0"/>
          <w:numId w:val="33"/>
        </w:numPr>
        <w:spacing w:line="400" w:lineRule="exact"/>
        <w:textAlignment w:val="auto"/>
        <w:rPr>
          <w:sz w:val="21"/>
          <w:szCs w:val="21"/>
        </w:rPr>
      </w:pPr>
      <w:r>
        <w:rPr>
          <w:sz w:val="21"/>
          <w:szCs w:val="21"/>
        </w:rPr>
        <w:t>质疑缺乏事实和法律依据的；</w:t>
      </w:r>
    </w:p>
    <w:p>
      <w:pPr>
        <w:numPr>
          <w:ilvl w:val="0"/>
          <w:numId w:val="33"/>
        </w:numPr>
        <w:spacing w:line="400" w:lineRule="exact"/>
        <w:textAlignment w:val="auto"/>
        <w:rPr>
          <w:sz w:val="21"/>
          <w:szCs w:val="21"/>
        </w:rPr>
      </w:pPr>
      <w:r>
        <w:rPr>
          <w:sz w:val="21"/>
          <w:szCs w:val="21"/>
        </w:rPr>
        <w:t>质疑人捏造事实、提供虚假材料，或在一定期限内多次质疑而无实据的；</w:t>
      </w:r>
    </w:p>
    <w:p>
      <w:pPr>
        <w:numPr>
          <w:ilvl w:val="0"/>
          <w:numId w:val="33"/>
        </w:numPr>
        <w:spacing w:line="400" w:lineRule="exact"/>
        <w:textAlignment w:val="auto"/>
        <w:rPr>
          <w:sz w:val="21"/>
          <w:szCs w:val="21"/>
        </w:rPr>
      </w:pPr>
      <w:r>
        <w:rPr>
          <w:sz w:val="21"/>
          <w:szCs w:val="21"/>
        </w:rPr>
        <w:t>质疑已经处理并答复后，质疑人就同一事项又提起质疑且未提供新的有效证据的；</w:t>
      </w:r>
    </w:p>
    <w:p>
      <w:pPr>
        <w:numPr>
          <w:ilvl w:val="0"/>
          <w:numId w:val="33"/>
        </w:numPr>
        <w:spacing w:line="400" w:lineRule="exact"/>
        <w:textAlignment w:val="auto"/>
        <w:rPr>
          <w:sz w:val="21"/>
          <w:szCs w:val="21"/>
        </w:rPr>
      </w:pPr>
      <w:r>
        <w:rPr>
          <w:sz w:val="21"/>
          <w:szCs w:val="21"/>
        </w:rPr>
        <w:t>其他根据相关法律、法规应当予以驳回的情形。</w:t>
      </w:r>
    </w:p>
    <w:p>
      <w:pPr>
        <w:pStyle w:val="92"/>
      </w:pPr>
      <w:r>
        <w:t>供应商进行虚假和恶意质疑的，采购人可以提请有关部门将其列入不良记录名单，在一至三年内禁止参加政府采购活动，并将处理决定在相关政府采购媒体上公布。</w:t>
      </w:r>
    </w:p>
    <w:p>
      <w:pPr>
        <w:pStyle w:val="92"/>
        <w:rPr>
          <w:szCs w:val="21"/>
        </w:rPr>
      </w:pPr>
      <w:r>
        <w:t>质疑响应人对采购人的答复不满意以及采购人未在规定的时间内做出答复的，可以在答复期满后15个工作日内向财政部投诉。</w:t>
      </w:r>
    </w:p>
    <w:p>
      <w:pPr>
        <w:pStyle w:val="4"/>
        <w:numPr>
          <w:ilvl w:val="0"/>
          <w:numId w:val="17"/>
        </w:numPr>
        <w:adjustRightInd/>
        <w:spacing w:line="415" w:lineRule="auto"/>
        <w:jc w:val="both"/>
        <w:textAlignment w:val="auto"/>
        <w:rPr>
          <w:kern w:val="2"/>
        </w:rPr>
      </w:pPr>
      <w:bookmarkStart w:id="78" w:name="_Toc491372357"/>
      <w:r>
        <w:rPr>
          <w:kern w:val="2"/>
        </w:rPr>
        <w:t>保密和披露</w:t>
      </w:r>
      <w:bookmarkEnd w:id="78"/>
    </w:p>
    <w:p>
      <w:pPr>
        <w:pStyle w:val="92"/>
      </w:pPr>
      <w:r>
        <w:t>响应人自领取磋商文件之日起，须承诺承担本磋商项目下保密义务，不得将因本次磋商获得的信息向第三人外传。</w:t>
      </w:r>
    </w:p>
    <w:p>
      <w:pPr>
        <w:pStyle w:val="92"/>
      </w:pPr>
      <w:r>
        <w:t>采购人有权将响应人提供的所有资料向有关政府部门或评审标书的有关人员披露。</w:t>
      </w:r>
    </w:p>
    <w:p>
      <w:pPr>
        <w:pStyle w:val="92"/>
      </w:pPr>
      <w:r>
        <w:t>在采购人认为适当时、国家机关调查、审查、审计时以及其他符合法律规定的情形下，采购人无须事先征求响应人/成交人同意而可以披露关于采购过程、合同文本、签署情况的资料、响应人/成交人的名称及地址、响应文件的有关信息以及补充条款等，但应当在合理的必要范围内。对任何已经公布过的内容或与之内容相同的资料，以及响应人/成交人已经泄露或公开的，无须再承担保密责任。</w:t>
      </w:r>
    </w:p>
    <w:bookmarkEnd w:id="66"/>
    <w:p>
      <w:pPr>
        <w:pStyle w:val="3"/>
        <w:adjustRightInd/>
        <w:spacing w:line="415" w:lineRule="auto"/>
        <w:ind w:left="420" w:hanging="420"/>
        <w:jc w:val="center"/>
        <w:textAlignment w:val="auto"/>
        <w:rPr>
          <w:rFonts w:ascii="Times New Roman" w:hAnsi="Times New Roman" w:eastAsia="宋体"/>
          <w:sz w:val="21"/>
          <w:szCs w:val="21"/>
        </w:rPr>
      </w:pPr>
      <w:r>
        <w:rPr>
          <w:rFonts w:ascii="Times New Roman" w:hAnsi="Times New Roman" w:eastAsia="宋体"/>
          <w:kern w:val="2"/>
        </w:rPr>
        <w:br w:type="page"/>
      </w:r>
      <w:bookmarkStart w:id="79" w:name="_Toc477456210"/>
      <w:bookmarkStart w:id="80" w:name="_Toc491372358"/>
      <w:r>
        <w:rPr>
          <w:rFonts w:ascii="Times New Roman" w:hAnsi="Times New Roman" w:eastAsia="宋体"/>
          <w:kern w:val="2"/>
        </w:rPr>
        <w:t xml:space="preserve">第四部分  </w:t>
      </w:r>
      <w:bookmarkStart w:id="81" w:name="评标标准和评标办法"/>
      <w:r>
        <w:rPr>
          <w:rFonts w:ascii="Times New Roman" w:hAnsi="Times New Roman" w:eastAsia="宋体"/>
          <w:kern w:val="2"/>
        </w:rPr>
        <w:t>评标标准和评标办法</w:t>
      </w:r>
      <w:bookmarkEnd w:id="79"/>
      <w:bookmarkEnd w:id="80"/>
      <w:bookmarkEnd w:id="81"/>
    </w:p>
    <w:p>
      <w:pPr>
        <w:pStyle w:val="92"/>
      </w:pPr>
      <w:r>
        <w:rPr>
          <w:rFonts w:hint="eastAsia"/>
        </w:rPr>
        <w:t>本项目的评标，由专家根据投标方案和投标产品的等因素进行评分，总分为</w:t>
      </w:r>
      <w:r>
        <w:t>100</w:t>
      </w:r>
      <w:r>
        <w:rPr>
          <w:rFonts w:hint="eastAsia"/>
        </w:rPr>
        <w:t>分，投标方的最终得分是所有评委给其的评分后的算术平均值，各分项如下：</w:t>
      </w:r>
    </w:p>
    <w:p>
      <w:pPr>
        <w:pStyle w:val="92"/>
      </w:pPr>
    </w:p>
    <w:tbl>
      <w:tblPr>
        <w:tblStyle w:val="45"/>
        <w:tblW w:w="9604" w:type="dxa"/>
        <w:tblInd w:w="-34" w:type="dxa"/>
        <w:tblLayout w:type="fixed"/>
        <w:tblCellMar>
          <w:top w:w="0" w:type="dxa"/>
          <w:left w:w="108" w:type="dxa"/>
          <w:bottom w:w="0" w:type="dxa"/>
          <w:right w:w="108" w:type="dxa"/>
        </w:tblCellMar>
      </w:tblPr>
      <w:tblGrid>
        <w:gridCol w:w="9604"/>
      </w:tblGrid>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2"/>
            </w:pPr>
            <w:r>
              <w:rPr>
                <w:rFonts w:hint="eastAsia"/>
              </w:rPr>
              <w:t>项目：</w:t>
            </w:r>
            <w:r>
              <w:rPr>
                <w:rFonts w:hint="eastAsia"/>
              </w:rPr>
              <w:fldChar w:fldCharType="begin"/>
            </w:r>
            <w:r>
              <w:instrText xml:space="preserve">REF 项目名称 \h  \* MERGEFORMAT </w:instrText>
            </w:r>
            <w:r>
              <w:rPr>
                <w:rFonts w:hint="eastAsia"/>
              </w:rPr>
              <w:fldChar w:fldCharType="separate"/>
            </w:r>
            <w:r>
              <w:rPr>
                <w:rFonts w:hint="eastAsia"/>
              </w:rPr>
              <w:t>中央财经大学采购项目</w:t>
            </w:r>
            <w:r>
              <w:rPr>
                <w:rFonts w:hint="eastAsia"/>
              </w:rPr>
              <w:fldChar w:fldCharType="end"/>
            </w:r>
          </w:p>
        </w:tc>
      </w:tr>
      <w:tr>
        <w:tblPrEx>
          <w:tblLayout w:type="fixed"/>
          <w:tblCellMar>
            <w:top w:w="0" w:type="dxa"/>
            <w:left w:w="108" w:type="dxa"/>
            <w:bottom w:w="0" w:type="dxa"/>
            <w:right w:w="108" w:type="dxa"/>
          </w:tblCellMar>
        </w:tblPrEx>
        <w:trPr>
          <w:trHeight w:val="285" w:hRule="atLeast"/>
        </w:trPr>
        <w:tc>
          <w:tcPr>
            <w:tcW w:w="9604" w:type="dxa"/>
            <w:tcBorders>
              <w:top w:val="nil"/>
              <w:left w:val="single" w:color="auto" w:sz="4" w:space="0"/>
              <w:bottom w:val="single" w:color="auto" w:sz="4" w:space="0"/>
              <w:right w:val="single" w:color="auto" w:sz="4" w:space="0"/>
            </w:tcBorders>
            <w:vAlign w:val="center"/>
          </w:tcPr>
          <w:p>
            <w:pPr>
              <w:pStyle w:val="92"/>
              <w:ind w:firstLine="422"/>
            </w:pPr>
            <w:r>
              <w:rPr>
                <w:rFonts w:hint="eastAsia"/>
                <w:b/>
                <w:bCs/>
              </w:rPr>
              <w:t>一、商务部分（</w:t>
            </w:r>
            <w:r>
              <w:rPr>
                <w:rFonts w:ascii="宋体" w:hAnsi="宋体" w:cs="宋体"/>
                <w:b/>
                <w:bCs/>
                <w:kern w:val="0"/>
                <w:szCs w:val="21"/>
              </w:rPr>
              <w:t>25</w:t>
            </w:r>
            <w:r>
              <w:rPr>
                <w:rFonts w:hint="eastAsia"/>
                <w:b/>
                <w:bCs/>
              </w:rPr>
              <w:t>分）（客观分）</w:t>
            </w:r>
          </w:p>
        </w:tc>
      </w:tr>
      <w:tr>
        <w:tblPrEx>
          <w:tblLayout w:type="fixed"/>
          <w:tblCellMar>
            <w:top w:w="0" w:type="dxa"/>
            <w:left w:w="108" w:type="dxa"/>
            <w:bottom w:w="0" w:type="dxa"/>
            <w:right w:w="108" w:type="dxa"/>
          </w:tblCellMar>
        </w:tblPrEx>
        <w:trPr>
          <w:trHeight w:val="402" w:hRule="atLeast"/>
        </w:trPr>
        <w:tc>
          <w:tcPr>
            <w:tcW w:w="9604" w:type="dxa"/>
            <w:tcBorders>
              <w:top w:val="nil"/>
              <w:left w:val="single" w:color="auto" w:sz="4" w:space="0"/>
              <w:bottom w:val="single" w:color="auto" w:sz="4" w:space="0"/>
              <w:right w:val="single" w:color="auto" w:sz="4" w:space="0"/>
            </w:tcBorders>
            <w:vAlign w:val="center"/>
          </w:tcPr>
          <w:p>
            <w:pPr>
              <w:pStyle w:val="92"/>
              <w:ind w:firstLine="210" w:firstLineChars="100"/>
            </w:pPr>
            <w:r>
              <w:rPr>
                <w:rFonts w:hint="eastAsia"/>
              </w:rPr>
              <w:t>1、标书制作（</w:t>
            </w:r>
            <w:r>
              <w:rPr>
                <w:rFonts w:hint="eastAsia" w:ascii="宋体" w:hAnsi="宋体" w:cs="宋体"/>
                <w:kern w:val="0"/>
                <w:szCs w:val="21"/>
              </w:rPr>
              <w:t>2</w:t>
            </w:r>
            <w:r>
              <w:rPr>
                <w:rFonts w:hint="eastAsia"/>
              </w:rPr>
              <w:t>分）</w:t>
            </w:r>
          </w:p>
          <w:p>
            <w:pPr>
              <w:pStyle w:val="92"/>
              <w:ind w:left="480" w:leftChars="200" w:firstLine="0" w:firstLineChars="0"/>
            </w:pPr>
            <w:r>
              <w:rPr>
                <w:rFonts w:hint="eastAsia" w:ascii="宋体" w:hAnsi="宋体" w:cs="宋体"/>
                <w:kern w:val="0"/>
                <w:szCs w:val="21"/>
              </w:rPr>
              <w:t>有目录索引、页码无错乱、标题、编号、正文、表格等排版规范得1分，每出现一个错误扣0.2分，扣完为止。证件复印、正文内容清晰得1分，每有一个证件或一页不清晰扣0.2分，扣完为止。</w:t>
            </w:r>
          </w:p>
          <w:p>
            <w:pPr>
              <w:pStyle w:val="92"/>
              <w:ind w:firstLine="210" w:firstLineChars="100"/>
              <w:rPr>
                <w:rFonts w:ascii="宋体" w:hAnsi="宋体" w:cs="宋体"/>
                <w:kern w:val="0"/>
                <w:szCs w:val="21"/>
              </w:rPr>
            </w:pPr>
            <w:r>
              <w:rPr>
                <w:rFonts w:hint="eastAsia" w:ascii="宋体" w:hAnsi="宋体" w:cs="宋体"/>
                <w:kern w:val="0"/>
                <w:szCs w:val="21"/>
              </w:rPr>
              <w:t>2、综合实力（13分）</w:t>
            </w:r>
          </w:p>
          <w:p>
            <w:pPr>
              <w:pStyle w:val="92"/>
              <w:ind w:left="480" w:leftChars="200" w:firstLine="0" w:firstLineChars="0"/>
              <w:rPr>
                <w:rFonts w:ascii="宋体" w:hAnsi="宋体" w:cs="宋体"/>
                <w:kern w:val="0"/>
                <w:szCs w:val="21"/>
              </w:rPr>
            </w:pPr>
            <w:r>
              <w:rPr>
                <w:rFonts w:hint="eastAsia" w:ascii="宋体" w:hAnsi="宋体" w:cs="宋体"/>
                <w:kern w:val="0"/>
                <w:szCs w:val="21"/>
              </w:rPr>
              <w:t>根据投标人获得的行业权威认证证书、资质等级等相关证明材料，根据以下情况进行打分。</w:t>
            </w:r>
          </w:p>
          <w:p>
            <w:pPr>
              <w:pStyle w:val="92"/>
              <w:ind w:left="480" w:leftChars="200" w:firstLine="0" w:firstLineChars="0"/>
              <w:rPr>
                <w:rFonts w:ascii="宋体" w:hAnsi="宋体" w:cs="宋体"/>
                <w:kern w:val="0"/>
                <w:szCs w:val="21"/>
              </w:rPr>
            </w:pPr>
            <w:r>
              <w:rPr>
                <w:rFonts w:hint="eastAsia" w:ascii="宋体" w:hAnsi="宋体" w:cs="宋体"/>
                <w:kern w:val="0"/>
                <w:szCs w:val="21"/>
              </w:rPr>
              <w:t>2.1提供信息安全管理体系证书，得2分，否则</w:t>
            </w:r>
            <w:r>
              <w:rPr>
                <w:rFonts w:ascii="宋体" w:hAnsi="宋体" w:cs="宋体"/>
                <w:kern w:val="0"/>
                <w:szCs w:val="21"/>
              </w:rPr>
              <w:t>0</w:t>
            </w:r>
            <w:r>
              <w:rPr>
                <w:rFonts w:hint="eastAsia" w:ascii="宋体" w:hAnsi="宋体" w:cs="宋体"/>
                <w:kern w:val="0"/>
                <w:szCs w:val="21"/>
              </w:rPr>
              <w:t>分；</w:t>
            </w:r>
          </w:p>
          <w:p>
            <w:pPr>
              <w:pStyle w:val="92"/>
              <w:ind w:left="480" w:leftChars="200" w:firstLine="0" w:firstLineChars="0"/>
              <w:rPr>
                <w:rFonts w:ascii="宋体" w:hAnsi="宋体" w:cs="宋体"/>
                <w:kern w:val="0"/>
                <w:szCs w:val="21"/>
              </w:rPr>
            </w:pPr>
            <w:r>
              <w:rPr>
                <w:rFonts w:hint="eastAsia" w:ascii="宋体" w:hAnsi="宋体" w:cs="宋体"/>
                <w:kern w:val="0"/>
                <w:szCs w:val="21"/>
              </w:rPr>
              <w:t>2.2信息技术服务运行维护标准符合性证书，一级得4分，二级得3分，三级得2分，四级或不提供得</w:t>
            </w:r>
            <w:r>
              <w:rPr>
                <w:rFonts w:ascii="宋体" w:hAnsi="宋体" w:cs="宋体"/>
                <w:kern w:val="0"/>
                <w:szCs w:val="21"/>
              </w:rPr>
              <w:t>0</w:t>
            </w:r>
            <w:r>
              <w:rPr>
                <w:rFonts w:hint="eastAsia" w:ascii="宋体" w:hAnsi="宋体" w:cs="宋体"/>
                <w:kern w:val="0"/>
                <w:szCs w:val="21"/>
              </w:rPr>
              <w:t>分；</w:t>
            </w:r>
          </w:p>
          <w:p>
            <w:pPr>
              <w:pStyle w:val="92"/>
              <w:ind w:left="480" w:leftChars="200" w:firstLine="0" w:firstLineChars="0"/>
              <w:rPr>
                <w:rFonts w:ascii="宋体" w:hAnsi="宋体" w:cs="宋体"/>
                <w:kern w:val="0"/>
                <w:szCs w:val="21"/>
              </w:rPr>
            </w:pPr>
            <w:r>
              <w:rPr>
                <w:rFonts w:hint="eastAsia" w:ascii="宋体" w:hAnsi="宋体" w:cs="宋体"/>
                <w:kern w:val="0"/>
                <w:szCs w:val="21"/>
              </w:rPr>
              <w:t>2.3项目团队成员具备计算机技术与软件资格（水平）考试高级证书，提供证书复印件并加盖公章，每个得</w:t>
            </w:r>
            <w:r>
              <w:rPr>
                <w:rFonts w:ascii="宋体" w:hAnsi="宋体" w:cs="宋体"/>
                <w:kern w:val="0"/>
                <w:szCs w:val="21"/>
              </w:rPr>
              <w:t>1</w:t>
            </w:r>
            <w:r>
              <w:rPr>
                <w:rFonts w:hint="eastAsia" w:ascii="宋体" w:hAnsi="宋体" w:cs="宋体"/>
                <w:kern w:val="0"/>
                <w:szCs w:val="21"/>
              </w:rPr>
              <w:t>分，最多得</w:t>
            </w:r>
            <w:r>
              <w:rPr>
                <w:rFonts w:ascii="宋体" w:hAnsi="宋体" w:cs="宋体"/>
                <w:kern w:val="0"/>
                <w:szCs w:val="21"/>
              </w:rPr>
              <w:t>2</w:t>
            </w:r>
            <w:r>
              <w:rPr>
                <w:rFonts w:hint="eastAsia" w:ascii="宋体" w:hAnsi="宋体" w:cs="宋体"/>
                <w:kern w:val="0"/>
                <w:szCs w:val="21"/>
              </w:rPr>
              <w:t>分，不提供</w:t>
            </w:r>
            <w:r>
              <w:rPr>
                <w:rFonts w:ascii="宋体" w:hAnsi="宋体" w:cs="宋体"/>
                <w:kern w:val="0"/>
                <w:szCs w:val="21"/>
              </w:rPr>
              <w:t>0</w:t>
            </w:r>
            <w:r>
              <w:rPr>
                <w:rFonts w:hint="eastAsia" w:ascii="宋体" w:hAnsi="宋体" w:cs="宋体"/>
                <w:kern w:val="0"/>
                <w:szCs w:val="21"/>
              </w:rPr>
              <w:t>分；</w:t>
            </w:r>
          </w:p>
          <w:p>
            <w:pPr>
              <w:pStyle w:val="92"/>
              <w:ind w:left="480" w:leftChars="200" w:firstLine="0" w:firstLineChars="0"/>
              <w:rPr>
                <w:rFonts w:ascii="宋体" w:hAnsi="宋体" w:cs="宋体"/>
                <w:kern w:val="0"/>
                <w:szCs w:val="21"/>
              </w:rPr>
            </w:pPr>
            <w:r>
              <w:rPr>
                <w:rFonts w:hint="eastAsia" w:ascii="宋体" w:hAnsi="宋体" w:cs="宋体"/>
                <w:kern w:val="0"/>
                <w:szCs w:val="21"/>
              </w:rPr>
              <w:t>2.4项目经理具有PMP证书的得2分，没有不得分。</w:t>
            </w:r>
          </w:p>
          <w:p>
            <w:pPr>
              <w:pStyle w:val="92"/>
              <w:ind w:left="480" w:leftChars="200" w:firstLine="0" w:firstLineChars="0"/>
              <w:rPr>
                <w:rFonts w:ascii="宋体" w:hAnsi="宋体" w:cs="宋体"/>
                <w:kern w:val="0"/>
                <w:szCs w:val="21"/>
              </w:rPr>
            </w:pPr>
            <w:r>
              <w:rPr>
                <w:rFonts w:hint="eastAsia" w:ascii="宋体" w:hAnsi="宋体" w:cs="宋体"/>
                <w:kern w:val="0"/>
                <w:szCs w:val="21"/>
              </w:rPr>
              <w:t>2.5项目实施团队人员中每提供一个相关技术证书（ORACLE的OCPORACLE OCP或项目经理证书）的，得1分，最高得3分。</w:t>
            </w:r>
          </w:p>
          <w:p>
            <w:pPr>
              <w:pStyle w:val="92"/>
              <w:ind w:firstLine="210" w:firstLineChars="100"/>
            </w:pPr>
            <w:r>
              <w:rPr>
                <w:rFonts w:hint="eastAsia"/>
              </w:rPr>
              <w:t>3、类似成功案例（</w:t>
            </w:r>
            <w:r>
              <w:rPr>
                <w:rFonts w:hint="eastAsia" w:ascii="宋体" w:hAnsi="宋体" w:cs="宋体"/>
                <w:kern w:val="0"/>
                <w:szCs w:val="21"/>
              </w:rPr>
              <w:t>10</w:t>
            </w:r>
            <w:r>
              <w:rPr>
                <w:rFonts w:hint="eastAsia"/>
              </w:rPr>
              <w:t>分）</w:t>
            </w:r>
          </w:p>
          <w:p>
            <w:pPr>
              <w:pStyle w:val="92"/>
              <w:ind w:left="480" w:leftChars="200" w:firstLine="0" w:firstLineChars="0"/>
            </w:pPr>
            <w:r>
              <w:rPr>
                <w:rFonts w:hint="eastAsia"/>
              </w:rPr>
              <w:t>3.1根据各投标人所提供自2014年9月1日起至本项目截标时间止，</w:t>
            </w:r>
            <w:r>
              <w:rPr>
                <w:rFonts w:hint="eastAsia" w:ascii="宋体" w:hAnsi="宋体" w:cs="宋体"/>
                <w:kern w:val="0"/>
                <w:szCs w:val="21"/>
              </w:rPr>
              <w:t>类似采购人行业项目业绩的合同、用户证明文件的复印件作为有效证明文件。合同复印件需提供合同首页、合同金额关键页、合同清单页、合同盖章页并加盖投标人行政公章。每个案例</w:t>
            </w:r>
            <w:r>
              <w:rPr>
                <w:rFonts w:hint="eastAsia"/>
              </w:rPr>
              <w:t>得2分，满分10分，不提供</w:t>
            </w:r>
            <w:r>
              <w:rPr>
                <w:rFonts w:hint="eastAsia" w:cs="宋体"/>
                <w:szCs w:val="21"/>
              </w:rPr>
              <w:t>则不得分。</w:t>
            </w:r>
          </w:p>
        </w:tc>
      </w:tr>
      <w:tr>
        <w:tblPrEx>
          <w:tblLayout w:type="fixed"/>
          <w:tblCellMar>
            <w:top w:w="0" w:type="dxa"/>
            <w:left w:w="108" w:type="dxa"/>
            <w:bottom w:w="0" w:type="dxa"/>
            <w:right w:w="108" w:type="dxa"/>
          </w:tblCellMar>
        </w:tblPrEx>
        <w:trPr>
          <w:trHeight w:val="31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2"/>
              <w:ind w:firstLine="422"/>
            </w:pPr>
            <w:r>
              <w:rPr>
                <w:rFonts w:hint="eastAsia"/>
                <w:b/>
                <w:bCs/>
              </w:rPr>
              <w:t>二、技术部分（</w:t>
            </w:r>
            <w:r>
              <w:rPr>
                <w:rFonts w:ascii="宋体" w:hAnsi="宋体" w:cs="宋体"/>
                <w:b/>
                <w:bCs/>
                <w:kern w:val="0"/>
                <w:szCs w:val="21"/>
              </w:rPr>
              <w:t>55</w:t>
            </w:r>
            <w:r>
              <w:rPr>
                <w:rFonts w:hint="eastAsia"/>
                <w:b/>
                <w:bCs/>
              </w:rPr>
              <w:t>分）</w:t>
            </w:r>
          </w:p>
        </w:tc>
      </w:tr>
      <w:tr>
        <w:tblPrEx>
          <w:tblLayout w:type="fixed"/>
          <w:tblCellMar>
            <w:top w:w="0" w:type="dxa"/>
            <w:left w:w="108" w:type="dxa"/>
            <w:bottom w:w="0" w:type="dxa"/>
            <w:right w:w="108" w:type="dxa"/>
          </w:tblCellMar>
        </w:tblPrEx>
        <w:trPr>
          <w:trHeight w:val="255" w:hRule="atLeast"/>
        </w:trPr>
        <w:tc>
          <w:tcPr>
            <w:tcW w:w="9604" w:type="dxa"/>
            <w:tcBorders>
              <w:top w:val="nil"/>
              <w:left w:val="single" w:color="auto" w:sz="4" w:space="0"/>
              <w:bottom w:val="single" w:color="auto" w:sz="4" w:space="0"/>
              <w:right w:val="single" w:color="auto" w:sz="4" w:space="0"/>
            </w:tcBorders>
          </w:tcPr>
          <w:p>
            <w:pPr>
              <w:pStyle w:val="92"/>
              <w:ind w:firstLine="210" w:firstLineChars="100"/>
            </w:pPr>
            <w:r>
              <w:rPr>
                <w:rFonts w:hint="eastAsia"/>
              </w:rPr>
              <w:t>1、需求分析及技术方案（</w:t>
            </w:r>
            <w:r>
              <w:rPr>
                <w:rFonts w:hint="eastAsia" w:ascii="宋体" w:hAnsi="宋体" w:cs="宋体"/>
                <w:kern w:val="0"/>
                <w:szCs w:val="21"/>
                <w:lang w:val="en-US" w:eastAsia="zh-CN"/>
              </w:rPr>
              <w:t>3</w:t>
            </w:r>
            <w:r>
              <w:rPr>
                <w:rFonts w:hint="eastAsia" w:ascii="宋体" w:hAnsi="宋体" w:cs="宋体"/>
                <w:kern w:val="0"/>
                <w:szCs w:val="21"/>
              </w:rPr>
              <w:t>0</w:t>
            </w:r>
            <w:r>
              <w:rPr>
                <w:rFonts w:hint="eastAsia"/>
              </w:rPr>
              <w:t>分）</w:t>
            </w:r>
          </w:p>
          <w:p>
            <w:pPr>
              <w:pStyle w:val="92"/>
              <w:ind w:left="480" w:leftChars="200" w:firstLine="0" w:firstLineChars="0"/>
              <w:rPr>
                <w:rFonts w:ascii="宋体" w:hAnsi="宋体" w:cs="宋体"/>
                <w:kern w:val="0"/>
                <w:szCs w:val="21"/>
              </w:rPr>
            </w:pPr>
            <w:r>
              <w:rPr>
                <w:rFonts w:hint="eastAsia" w:ascii="宋体" w:hAnsi="宋体" w:cs="宋体"/>
                <w:kern w:val="0"/>
                <w:szCs w:val="21"/>
              </w:rPr>
              <w:t>满足技术需求文件中产品技术指标的全部技术指标得满分，★代表最关键指标，不满足该指标项将导致投标被拒绝，#代表重要指标，不满足将导致扣1分，无标识则表示一般指标项，不满足扣0.5分，扣完为止。满分30分，最低0分。</w:t>
            </w:r>
          </w:p>
          <w:p>
            <w:pPr>
              <w:pStyle w:val="92"/>
              <w:ind w:firstLine="210" w:firstLineChars="100"/>
              <w:rPr>
                <w:rFonts w:ascii="宋体" w:hAnsi="宋体" w:cs="宋体"/>
                <w:kern w:val="0"/>
                <w:szCs w:val="21"/>
              </w:rPr>
            </w:pPr>
            <w:r>
              <w:rPr>
                <w:rFonts w:hint="eastAsia" w:ascii="宋体" w:hAnsi="宋体" w:cs="宋体"/>
                <w:kern w:val="0"/>
                <w:szCs w:val="21"/>
              </w:rPr>
              <w:t>2、投标人须对招标文件中第五部分2.产品需求中的10个需求进行现场演示，时间控制在5-8分钟。 每一演示点不完全满足或未演示扣1分。</w:t>
            </w:r>
            <w:r>
              <w:rPr>
                <w:rFonts w:hint="eastAsia" w:ascii="宋体" w:hAnsi="宋体" w:cs="宋体"/>
                <w:kern w:val="0"/>
                <w:szCs w:val="21"/>
                <w:lang w:eastAsia="zh-CN"/>
              </w:rPr>
              <w:t>（</w:t>
            </w:r>
            <w:r>
              <w:rPr>
                <w:rFonts w:hint="eastAsia" w:ascii="宋体" w:hAnsi="宋体" w:cs="宋体"/>
                <w:kern w:val="0"/>
                <w:szCs w:val="21"/>
                <w:lang w:val="en-US" w:eastAsia="zh-CN"/>
              </w:rPr>
              <w:t>10分</w:t>
            </w:r>
            <w:r>
              <w:rPr>
                <w:rFonts w:hint="eastAsia" w:ascii="宋体" w:hAnsi="宋体" w:cs="宋体"/>
                <w:kern w:val="0"/>
                <w:szCs w:val="21"/>
                <w:lang w:eastAsia="zh-CN"/>
              </w:rPr>
              <w:t>）</w:t>
            </w:r>
          </w:p>
          <w:p>
            <w:pPr>
              <w:pStyle w:val="92"/>
              <w:ind w:firstLine="210" w:firstLineChars="100"/>
            </w:pPr>
            <w:r>
              <w:rPr>
                <w:rFonts w:hint="eastAsia" w:ascii="宋体" w:hAnsi="宋体" w:cs="宋体"/>
                <w:kern w:val="0"/>
                <w:szCs w:val="21"/>
              </w:rPr>
              <w:t>3、项目总体设计先进，采用统一开发工具（业务构建技术），数据集成满足技术需求、应用服务器支持主流的中间件，视总体架构设计的合理性和先进性程度，评价为优得的4-5分，较好的2-3分，一般的得0-1分。</w:t>
            </w:r>
            <w:r>
              <w:rPr>
                <w:rFonts w:hint="eastAsia"/>
              </w:rPr>
              <w:t>（5分）</w:t>
            </w:r>
          </w:p>
          <w:p>
            <w:pPr>
              <w:pStyle w:val="92"/>
              <w:ind w:firstLine="210" w:firstLineChars="100"/>
            </w:pPr>
            <w:r>
              <w:rPr>
                <w:rFonts w:hint="eastAsia"/>
              </w:rPr>
              <w:t>4、售后服务能力（10分）</w:t>
            </w:r>
          </w:p>
          <w:p>
            <w:pPr>
              <w:pStyle w:val="92"/>
              <w:ind w:left="480" w:leftChars="200" w:firstLine="0" w:firstLineChars="0"/>
              <w:rPr>
                <w:rFonts w:ascii="宋体" w:hAnsi="宋体" w:cs="宋体"/>
                <w:kern w:val="0"/>
                <w:szCs w:val="21"/>
              </w:rPr>
            </w:pPr>
            <w:r>
              <w:rPr>
                <w:rFonts w:hint="eastAsia" w:ascii="宋体" w:hAnsi="宋体" w:cs="宋体"/>
                <w:kern w:val="0"/>
                <w:szCs w:val="21"/>
              </w:rPr>
              <w:t>4.1售后服务方案和质保期、培训方案完全满足招标文件要求；售后服务体系完善，承诺服务内容优越，响应时间，售后服务人员组织结构合理、维护体系健全，技术支持保障到位，培训方案较科学、合理，得5分；优秀得5分，良好的3分，一般的1分。</w:t>
            </w:r>
          </w:p>
          <w:p>
            <w:pPr>
              <w:pStyle w:val="92"/>
              <w:ind w:left="480" w:leftChars="200" w:firstLine="0" w:firstLineChars="0"/>
              <w:rPr>
                <w:rFonts w:ascii="宋体" w:hAnsi="宋体" w:cs="宋体"/>
                <w:kern w:val="0"/>
                <w:szCs w:val="21"/>
              </w:rPr>
            </w:pPr>
            <w:r>
              <w:rPr>
                <w:rFonts w:hint="eastAsia" w:ascii="宋体" w:hAnsi="宋体" w:cs="宋体"/>
                <w:kern w:val="0"/>
                <w:szCs w:val="21"/>
              </w:rPr>
              <w:t>4.2在本地具有稳定的售后服务团队，在项目所在地有固定办公地址并取得合法营业执照的，提供证明材料，如不具备则应提供中标后设置服务机构或派遣服务人员的承诺函，有证明材料或承诺函得3分，没有得0分。</w:t>
            </w:r>
          </w:p>
          <w:p>
            <w:pPr>
              <w:pStyle w:val="92"/>
            </w:pPr>
            <w:r>
              <w:rPr>
                <w:rFonts w:hint="eastAsia" w:ascii="宋体" w:hAnsi="宋体" w:cs="宋体"/>
                <w:kern w:val="0"/>
                <w:szCs w:val="21"/>
              </w:rPr>
              <w:t>4.3能提供7×24小时免费电话技术支持，2小时内工程技术人员到达现场维修解决问题，在4小时内排除故障，得2分，不能响应不得分。</w:t>
            </w:r>
          </w:p>
        </w:tc>
      </w:tr>
      <w:tr>
        <w:tblPrEx>
          <w:tblLayout w:type="fixed"/>
          <w:tblCellMar>
            <w:top w:w="0" w:type="dxa"/>
            <w:left w:w="108" w:type="dxa"/>
            <w:bottom w:w="0" w:type="dxa"/>
            <w:right w:w="108" w:type="dxa"/>
          </w:tblCellMar>
        </w:tblPrEx>
        <w:trPr>
          <w:trHeight w:val="44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2"/>
              <w:ind w:firstLine="422"/>
            </w:pPr>
            <w:r>
              <w:rPr>
                <w:rFonts w:hint="eastAsia"/>
                <w:b/>
                <w:bCs/>
              </w:rPr>
              <w:t>三、价格分（</w:t>
            </w:r>
            <w:r>
              <w:rPr>
                <w:b/>
                <w:bCs/>
              </w:rPr>
              <w:t>20</w:t>
            </w:r>
            <w:r>
              <w:rPr>
                <w:rFonts w:hint="eastAsia"/>
                <w:b/>
                <w:bCs/>
              </w:rPr>
              <w:t>分）</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2"/>
            </w:pPr>
            <w:r>
              <w:rPr>
                <w:rFonts w:hint="eastAsia"/>
              </w:rPr>
              <w:t>价格分（</w:t>
            </w:r>
            <w:r>
              <w:rPr>
                <w:rFonts w:hint="eastAsia" w:ascii="宋体" w:hAnsi="宋体"/>
              </w:rPr>
              <w:t>20</w:t>
            </w:r>
            <w:r>
              <w:rPr>
                <w:rFonts w:hint="eastAsia"/>
              </w:rPr>
              <w:t>分）（客观分）</w:t>
            </w:r>
          </w:p>
          <w:p>
            <w:pPr>
              <w:pStyle w:val="92"/>
            </w:pPr>
            <w:r>
              <w:rPr>
                <w:rFonts w:hint="eastAsia"/>
              </w:rPr>
              <w:t>满足招标文件要求且投标价格最低的投标报价为评标基准价，其价格分为满分。其他投标人的价格分统一按照下列公式计算：投标报价得分</w:t>
            </w:r>
            <w:r>
              <w:t>=（</w:t>
            </w:r>
            <w:r>
              <w:rPr>
                <w:rFonts w:hint="eastAsia"/>
              </w:rPr>
              <w:t>评标基准价／投标报价</w:t>
            </w:r>
            <w:r>
              <w:t>）</w:t>
            </w:r>
            <w:r>
              <w:rPr>
                <w:rFonts w:hint="eastAsia"/>
              </w:rPr>
              <w:t>×20</w:t>
            </w:r>
            <w:r>
              <w:t>%</w:t>
            </w:r>
            <w:r>
              <w:rPr>
                <w:rFonts w:hint="eastAsia"/>
              </w:rPr>
              <w:t>×</w:t>
            </w:r>
            <w:r>
              <w:t>100</w:t>
            </w:r>
            <w:r>
              <w:rPr>
                <w:rFonts w:hint="eastAsia"/>
              </w:rPr>
              <w:t>。</w:t>
            </w:r>
          </w:p>
        </w:tc>
      </w:tr>
      <w:tr>
        <w:tblPrEx>
          <w:tblLayout w:type="fixed"/>
          <w:tblCellMar>
            <w:top w:w="0" w:type="dxa"/>
            <w:left w:w="108" w:type="dxa"/>
            <w:bottom w:w="0" w:type="dxa"/>
            <w:right w:w="108" w:type="dxa"/>
          </w:tblCellMar>
        </w:tblPrEx>
        <w:trPr>
          <w:trHeight w:val="15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2"/>
            </w:pPr>
            <w:r>
              <w:rPr>
                <w:rFonts w:hint="eastAsia"/>
              </w:rPr>
              <w:t>总分计算</w:t>
            </w:r>
          </w:p>
          <w:p>
            <w:pPr>
              <w:pStyle w:val="92"/>
            </w:pPr>
            <w:r>
              <w:rPr>
                <w:rFonts w:hint="eastAsia"/>
              </w:rPr>
              <w:t>评标总得分＝（F1×A1＋F2×A2＋……＋Fn×An）/100</w:t>
            </w:r>
            <w:r>
              <w:t>;</w:t>
            </w:r>
          </w:p>
          <w:p>
            <w:pPr>
              <w:pStyle w:val="92"/>
            </w:pPr>
            <w:r>
              <w:rPr>
                <w:rFonts w:hint="eastAsia"/>
              </w:rPr>
              <w:t>F1、F2……Fn分别为各项评分因素的汇总得分；</w:t>
            </w:r>
          </w:p>
          <w:p>
            <w:pPr>
              <w:pStyle w:val="92"/>
            </w:pPr>
            <w:r>
              <w:rPr>
                <w:rFonts w:hint="eastAsia"/>
              </w:rPr>
              <w:t>A1、A2……An分别为各项评分因素分值(A1＋A2＋……＋An＝1</w:t>
            </w:r>
            <w:r>
              <w:t>00</w:t>
            </w:r>
            <w:r>
              <w:rPr>
                <w:rFonts w:hint="eastAsia"/>
              </w:rPr>
              <w:t>)。</w:t>
            </w:r>
          </w:p>
        </w:tc>
      </w:tr>
    </w:tbl>
    <w:p>
      <w:pPr>
        <w:pStyle w:val="3"/>
        <w:spacing w:line="415" w:lineRule="auto"/>
        <w:ind w:hanging="420"/>
        <w:jc w:val="both"/>
        <w:rPr>
          <w:rFonts w:ascii="Times New Roman" w:hAnsi="Times New Roman" w:eastAsia="宋体"/>
        </w:rPr>
      </w:pPr>
      <w:bookmarkStart w:id="82" w:name="_Toc86202592"/>
      <w:bookmarkStart w:id="83" w:name="_Toc477460143"/>
    </w:p>
    <w:p>
      <w:pPr>
        <w:pStyle w:val="3"/>
        <w:spacing w:line="415" w:lineRule="auto"/>
        <w:ind w:hanging="420"/>
        <w:jc w:val="center"/>
        <w:rPr>
          <w:rFonts w:ascii="Times New Roman" w:hAnsi="Times New Roman" w:eastAsia="宋体"/>
        </w:rPr>
      </w:pPr>
      <w:r>
        <w:rPr>
          <w:rFonts w:ascii="Times New Roman" w:hAnsi="Times New Roman" w:eastAsia="宋体"/>
        </w:rPr>
        <w:br w:type="page"/>
      </w:r>
      <w:r>
        <w:rPr>
          <w:rFonts w:hint="eastAsia" w:ascii="Times New Roman" w:hAnsi="Times New Roman" w:eastAsia="宋体"/>
        </w:rPr>
        <w:t>第五部分</w:t>
      </w:r>
      <w:bookmarkStart w:id="84" w:name="diwubufen"/>
      <w:r>
        <w:rPr>
          <w:rFonts w:hint="eastAsia" w:ascii="Times New Roman" w:hAnsi="Times New Roman" w:eastAsia="宋体"/>
        </w:rPr>
        <w:t>招标货物</w:t>
      </w:r>
      <w:bookmarkEnd w:id="82"/>
      <w:r>
        <w:rPr>
          <w:rFonts w:hint="eastAsia" w:ascii="Times New Roman" w:hAnsi="Times New Roman" w:eastAsia="宋体"/>
        </w:rPr>
        <w:t>、服务的清单、质量要求和供货</w:t>
      </w:r>
      <w:bookmarkEnd w:id="83"/>
      <w:bookmarkEnd w:id="84"/>
    </w:p>
    <w:p>
      <w:pPr>
        <w:pStyle w:val="12"/>
        <w:snapToGrid w:val="0"/>
        <w:spacing w:line="400" w:lineRule="exact"/>
        <w:ind w:firstLine="480" w:firstLineChars="200"/>
        <w:rPr>
          <w:rFonts w:ascii="宋体" w:hAnsi="宋体" w:cs="宋体"/>
          <w:szCs w:val="21"/>
        </w:rPr>
      </w:pPr>
      <w:r>
        <w:rPr>
          <w:rFonts w:hint="eastAsia" w:ascii="宋体" w:hAnsi="宋体"/>
          <w:szCs w:val="21"/>
        </w:rPr>
        <w:t>重要性分为“</w:t>
      </w:r>
      <w:r>
        <w:rPr>
          <w:rFonts w:hint="eastAsia" w:ascii="宋体" w:hAnsi="宋体" w:cs="宋体"/>
          <w:szCs w:val="21"/>
        </w:rPr>
        <w:t>★</w:t>
      </w:r>
      <w:r>
        <w:rPr>
          <w:rFonts w:hint="eastAsia" w:ascii="宋体" w:hAnsi="宋体"/>
          <w:szCs w:val="21"/>
        </w:rPr>
        <w:t>”、“</w:t>
      </w:r>
      <w:r>
        <w:rPr>
          <w:rFonts w:ascii="宋体" w:hAnsi="宋体"/>
          <w:szCs w:val="21"/>
        </w:rPr>
        <w:t>#”和一般无标示指标。</w:t>
      </w:r>
      <w:r>
        <w:rPr>
          <w:rFonts w:hint="eastAsia" w:ascii="宋体" w:hAnsi="宋体" w:cs="宋体"/>
          <w:szCs w:val="21"/>
        </w:rPr>
        <w:t>★代表最关键指标，不满足该指标项将导致投标被拒绝，</w:t>
      </w:r>
      <w:r>
        <w:rPr>
          <w:rFonts w:ascii="宋体" w:hAnsi="宋体" w:cs="宋体"/>
          <w:szCs w:val="21"/>
        </w:rPr>
        <w:t>#代表重要指标，无标识则表示一般指标项。（下同）</w:t>
      </w:r>
    </w:p>
    <w:p>
      <w:pPr>
        <w:pStyle w:val="92"/>
      </w:pPr>
    </w:p>
    <w:p>
      <w:pPr>
        <w:pStyle w:val="92"/>
      </w:pPr>
      <w:r>
        <w:rPr>
          <w:rFonts w:hint="eastAsia"/>
        </w:rPr>
        <w:t>后勤集团采购财务管理软件系统，优化集团物流、资金流、信息流流程，建立财务管理、薪酬管理、采购管理、库房存货管理、成本核算等集约型信息化管理系统，确保集团资金安全、完整，物流及信息流通畅、及时，通过角色驱动、流程导航实现从预算到核算到财务分析的全过程管理。</w:t>
      </w:r>
    </w:p>
    <w:p>
      <w:pPr>
        <w:pStyle w:val="5"/>
        <w:spacing w:before="120" w:after="120" w:line="377" w:lineRule="auto"/>
        <w:rPr>
          <w:sz w:val="24"/>
        </w:rPr>
      </w:pPr>
      <w:r>
        <w:rPr>
          <w:rFonts w:ascii="Times New Roman" w:hAnsi="Times New Roman" w:eastAsia="宋体"/>
          <w:sz w:val="24"/>
        </w:rPr>
        <w:t>1.</w:t>
      </w:r>
      <w:r>
        <w:rPr>
          <w:rFonts w:hint="eastAsia" w:ascii="Times New Roman" w:hAnsi="Times New Roman" w:eastAsia="宋体"/>
          <w:sz w:val="24"/>
        </w:rPr>
        <w:t>招标货物名称：财务管理软件</w:t>
      </w:r>
    </w:p>
    <w:p>
      <w:pPr>
        <w:pStyle w:val="5"/>
        <w:spacing w:before="120" w:after="120" w:line="377" w:lineRule="auto"/>
        <w:rPr>
          <w:sz w:val="24"/>
        </w:rPr>
      </w:pPr>
      <w:r>
        <w:rPr>
          <w:rFonts w:ascii="Times New Roman" w:hAnsi="Times New Roman" w:eastAsia="宋体"/>
          <w:sz w:val="24"/>
        </w:rPr>
        <w:t>2.</w:t>
      </w:r>
      <w:r>
        <w:rPr>
          <w:rFonts w:hint="eastAsia" w:ascii="Times New Roman" w:hAnsi="Times New Roman" w:eastAsia="宋体"/>
          <w:sz w:val="24"/>
        </w:rPr>
        <w:t>产品需求</w:t>
      </w:r>
    </w:p>
    <w:p>
      <w:pPr>
        <w:pStyle w:val="92"/>
        <w:ind w:firstLine="0" w:firstLineChars="0"/>
      </w:pPr>
      <w:r>
        <w:rPr>
          <w:rFonts w:hint="eastAsia"/>
        </w:rPr>
        <w:t xml:space="preserve">    2.1</w:t>
      </w:r>
      <w:r>
        <w:rPr>
          <w:rFonts w:hint="eastAsia" w:ascii="宋体" w:hAnsi="宋体" w:cs="宋体"/>
          <w:szCs w:val="21"/>
        </w:rPr>
        <w:t>★</w:t>
      </w:r>
      <w:r>
        <w:rPr>
          <w:rFonts w:hint="eastAsia"/>
        </w:rPr>
        <w:t>软件应包含功能模块：预算管理、预算报销（网上报销）、总账、报表、薪酬管理、固定资产、采购管理、库房管理、存货管理；</w:t>
      </w:r>
    </w:p>
    <w:tbl>
      <w:tblPr>
        <w:tblStyle w:val="45"/>
        <w:tblW w:w="85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851"/>
        <w:gridCol w:w="850"/>
        <w:gridCol w:w="784"/>
        <w:gridCol w:w="851"/>
        <w:gridCol w:w="851"/>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pStyle w:val="92"/>
              <w:ind w:firstLine="0" w:firstLineChars="0"/>
              <w:jc w:val="center"/>
              <w:rPr>
                <w:sz w:val="15"/>
                <w:szCs w:val="15"/>
              </w:rPr>
            </w:pPr>
            <w:r>
              <w:rPr>
                <w:rFonts w:hint="eastAsia"/>
                <w:sz w:val="15"/>
                <w:szCs w:val="15"/>
              </w:rPr>
              <w:t>模块名称</w:t>
            </w:r>
          </w:p>
        </w:tc>
        <w:tc>
          <w:tcPr>
            <w:tcW w:w="851" w:type="dxa"/>
          </w:tcPr>
          <w:p>
            <w:pPr>
              <w:pStyle w:val="92"/>
              <w:ind w:firstLine="0" w:firstLineChars="0"/>
              <w:jc w:val="center"/>
              <w:rPr>
                <w:sz w:val="15"/>
                <w:szCs w:val="15"/>
              </w:rPr>
            </w:pPr>
            <w:r>
              <w:rPr>
                <w:rFonts w:hint="eastAsia"/>
                <w:sz w:val="15"/>
                <w:szCs w:val="15"/>
              </w:rPr>
              <w:t>预算管理</w:t>
            </w:r>
          </w:p>
        </w:tc>
        <w:tc>
          <w:tcPr>
            <w:tcW w:w="850" w:type="dxa"/>
          </w:tcPr>
          <w:p>
            <w:pPr>
              <w:pStyle w:val="92"/>
              <w:ind w:firstLine="0" w:firstLineChars="0"/>
              <w:jc w:val="center"/>
              <w:rPr>
                <w:sz w:val="15"/>
                <w:szCs w:val="15"/>
              </w:rPr>
            </w:pPr>
            <w:r>
              <w:rPr>
                <w:rFonts w:hint="eastAsia"/>
                <w:sz w:val="15"/>
                <w:szCs w:val="15"/>
              </w:rPr>
              <w:t>网上报销</w:t>
            </w:r>
          </w:p>
        </w:tc>
        <w:tc>
          <w:tcPr>
            <w:tcW w:w="784" w:type="dxa"/>
          </w:tcPr>
          <w:p>
            <w:pPr>
              <w:pStyle w:val="92"/>
              <w:ind w:firstLine="0" w:firstLineChars="0"/>
              <w:jc w:val="center"/>
              <w:rPr>
                <w:sz w:val="15"/>
                <w:szCs w:val="15"/>
              </w:rPr>
            </w:pPr>
            <w:r>
              <w:rPr>
                <w:rFonts w:hint="eastAsia"/>
                <w:sz w:val="15"/>
                <w:szCs w:val="15"/>
              </w:rPr>
              <w:t>总账</w:t>
            </w:r>
          </w:p>
        </w:tc>
        <w:tc>
          <w:tcPr>
            <w:tcW w:w="851" w:type="dxa"/>
          </w:tcPr>
          <w:p>
            <w:pPr>
              <w:pStyle w:val="92"/>
              <w:ind w:firstLine="0" w:firstLineChars="0"/>
              <w:jc w:val="center"/>
              <w:rPr>
                <w:sz w:val="15"/>
                <w:szCs w:val="15"/>
              </w:rPr>
            </w:pPr>
            <w:r>
              <w:rPr>
                <w:rFonts w:hint="eastAsia"/>
                <w:sz w:val="15"/>
                <w:szCs w:val="15"/>
              </w:rPr>
              <w:t>报表</w:t>
            </w:r>
          </w:p>
        </w:tc>
        <w:tc>
          <w:tcPr>
            <w:tcW w:w="851" w:type="dxa"/>
          </w:tcPr>
          <w:p>
            <w:pPr>
              <w:pStyle w:val="92"/>
              <w:ind w:firstLine="0" w:firstLineChars="0"/>
              <w:jc w:val="center"/>
              <w:rPr>
                <w:sz w:val="15"/>
                <w:szCs w:val="15"/>
              </w:rPr>
            </w:pPr>
            <w:r>
              <w:rPr>
                <w:rFonts w:hint="eastAsia"/>
                <w:sz w:val="15"/>
                <w:szCs w:val="15"/>
              </w:rPr>
              <w:t>薪酬管理</w:t>
            </w:r>
          </w:p>
        </w:tc>
        <w:tc>
          <w:tcPr>
            <w:tcW w:w="850" w:type="dxa"/>
          </w:tcPr>
          <w:p>
            <w:pPr>
              <w:pStyle w:val="92"/>
              <w:ind w:firstLine="0" w:firstLineChars="0"/>
              <w:jc w:val="center"/>
              <w:rPr>
                <w:sz w:val="15"/>
                <w:szCs w:val="15"/>
              </w:rPr>
            </w:pPr>
            <w:r>
              <w:rPr>
                <w:rFonts w:hint="eastAsia"/>
                <w:sz w:val="15"/>
                <w:szCs w:val="15"/>
              </w:rPr>
              <w:t>固定资产</w:t>
            </w:r>
          </w:p>
        </w:tc>
        <w:tc>
          <w:tcPr>
            <w:tcW w:w="851" w:type="dxa"/>
          </w:tcPr>
          <w:p>
            <w:pPr>
              <w:pStyle w:val="92"/>
              <w:ind w:firstLine="0" w:firstLineChars="0"/>
              <w:jc w:val="center"/>
              <w:rPr>
                <w:sz w:val="15"/>
                <w:szCs w:val="15"/>
              </w:rPr>
            </w:pPr>
            <w:r>
              <w:rPr>
                <w:rFonts w:hint="eastAsia"/>
                <w:sz w:val="15"/>
                <w:szCs w:val="15"/>
              </w:rPr>
              <w:t>采购管理</w:t>
            </w:r>
          </w:p>
        </w:tc>
        <w:tc>
          <w:tcPr>
            <w:tcW w:w="850" w:type="dxa"/>
          </w:tcPr>
          <w:p>
            <w:pPr>
              <w:pStyle w:val="92"/>
              <w:ind w:firstLine="0" w:firstLineChars="0"/>
              <w:jc w:val="center"/>
              <w:rPr>
                <w:sz w:val="15"/>
                <w:szCs w:val="15"/>
              </w:rPr>
            </w:pPr>
            <w:r>
              <w:rPr>
                <w:rFonts w:hint="eastAsia"/>
                <w:sz w:val="15"/>
                <w:szCs w:val="15"/>
              </w:rPr>
              <w:t>库房管理</w:t>
            </w:r>
          </w:p>
        </w:tc>
        <w:tc>
          <w:tcPr>
            <w:tcW w:w="851" w:type="dxa"/>
          </w:tcPr>
          <w:p>
            <w:pPr>
              <w:pStyle w:val="92"/>
              <w:ind w:firstLine="0" w:firstLineChars="0"/>
              <w:jc w:val="center"/>
              <w:rPr>
                <w:sz w:val="15"/>
                <w:szCs w:val="15"/>
              </w:rPr>
            </w:pPr>
            <w:r>
              <w:rPr>
                <w:rFonts w:hint="eastAsia"/>
                <w:sz w:val="15"/>
                <w:szCs w:val="15"/>
              </w:rPr>
              <w:t>存货管理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pStyle w:val="92"/>
              <w:ind w:firstLine="0" w:firstLineChars="0"/>
              <w:jc w:val="center"/>
              <w:rPr>
                <w:sz w:val="15"/>
                <w:szCs w:val="15"/>
              </w:rPr>
            </w:pPr>
            <w:r>
              <w:rPr>
                <w:rFonts w:hint="eastAsia"/>
                <w:sz w:val="15"/>
                <w:szCs w:val="15"/>
              </w:rPr>
              <w:t>满足站点</w:t>
            </w:r>
          </w:p>
        </w:tc>
        <w:tc>
          <w:tcPr>
            <w:tcW w:w="851" w:type="dxa"/>
          </w:tcPr>
          <w:p>
            <w:pPr>
              <w:pStyle w:val="92"/>
              <w:ind w:firstLine="0" w:firstLineChars="0"/>
              <w:jc w:val="center"/>
              <w:rPr>
                <w:sz w:val="15"/>
                <w:szCs w:val="15"/>
              </w:rPr>
            </w:pPr>
            <w:r>
              <w:rPr>
                <w:rFonts w:hint="eastAsia"/>
                <w:sz w:val="15"/>
                <w:szCs w:val="15"/>
              </w:rPr>
              <w:t>15</w:t>
            </w:r>
          </w:p>
        </w:tc>
        <w:tc>
          <w:tcPr>
            <w:tcW w:w="850" w:type="dxa"/>
          </w:tcPr>
          <w:p>
            <w:pPr>
              <w:pStyle w:val="92"/>
              <w:ind w:firstLine="0" w:firstLineChars="0"/>
              <w:jc w:val="center"/>
              <w:rPr>
                <w:sz w:val="15"/>
                <w:szCs w:val="15"/>
              </w:rPr>
            </w:pPr>
            <w:r>
              <w:rPr>
                <w:rFonts w:hint="eastAsia"/>
                <w:sz w:val="15"/>
                <w:szCs w:val="15"/>
              </w:rPr>
              <w:t>15</w:t>
            </w:r>
          </w:p>
        </w:tc>
        <w:tc>
          <w:tcPr>
            <w:tcW w:w="784" w:type="dxa"/>
          </w:tcPr>
          <w:p>
            <w:pPr>
              <w:pStyle w:val="92"/>
              <w:ind w:firstLine="0" w:firstLineChars="0"/>
              <w:jc w:val="center"/>
              <w:rPr>
                <w:sz w:val="15"/>
                <w:szCs w:val="15"/>
              </w:rPr>
            </w:pPr>
            <w:r>
              <w:rPr>
                <w:rFonts w:hint="eastAsia"/>
                <w:sz w:val="15"/>
                <w:szCs w:val="15"/>
              </w:rPr>
              <w:t>6</w:t>
            </w:r>
          </w:p>
        </w:tc>
        <w:tc>
          <w:tcPr>
            <w:tcW w:w="851" w:type="dxa"/>
          </w:tcPr>
          <w:p>
            <w:pPr>
              <w:pStyle w:val="92"/>
              <w:ind w:firstLine="0" w:firstLineChars="0"/>
              <w:jc w:val="center"/>
              <w:rPr>
                <w:sz w:val="15"/>
                <w:szCs w:val="15"/>
              </w:rPr>
            </w:pPr>
            <w:r>
              <w:rPr>
                <w:rFonts w:hint="eastAsia"/>
                <w:sz w:val="15"/>
                <w:szCs w:val="15"/>
              </w:rPr>
              <w:t>1</w:t>
            </w:r>
          </w:p>
        </w:tc>
        <w:tc>
          <w:tcPr>
            <w:tcW w:w="851" w:type="dxa"/>
          </w:tcPr>
          <w:p>
            <w:pPr>
              <w:pStyle w:val="92"/>
              <w:ind w:firstLine="0" w:firstLineChars="0"/>
              <w:jc w:val="center"/>
              <w:rPr>
                <w:sz w:val="15"/>
                <w:szCs w:val="15"/>
              </w:rPr>
            </w:pPr>
            <w:r>
              <w:rPr>
                <w:rFonts w:hint="eastAsia"/>
                <w:sz w:val="15"/>
                <w:szCs w:val="15"/>
              </w:rPr>
              <w:t>1</w:t>
            </w:r>
          </w:p>
        </w:tc>
        <w:tc>
          <w:tcPr>
            <w:tcW w:w="850" w:type="dxa"/>
          </w:tcPr>
          <w:p>
            <w:pPr>
              <w:pStyle w:val="92"/>
              <w:ind w:firstLine="0" w:firstLineChars="0"/>
              <w:jc w:val="center"/>
              <w:rPr>
                <w:sz w:val="15"/>
                <w:szCs w:val="15"/>
              </w:rPr>
            </w:pPr>
            <w:r>
              <w:rPr>
                <w:rFonts w:hint="eastAsia"/>
                <w:sz w:val="15"/>
                <w:szCs w:val="15"/>
              </w:rPr>
              <w:t>1</w:t>
            </w:r>
          </w:p>
        </w:tc>
        <w:tc>
          <w:tcPr>
            <w:tcW w:w="851" w:type="dxa"/>
          </w:tcPr>
          <w:p>
            <w:pPr>
              <w:pStyle w:val="92"/>
              <w:ind w:firstLine="0" w:firstLineChars="0"/>
              <w:jc w:val="center"/>
              <w:rPr>
                <w:sz w:val="15"/>
                <w:szCs w:val="15"/>
              </w:rPr>
            </w:pPr>
            <w:r>
              <w:rPr>
                <w:rFonts w:hint="eastAsia"/>
                <w:sz w:val="15"/>
                <w:szCs w:val="15"/>
              </w:rPr>
              <w:t>15</w:t>
            </w:r>
          </w:p>
        </w:tc>
        <w:tc>
          <w:tcPr>
            <w:tcW w:w="850" w:type="dxa"/>
          </w:tcPr>
          <w:p>
            <w:pPr>
              <w:pStyle w:val="92"/>
              <w:ind w:firstLine="0" w:firstLineChars="0"/>
              <w:jc w:val="center"/>
              <w:rPr>
                <w:sz w:val="15"/>
                <w:szCs w:val="15"/>
              </w:rPr>
            </w:pPr>
            <w:r>
              <w:rPr>
                <w:rFonts w:hint="eastAsia"/>
                <w:sz w:val="15"/>
                <w:szCs w:val="15"/>
              </w:rPr>
              <w:t>8</w:t>
            </w:r>
          </w:p>
        </w:tc>
        <w:tc>
          <w:tcPr>
            <w:tcW w:w="851" w:type="dxa"/>
          </w:tcPr>
          <w:p>
            <w:pPr>
              <w:pStyle w:val="92"/>
              <w:ind w:firstLine="0" w:firstLineChars="0"/>
              <w:jc w:val="center"/>
              <w:rPr>
                <w:sz w:val="15"/>
                <w:szCs w:val="15"/>
              </w:rPr>
            </w:pPr>
            <w:r>
              <w:rPr>
                <w:rFonts w:hint="eastAsia"/>
                <w:sz w:val="15"/>
                <w:szCs w:val="15"/>
              </w:rPr>
              <w:t>8</w:t>
            </w:r>
          </w:p>
        </w:tc>
      </w:tr>
    </w:tbl>
    <w:p>
      <w:pPr>
        <w:pStyle w:val="92"/>
        <w:ind w:firstLine="0" w:firstLineChars="0"/>
      </w:pPr>
      <w:r>
        <w:rPr>
          <w:rFonts w:hint="eastAsia"/>
        </w:rPr>
        <w:t xml:space="preserve">    2.2</w:t>
      </w:r>
      <w:r>
        <w:rPr>
          <w:rFonts w:hint="eastAsia" w:ascii="宋体" w:hAnsi="宋体" w:cs="宋体"/>
          <w:szCs w:val="21"/>
        </w:rPr>
        <w:t>★</w:t>
      </w:r>
      <w:r>
        <w:rPr>
          <w:rFonts w:hint="eastAsia"/>
        </w:rPr>
        <w:t xml:space="preserve">要求能够满足三校区物业服务管理、学院南路校区、沙河校区餐饮服务管理、宿舍管理、交通运输服务管理等方面的财务管理，满足部门核算、项目核算管理需求远程操作。 </w:t>
      </w:r>
    </w:p>
    <w:p>
      <w:pPr>
        <w:pStyle w:val="92"/>
      </w:pPr>
      <w:r>
        <w:rPr>
          <w:rFonts w:ascii="宋体" w:hAnsi="宋体"/>
          <w:szCs w:val="21"/>
        </w:rPr>
        <w:t>#</w:t>
      </w:r>
      <w:r>
        <w:rPr>
          <w:rFonts w:hint="eastAsia"/>
        </w:rPr>
        <w:t>2.3预算管理</w:t>
      </w:r>
    </w:p>
    <w:p>
      <w:pPr>
        <w:pStyle w:val="92"/>
      </w:pPr>
      <w:r>
        <w:rPr>
          <w:rFonts w:hint="eastAsia"/>
        </w:rPr>
        <w:t>满足年度预算编制、审核批准、调整、和过程控制管理。通过信息化手段，可穿透业务过程，追根溯源，从而有效进行业务监督和控制。构建集</w:t>
      </w:r>
      <w:r>
        <w:t>业务、预算、核算、资金四维一体智慧型全面预算管理系统，</w:t>
      </w:r>
      <w:r>
        <w:rPr>
          <w:rFonts w:hint="eastAsia"/>
        </w:rPr>
        <w:t>满足</w:t>
      </w:r>
      <w:r>
        <w:t>数据挖掘、多维分析、智能辅助决策等专业信息技术应用</w:t>
      </w:r>
      <w:r>
        <w:rPr>
          <w:rFonts w:hint="eastAsia"/>
        </w:rPr>
        <w:t>，</w:t>
      </w:r>
      <w:r>
        <w:t>涵盖预算目标、预算编制、执行控制、变更调整、分析评价整个预算管理过程，实现企业战略落地、资源合理配置、成本降低、内部管控、风险防范的目标。</w:t>
      </w:r>
    </w:p>
    <w:p>
      <w:pPr>
        <w:pStyle w:val="92"/>
      </w:pPr>
      <w:r>
        <w:rPr>
          <w:rFonts w:hint="eastAsia"/>
        </w:rPr>
        <w:t>2.4总账报表</w:t>
      </w:r>
    </w:p>
    <w:p>
      <w:pPr>
        <w:pStyle w:val="92"/>
      </w:pPr>
      <w:r>
        <w:rPr>
          <w:rFonts w:ascii="宋体" w:hAnsi="宋体"/>
          <w:szCs w:val="21"/>
        </w:rPr>
        <w:t>#</w:t>
      </w:r>
      <w:r>
        <w:rPr>
          <w:rFonts w:hint="eastAsia"/>
        </w:rPr>
        <w:t>2.4.1</w:t>
      </w:r>
      <w:r>
        <w:t>总账</w:t>
      </w:r>
      <w:r>
        <w:rPr>
          <w:rFonts w:hint="eastAsia"/>
        </w:rPr>
        <w:t>模块</w:t>
      </w:r>
      <w:r>
        <w:t>是财务系统的核心，既可以提高企业财务核算效率，又可以实时反映业务运营状况。业务数据在生成凭证以后，全部归集到总账系统进行处理，总账系统</w:t>
      </w:r>
      <w:r>
        <w:rPr>
          <w:rFonts w:hint="eastAsia"/>
        </w:rPr>
        <w:t>要满足</w:t>
      </w:r>
      <w:r>
        <w:t>日常的收、付款、报销等业务的凭证制单工作</w:t>
      </w:r>
      <w:r>
        <w:rPr>
          <w:rFonts w:hint="eastAsia"/>
        </w:rPr>
        <w:t>；</w:t>
      </w:r>
      <w:r>
        <w:t>建账、日常业务、账簿查询到月末结账全部财务处理工作均在总账系统实现</w:t>
      </w:r>
      <w:r>
        <w:rPr>
          <w:rFonts w:hint="eastAsia"/>
        </w:rPr>
        <w:t>，满足</w:t>
      </w:r>
      <w:r>
        <w:t>往来款管理、现金</w:t>
      </w:r>
      <w:r>
        <w:rPr>
          <w:rFonts w:hint="eastAsia"/>
        </w:rPr>
        <w:t>、</w:t>
      </w:r>
      <w:r>
        <w:t>银行</w:t>
      </w:r>
      <w:r>
        <w:rPr>
          <w:rFonts w:hint="eastAsia"/>
        </w:rPr>
        <w:t>存款</w:t>
      </w:r>
      <w:r>
        <w:t>管理</w:t>
      </w:r>
      <w:r>
        <w:rPr>
          <w:rFonts w:hint="eastAsia"/>
        </w:rPr>
        <w:t>；</w:t>
      </w:r>
      <w:r>
        <w:t>满足不同角色的会计人员处理日常业务，</w:t>
      </w:r>
      <w:r>
        <w:rPr>
          <w:rFonts w:hint="eastAsia"/>
        </w:rPr>
        <w:t>要求</w:t>
      </w:r>
      <w:r>
        <w:t>可以自动编制收款、付款、转账凭证，自动进行期末记账与结账，自动形成总分类账、明细分类账和财务报表，自动进行财务分析。</w:t>
      </w:r>
    </w:p>
    <w:p>
      <w:pPr>
        <w:pStyle w:val="92"/>
      </w:pPr>
      <w:r>
        <w:rPr>
          <w:rFonts w:hint="eastAsia"/>
        </w:rPr>
        <w:t>2.4.2报表编制自动生成。</w:t>
      </w:r>
    </w:p>
    <w:p>
      <w:pPr>
        <w:pStyle w:val="92"/>
      </w:pPr>
      <w:r>
        <w:t>财务报表独立运行时，</w:t>
      </w:r>
      <w:r>
        <w:rPr>
          <w:rFonts w:hint="eastAsia"/>
        </w:rPr>
        <w:t>要求</w:t>
      </w:r>
      <w:r>
        <w:t>可以完成制作表格、数据运算、做图形、打印等电子表的功能。</w:t>
      </w:r>
    </w:p>
    <w:p>
      <w:pPr>
        <w:pStyle w:val="92"/>
      </w:pPr>
      <w:r>
        <w:t>财务报表与账务系统同时运行时，作为通用财经报表系统使用，</w:t>
      </w:r>
      <w:r>
        <w:rPr>
          <w:rFonts w:hint="eastAsia"/>
        </w:rPr>
        <w:t>通过关键字控制，满足资产负债表、利润表、现金流量表、成本费用表的账务数据自动采集，自动生成所需报表。</w:t>
      </w:r>
    </w:p>
    <w:p>
      <w:pPr>
        <w:pStyle w:val="92"/>
      </w:pPr>
      <w:r>
        <w:rPr>
          <w:rFonts w:ascii="宋体" w:hAnsi="宋体"/>
          <w:szCs w:val="21"/>
        </w:rPr>
        <w:t>#</w:t>
      </w:r>
      <w:r>
        <w:rPr>
          <w:rFonts w:hint="eastAsia"/>
        </w:rPr>
        <w:t xml:space="preserve">2.5薪酬管理 </w:t>
      </w:r>
    </w:p>
    <w:p>
      <w:pPr>
        <w:pStyle w:val="92"/>
      </w:pPr>
      <w:r>
        <w:rPr>
          <w:rFonts w:hint="eastAsia"/>
        </w:rPr>
        <w:t>满足人力资源薪酬管理需要，能够与</w:t>
      </w:r>
      <w:r>
        <w:t>考核系统</w:t>
      </w:r>
      <w:r>
        <w:rPr>
          <w:rFonts w:hint="eastAsia"/>
        </w:rPr>
        <w:t>对</w:t>
      </w:r>
      <w:r>
        <w:t>接，将考勤数据引入到工资项目中，根据考勤数据，自动计算人员工资，参与实发工资的计算自定义</w:t>
      </w:r>
      <w:r>
        <w:rPr>
          <w:rFonts w:hint="eastAsia"/>
        </w:rPr>
        <w:t>应发工资、应缴社保、住房公积金、个人所得税等代扣</w:t>
      </w:r>
      <w:r>
        <w:t>项目，每次做工资时就可以直接按照提前设定好的项目计算工资，系统自动按照设定好的计算公式进行实得工资的计算</w:t>
      </w:r>
      <w:r>
        <w:rPr>
          <w:rFonts w:hint="eastAsia"/>
        </w:rPr>
        <w:t>，自动生成员工工资结算单。</w:t>
      </w:r>
    </w:p>
    <w:p>
      <w:pPr>
        <w:pStyle w:val="92"/>
      </w:pPr>
      <w:r>
        <w:rPr>
          <w:rFonts w:hint="eastAsia"/>
        </w:rPr>
        <w:t>2.6固定资产管理</w:t>
      </w:r>
    </w:p>
    <w:p>
      <w:pPr>
        <w:pStyle w:val="92"/>
        <w:ind w:firstLine="315" w:firstLineChars="150"/>
      </w:pPr>
      <w:r>
        <w:rPr>
          <w:rFonts w:hint="eastAsia"/>
        </w:rPr>
        <w:t xml:space="preserve"> </w:t>
      </w:r>
      <w:r>
        <w:rPr>
          <w:rFonts w:ascii="宋体" w:hAnsi="宋体"/>
          <w:szCs w:val="21"/>
        </w:rPr>
        <w:t>#</w:t>
      </w:r>
      <w:r>
        <w:rPr>
          <w:rFonts w:hint="eastAsia"/>
        </w:rPr>
        <w:t>满足日常固定资产折旧计提、卡片管理、资产原值查询、资产增加、减少处理。</w:t>
      </w:r>
    </w:p>
    <w:p>
      <w:pPr>
        <w:pStyle w:val="92"/>
      </w:pPr>
      <w:r>
        <w:rPr>
          <w:rFonts w:hint="eastAsia"/>
        </w:rPr>
        <w:t>2.6.</w:t>
      </w:r>
      <w:r>
        <w:t>1资产日常操作管理功能</w:t>
      </w:r>
    </w:p>
    <w:p>
      <w:pPr>
        <w:pStyle w:val="92"/>
      </w:pPr>
      <w:r>
        <w:t>主要包括固定资产的新增、修改、退出、转移、删除、借用、归还、维修、计算折旧率及残值率等日常工作。</w:t>
      </w:r>
    </w:p>
    <w:p>
      <w:pPr>
        <w:pStyle w:val="92"/>
      </w:pPr>
      <w:r>
        <w:rPr>
          <w:rFonts w:hint="eastAsia"/>
        </w:rPr>
        <w:t>2.6.2</w:t>
      </w:r>
      <w:r>
        <w:t>盘点功能</w:t>
      </w:r>
    </w:p>
    <w:p>
      <w:pPr>
        <w:pStyle w:val="92"/>
      </w:pPr>
      <w:r>
        <w:t>按照数据库中的数据进行核对，并对正常或异常的数据做出处理，得出固定资产的实际情况，并可按单位、部门生成盘盈明细表、盘亏明细表、盘亏明细附表、盘点汇总表、盘点汇总附表。</w:t>
      </w:r>
    </w:p>
    <w:p>
      <w:pPr>
        <w:pStyle w:val="92"/>
      </w:pPr>
      <w:r>
        <w:rPr>
          <w:rFonts w:hint="eastAsia"/>
        </w:rPr>
        <w:t>2.6.3</w:t>
      </w:r>
      <w:r>
        <w:t>资产折旧</w:t>
      </w:r>
    </w:p>
    <w:p>
      <w:pPr>
        <w:pStyle w:val="92"/>
      </w:pPr>
      <w:r>
        <w:t>包括计提固定资产月折旧、打印月折旧报表、对折旧信息进行备份，恢复折旧工作、折旧手工录入、折旧调整。</w:t>
      </w:r>
    </w:p>
    <w:p>
      <w:pPr>
        <w:pStyle w:val="92"/>
      </w:pPr>
      <w:r>
        <w:rPr>
          <w:rFonts w:hint="eastAsia"/>
        </w:rPr>
        <w:t>2</w:t>
      </w:r>
      <w:r>
        <w:t>.</w:t>
      </w:r>
      <w:r>
        <w:rPr>
          <w:rFonts w:hint="eastAsia"/>
        </w:rPr>
        <w:t>6.4</w:t>
      </w:r>
      <w:r>
        <w:t>固定资产月报</w:t>
      </w:r>
    </w:p>
    <w:p>
      <w:pPr>
        <w:pStyle w:val="92"/>
      </w:pPr>
      <w:r>
        <w:t>根据单位、部门、时间等条件查询分类统计月(年)报、本月增加固定资产月报、本月减少固定资产月报、固定资产折旧月报(年报)、并提供打印功能。</w:t>
      </w:r>
    </w:p>
    <w:p>
      <w:pPr>
        <w:pStyle w:val="92"/>
      </w:pPr>
      <w:r>
        <w:rPr>
          <w:rFonts w:hint="eastAsia"/>
        </w:rPr>
        <w:t>2.6.5</w:t>
      </w:r>
      <w:r>
        <w:t>固定资产综合查询</w:t>
      </w:r>
    </w:p>
    <w:p>
      <w:pPr>
        <w:pStyle w:val="92"/>
      </w:pPr>
      <w:r>
        <w:t>可以对单条或一批固定资产的情况进行查询，查询条件包括资产卡片、保管情况、有效资产信息、部门资产统计、退出资产、转移资产、历史资产、名称规格、起始及结束日期、单位或部门。</w:t>
      </w:r>
    </w:p>
    <w:p>
      <w:pPr>
        <w:pStyle w:val="92"/>
      </w:pPr>
      <w:r>
        <w:rPr>
          <w:rFonts w:ascii="宋体" w:hAnsi="宋体"/>
          <w:szCs w:val="21"/>
        </w:rPr>
        <w:t>#</w:t>
      </w:r>
      <w:r>
        <w:rPr>
          <w:rFonts w:hint="eastAsia"/>
        </w:rPr>
        <w:t>2.7采购管理</w:t>
      </w:r>
    </w:p>
    <w:p>
      <w:pPr>
        <w:pStyle w:val="92"/>
      </w:pPr>
      <w:r>
        <w:rPr>
          <w:rFonts w:hint="eastAsia"/>
        </w:rPr>
        <w:t>日常货物采购管理，满足二级单位货物需求采集、汇总，生成订单，满足供应商结算管理。</w:t>
      </w:r>
      <w:r>
        <w:t>采购申请——采购订货——进料检验——仓库收料——采购退货——购货发票处理——</w:t>
      </w:r>
      <w:r>
        <w:fldChar w:fldCharType="begin"/>
      </w:r>
      <w:r>
        <w:instrText xml:space="preserve"> HYPERLINK "http://baike.so.com/doc/852022.html" \t "_blank" </w:instrText>
      </w:r>
      <w:r>
        <w:fldChar w:fldCharType="separate"/>
      </w:r>
      <w:r>
        <w:t>供应商管理</w:t>
      </w:r>
      <w:r>
        <w:fldChar w:fldCharType="end"/>
      </w:r>
      <w:r>
        <w:t>——价格及供货信息管理——订单管理——以及质量检验管理等功能综合运用，对采购物流和资金流的全部过程进行有效的双向控制和跟踪，实现完善物资供应信息管理。</w:t>
      </w:r>
    </w:p>
    <w:p>
      <w:pPr>
        <w:pStyle w:val="92"/>
      </w:pPr>
      <w:r>
        <w:rPr>
          <w:rFonts w:hint="eastAsia"/>
        </w:rPr>
        <w:t>2.8库房管理</w:t>
      </w:r>
    </w:p>
    <w:p>
      <w:pPr>
        <w:pStyle w:val="92"/>
      </w:pPr>
      <w:r>
        <w:rPr>
          <w:rFonts w:hint="eastAsia"/>
        </w:rPr>
        <w:t>库房存货入库、领用出库、盘存管理，满足实时盘库。</w:t>
      </w:r>
      <w:r>
        <w:t>帮助库房管理人员对库房进行全面的智能管理，</w:t>
      </w:r>
      <w:r>
        <w:rPr>
          <w:rFonts w:hint="eastAsia"/>
        </w:rPr>
        <w:t>应</w:t>
      </w:r>
      <w:r>
        <w:t>具有各个时期的货物进销存统计表，物品出入库帐，货物出入库单，具备非常强大的查询功能，操作人员能随时快速的查询库房的各种数据，随时掌握仓库的库存数量，具备安全库存上限</w:t>
      </w:r>
      <w:r>
        <w:rPr>
          <w:rFonts w:hint="eastAsia"/>
        </w:rPr>
        <w:t>及下限</w:t>
      </w:r>
      <w:r>
        <w:t>报警功能，及时对管理者做出</w:t>
      </w:r>
      <w:r>
        <w:fldChar w:fldCharType="begin"/>
      </w:r>
      <w:r>
        <w:instrText xml:space="preserve"> HYPERLINK "http://baike.so.com/doc/6923368-7145478.html" \t "_blank" </w:instrText>
      </w:r>
      <w:r>
        <w:fldChar w:fldCharType="separate"/>
      </w:r>
      <w:r>
        <w:t>报警</w:t>
      </w:r>
      <w:r>
        <w:fldChar w:fldCharType="end"/>
      </w:r>
      <w:r>
        <w:t>，统计数据还可以作为管理者的进销存依据。</w:t>
      </w:r>
    </w:p>
    <w:p>
      <w:pPr>
        <w:pStyle w:val="92"/>
      </w:pPr>
      <w:r>
        <w:rPr>
          <w:rFonts w:hint="eastAsia"/>
        </w:rPr>
        <w:t>2.9存货核算</w:t>
      </w:r>
    </w:p>
    <w:p>
      <w:pPr>
        <w:pStyle w:val="92"/>
      </w:pPr>
      <w:r>
        <w:t>正确计算存货购入成本</w:t>
      </w:r>
      <w:r>
        <w:rPr>
          <w:rFonts w:hint="eastAsia"/>
        </w:rPr>
        <w:t>、发出成本</w:t>
      </w:r>
      <w:r>
        <w:t>，努力降低存货成本</w:t>
      </w:r>
      <w:r>
        <w:rPr>
          <w:rFonts w:hint="eastAsia"/>
        </w:rPr>
        <w:t>，</w:t>
      </w:r>
      <w:r>
        <w:t>反映和监督存货的收发、领退和保管情况</w:t>
      </w:r>
      <w:r>
        <w:rPr>
          <w:rFonts w:hint="eastAsia"/>
        </w:rPr>
        <w:t>。</w:t>
      </w:r>
    </w:p>
    <w:p>
      <w:pPr>
        <w:pStyle w:val="92"/>
      </w:pPr>
      <w:r>
        <w:t>接收采购系统产生的已</w:t>
      </w:r>
      <w:r>
        <w:fldChar w:fldCharType="begin"/>
      </w:r>
      <w:r>
        <w:instrText xml:space="preserve"> HYPERLINK "http://baike.so.com/doc/5331700.html" \t "_blank" </w:instrText>
      </w:r>
      <w:r>
        <w:fldChar w:fldCharType="separate"/>
      </w:r>
      <w:r>
        <w:t>审核</w:t>
      </w:r>
      <w:r>
        <w:fldChar w:fldCharType="end"/>
      </w:r>
      <w:r>
        <w:t>（核销）的采购发票和外购</w:t>
      </w:r>
      <w:r>
        <w:fldChar w:fldCharType="begin"/>
      </w:r>
      <w:r>
        <w:instrText xml:space="preserve"> HYPERLINK "http://baike.so.com/doc/6137317.html" \t "_blank" </w:instrText>
      </w:r>
      <w:r>
        <w:fldChar w:fldCharType="separate"/>
      </w:r>
      <w:r>
        <w:t>入库单</w:t>
      </w:r>
      <w:r>
        <w:fldChar w:fldCharType="end"/>
      </w:r>
      <w:r>
        <w:t xml:space="preserve">，进行外购入库核算和凭证处理。接收仓存系统所有的出入库单据，进行出入库金额核算和凭证处理。 </w:t>
      </w:r>
      <w:r>
        <w:rPr>
          <w:rFonts w:hint="eastAsia"/>
        </w:rPr>
        <w:t xml:space="preserve">        </w:t>
      </w:r>
    </w:p>
    <w:p>
      <w:pPr>
        <w:pStyle w:val="92"/>
      </w:pPr>
      <w:r>
        <w:t>接收销售系统产生的已审核（核销）的销售</w:t>
      </w:r>
      <w:r>
        <w:fldChar w:fldCharType="begin"/>
      </w:r>
      <w:r>
        <w:instrText xml:space="preserve"> HYPERLINK "http://baike.so.com/doc/3706577.html" \t "_blank" </w:instrText>
      </w:r>
      <w:r>
        <w:fldChar w:fldCharType="separate"/>
      </w:r>
      <w:r>
        <w:t>发票</w:t>
      </w:r>
      <w:r>
        <w:fldChar w:fldCharType="end"/>
      </w:r>
      <w:r>
        <w:t>和销售出库单，进行销售出库核算和销售收入、销售成本凭证处理。核算系统将材料出库核算的结果传递给成本系统，成本系统将计算出的半成品、产成品入库成本传递到</w:t>
      </w:r>
      <w:r>
        <w:rPr>
          <w:rFonts w:hint="eastAsia"/>
        </w:rPr>
        <w:t>总账</w:t>
      </w:r>
      <w:r>
        <w:fldChar w:fldCharType="begin"/>
      </w:r>
      <w:r>
        <w:instrText xml:space="preserve"> HYPERLINK "http://baike.so.com/doc/5402991.html" \t "_blank" </w:instrText>
      </w:r>
      <w:r>
        <w:fldChar w:fldCharType="separate"/>
      </w:r>
      <w:r>
        <w:t>系统</w:t>
      </w:r>
      <w:r>
        <w:fldChar w:fldCharType="end"/>
      </w:r>
      <w:r>
        <w:t>，进行半成品、产成品出库核算。</w:t>
      </w:r>
    </w:p>
    <w:p>
      <w:pPr>
        <w:pStyle w:val="92"/>
      </w:pPr>
      <w:r>
        <w:t>应计入外购入库成本的采购费用（运费、装卸费等）生成其他应付单传递到应付系统。应计入委外加工入库成本的加工费生成其他应付单传递到应付系统。核算系统生成的凭证传递到总账系统。</w:t>
      </w:r>
    </w:p>
    <w:p>
      <w:pPr>
        <w:pStyle w:val="92"/>
      </w:pPr>
      <w:r>
        <w:rPr>
          <w:rFonts w:hint="eastAsia"/>
        </w:rPr>
        <w:t>2.10预算报销（网上报销）</w:t>
      </w:r>
    </w:p>
    <w:p>
      <w:pPr>
        <w:pStyle w:val="92"/>
      </w:pPr>
      <w:r>
        <w:t>是基于Internet的财务报销流程。在这一流程下，员工可以在任何时间、从</w:t>
      </w:r>
      <w:r>
        <w:rPr>
          <w:rFonts w:hint="eastAsia"/>
        </w:rPr>
        <w:t>登录</w:t>
      </w:r>
      <w:r>
        <w:t>地点提交财务报销申请，领导可用数字签名的方式进行业务审批，财务部门对原始凭证审核无误后，自动生成记账凭证，并可以通过网上银行进行支付。</w:t>
      </w:r>
    </w:p>
    <w:p>
      <w:pPr>
        <w:pStyle w:val="92"/>
      </w:pPr>
      <w:r>
        <w:rPr>
          <w:rFonts w:hint="eastAsia"/>
        </w:rPr>
        <w:t>2.10.1</w:t>
      </w:r>
      <w:r>
        <w:t>统一规范预算</w:t>
      </w:r>
      <w:r>
        <w:rPr>
          <w:rFonts w:hint="eastAsia"/>
        </w:rPr>
        <w:t>管理</w:t>
      </w:r>
      <w:r>
        <w:t>制度，为预算管理措施得以有效实施提供基础平台，提高会计信息质量。</w:t>
      </w:r>
    </w:p>
    <w:p>
      <w:pPr>
        <w:pStyle w:val="92"/>
      </w:pPr>
      <w:r>
        <w:rPr>
          <w:rFonts w:hint="eastAsia"/>
        </w:rPr>
        <w:t>2.10.</w:t>
      </w:r>
      <w:r>
        <w:t>2财务业务数据有效结合，加强部门之间信息沟通，控制费用支出合理性，严格执行预算情况控制，</w:t>
      </w:r>
      <w:r>
        <w:rPr>
          <w:rFonts w:hint="eastAsia"/>
        </w:rPr>
        <w:t>实现</w:t>
      </w:r>
      <w:r>
        <w:t>管理协调统一。</w:t>
      </w:r>
    </w:p>
    <w:p>
      <w:pPr>
        <w:pStyle w:val="92"/>
      </w:pPr>
      <w:r>
        <w:rPr>
          <w:rFonts w:hint="eastAsia"/>
        </w:rPr>
        <w:t>2.10.</w:t>
      </w:r>
      <w:r>
        <w:t>3</w:t>
      </w:r>
      <w:r>
        <w:rPr>
          <w:rFonts w:hint="eastAsia"/>
        </w:rPr>
        <w:t>实现</w:t>
      </w:r>
      <w:r>
        <w:t>全程实时费用动态监管，掌握费用支出流向，真正实现</w:t>
      </w:r>
      <w:r>
        <w:rPr>
          <w:rFonts w:hint="eastAsia"/>
        </w:rPr>
        <w:t>“</w:t>
      </w:r>
      <w:r>
        <w:t>事前预算控制，事中财务核算，事后报表分析</w:t>
      </w:r>
      <w:r>
        <w:rPr>
          <w:rFonts w:hint="eastAsia"/>
        </w:rPr>
        <w:t>”</w:t>
      </w:r>
      <w:r>
        <w:t>。</w:t>
      </w:r>
    </w:p>
    <w:p>
      <w:pPr>
        <w:pStyle w:val="92"/>
      </w:pPr>
      <w:r>
        <w:rPr>
          <w:rFonts w:hint="eastAsia"/>
        </w:rPr>
        <w:t>2.10.</w:t>
      </w:r>
      <w:r>
        <w:t>4提供动态的预算执行控制和预警机制，</w:t>
      </w:r>
      <w:r>
        <w:rPr>
          <w:rFonts w:hint="eastAsia"/>
        </w:rPr>
        <w:t>满足集团及部门</w:t>
      </w:r>
      <w:r>
        <w:t>领导监督</w:t>
      </w:r>
      <w:r>
        <w:rPr>
          <w:rFonts w:hint="eastAsia"/>
        </w:rPr>
        <w:t>预算</w:t>
      </w:r>
      <w:r>
        <w:t>执行情况。</w:t>
      </w:r>
    </w:p>
    <w:p>
      <w:pPr>
        <w:pStyle w:val="5"/>
        <w:spacing w:before="120" w:after="120" w:line="377" w:lineRule="auto"/>
        <w:rPr>
          <w:rFonts w:ascii="Times New Roman" w:hAnsi="Times New Roman" w:eastAsia="宋体"/>
          <w:sz w:val="24"/>
        </w:rPr>
      </w:pPr>
      <w:r>
        <w:rPr>
          <w:rFonts w:hint="eastAsia" w:ascii="Times New Roman" w:hAnsi="Times New Roman" w:eastAsia="宋体"/>
          <w:sz w:val="24"/>
        </w:rPr>
        <w:t>3.产品供货、实施服务</w:t>
      </w:r>
    </w:p>
    <w:p>
      <w:pPr>
        <w:pStyle w:val="92"/>
        <w:ind w:left="360" w:firstLine="0" w:firstLineChars="0"/>
      </w:pPr>
      <w:r>
        <w:rPr>
          <w:rFonts w:hint="eastAsia"/>
        </w:rPr>
        <w:t>供货商应30天内完成系统安装、调试、实施过程；</w:t>
      </w:r>
    </w:p>
    <w:p>
      <w:pPr>
        <w:pStyle w:val="92"/>
        <w:ind w:left="360" w:firstLine="0" w:firstLineChars="0"/>
      </w:pPr>
      <w:r>
        <w:rPr>
          <w:rFonts w:hint="eastAsia"/>
        </w:rPr>
        <w:t>提供人员培训服务（18人）；</w:t>
      </w:r>
    </w:p>
    <w:p>
      <w:pPr>
        <w:pStyle w:val="92"/>
        <w:ind w:left="360" w:firstLine="0" w:firstLineChars="0"/>
      </w:pPr>
      <w:r>
        <w:rPr>
          <w:rFonts w:hint="eastAsia"/>
        </w:rPr>
        <w:t>系统软、硬件配置方案；</w:t>
      </w:r>
    </w:p>
    <w:p>
      <w:pPr>
        <w:pStyle w:val="92"/>
        <w:ind w:left="360" w:firstLine="0" w:firstLineChars="0"/>
      </w:pPr>
      <w:r>
        <w:rPr>
          <w:rFonts w:hint="eastAsia"/>
        </w:rPr>
        <w:t>人员配置实施方案；</w:t>
      </w:r>
    </w:p>
    <w:p>
      <w:pPr>
        <w:pStyle w:val="92"/>
        <w:ind w:left="360" w:firstLine="0" w:firstLineChars="0"/>
      </w:pPr>
      <w:r>
        <w:rPr>
          <w:rFonts w:hint="eastAsia"/>
        </w:rPr>
        <w:t>日常数据备份维护方案；</w:t>
      </w:r>
    </w:p>
    <w:p>
      <w:pPr>
        <w:pStyle w:val="92"/>
        <w:ind w:left="360" w:firstLine="0" w:firstLineChars="0"/>
      </w:pPr>
      <w:r>
        <w:rPr>
          <w:rFonts w:hint="eastAsia"/>
        </w:rPr>
        <w:t>2年内工作日无限次上门售后技术支持；</w:t>
      </w:r>
    </w:p>
    <w:p>
      <w:pPr>
        <w:pStyle w:val="92"/>
        <w:ind w:left="360" w:firstLine="0" w:firstLineChars="0"/>
      </w:pPr>
      <w:r>
        <w:rPr>
          <w:rFonts w:hint="eastAsia"/>
        </w:rPr>
        <w:t>工作日8：00-17：00随时电话技术支持；</w:t>
      </w:r>
    </w:p>
    <w:p>
      <w:pPr>
        <w:pStyle w:val="5"/>
        <w:spacing w:before="120" w:after="120" w:line="377" w:lineRule="auto"/>
        <w:rPr>
          <w:rFonts w:ascii="Times New Roman" w:hAnsi="Times New Roman" w:eastAsia="宋体"/>
          <w:sz w:val="24"/>
        </w:rPr>
      </w:pPr>
      <w:r>
        <w:rPr>
          <w:rFonts w:hint="eastAsia" w:ascii="Times New Roman" w:hAnsi="Times New Roman" w:eastAsia="宋体"/>
          <w:sz w:val="24"/>
        </w:rPr>
        <w:t>4.验收方式</w:t>
      </w:r>
    </w:p>
    <w:p>
      <w:pPr>
        <w:spacing w:line="360" w:lineRule="auto"/>
        <w:ind w:firstLine="480" w:firstLineChars="200"/>
        <w:rPr>
          <w:rFonts w:ascii="宋体" w:hAnsi="宋体"/>
          <w:bCs/>
          <w:szCs w:val="21"/>
        </w:rPr>
      </w:pPr>
      <w:r>
        <w:rPr>
          <w:rFonts w:hint="eastAsia" w:ascii="宋体" w:hAnsi="宋体"/>
          <w:bCs/>
          <w:szCs w:val="21"/>
        </w:rPr>
        <w:t>检验依据:招标文件、投标文件，上述标准若有不一致时，以较高标准为准。</w:t>
      </w:r>
    </w:p>
    <w:p>
      <w:pPr>
        <w:spacing w:line="360" w:lineRule="auto"/>
        <w:ind w:firstLine="480" w:firstLineChars="200"/>
        <w:rPr>
          <w:rFonts w:ascii="宋体" w:hAnsi="宋体"/>
          <w:bCs/>
          <w:szCs w:val="21"/>
        </w:rPr>
      </w:pPr>
      <w:r>
        <w:rPr>
          <w:rFonts w:hint="eastAsia" w:ascii="宋体" w:hAnsi="宋体"/>
          <w:bCs/>
          <w:szCs w:val="21"/>
        </w:rPr>
        <w:t>中标供应商应根据采购人需求，对未满足要求部份及时做出调整。</w:t>
      </w:r>
    </w:p>
    <w:p>
      <w:pPr>
        <w:spacing w:line="360" w:lineRule="auto"/>
        <w:ind w:firstLine="480" w:firstLineChars="200"/>
        <w:rPr>
          <w:rFonts w:ascii="宋体" w:hAnsi="宋体"/>
          <w:bCs/>
          <w:szCs w:val="21"/>
        </w:rPr>
      </w:pPr>
      <w:r>
        <w:rPr>
          <w:rFonts w:hint="eastAsia" w:ascii="宋体" w:hAnsi="宋体"/>
          <w:bCs/>
          <w:szCs w:val="21"/>
        </w:rPr>
        <w:t>中标供应商提供服务内容的标准及技术规范等有关资料必须符合国家相应的有关标准、规范要求。</w:t>
      </w:r>
    </w:p>
    <w:p>
      <w:pPr>
        <w:spacing w:line="360" w:lineRule="auto"/>
        <w:ind w:firstLine="480" w:firstLineChars="200"/>
        <w:rPr>
          <w:rFonts w:ascii="宋体" w:hAnsi="宋体"/>
          <w:bCs/>
          <w:szCs w:val="21"/>
        </w:rPr>
      </w:pPr>
      <w:r>
        <w:rPr>
          <w:rFonts w:hint="eastAsia" w:ascii="宋体" w:hAnsi="宋体"/>
          <w:bCs/>
          <w:szCs w:val="21"/>
        </w:rPr>
        <w:t>服务期限满后，由采购单位接收人对服务期间的系统维护情况进行签字确认，完成最终验收。</w:t>
      </w:r>
    </w:p>
    <w:p>
      <w:pPr>
        <w:pStyle w:val="92"/>
      </w:pPr>
      <w:r>
        <w:rPr>
          <w:rFonts w:hint="eastAsia" w:ascii="宋体" w:hAnsi="宋体"/>
          <w:bCs/>
          <w:szCs w:val="21"/>
        </w:rPr>
        <w:t>验收所发生的一切费用由中标人承担。</w:t>
      </w:r>
      <w:r>
        <w:rPr>
          <w:rFonts w:hint="eastAsia"/>
        </w:rPr>
        <w:t xml:space="preserve"> </w:t>
      </w:r>
    </w:p>
    <w:p>
      <w:pPr>
        <w:pStyle w:val="5"/>
        <w:spacing w:before="120" w:after="120" w:line="377" w:lineRule="auto"/>
        <w:rPr>
          <w:rFonts w:ascii="Times New Roman" w:hAnsi="Times New Roman" w:eastAsia="宋体"/>
          <w:sz w:val="24"/>
        </w:rPr>
      </w:pPr>
      <w:r>
        <w:rPr>
          <w:rFonts w:hint="eastAsia" w:ascii="Times New Roman" w:hAnsi="Times New Roman" w:eastAsia="宋体"/>
          <w:sz w:val="24"/>
        </w:rPr>
        <w:t>5.付款方式</w:t>
      </w:r>
    </w:p>
    <w:p>
      <w:pPr>
        <w:adjustRightInd/>
        <w:jc w:val="both"/>
        <w:textAlignment w:val="auto"/>
        <w:rPr>
          <w:kern w:val="2"/>
        </w:rPr>
      </w:pPr>
      <w:r>
        <w:rPr>
          <w:rFonts w:hint="eastAsia" w:ascii="宋体" w:hAnsi="宋体"/>
          <w:szCs w:val="21"/>
        </w:rPr>
        <w:t>项目验收合格后支付</w:t>
      </w:r>
      <w:r>
        <w:rPr>
          <w:rFonts w:ascii="宋体" w:hAnsi="宋体"/>
          <w:szCs w:val="21"/>
        </w:rPr>
        <w:t>90%</w:t>
      </w:r>
      <w:r>
        <w:rPr>
          <w:rFonts w:hint="eastAsia" w:ascii="宋体" w:hAnsi="宋体"/>
          <w:szCs w:val="21"/>
        </w:rPr>
        <w:t>合同款，余款在验收合格之日起满一年后无息支付。</w:t>
      </w:r>
      <w:bookmarkStart w:id="85" w:name="_Toc491372360"/>
      <w:bookmarkStart w:id="86" w:name="_Toc477456212"/>
    </w:p>
    <w:p>
      <w:pPr>
        <w:pStyle w:val="3"/>
        <w:adjustRightInd/>
        <w:spacing w:line="415" w:lineRule="auto"/>
        <w:jc w:val="both"/>
        <w:textAlignment w:val="auto"/>
        <w:rPr>
          <w:rFonts w:ascii="Times New Roman" w:hAnsi="Times New Roman" w:eastAsia="宋体"/>
          <w:kern w:val="2"/>
        </w:rPr>
      </w:pPr>
    </w:p>
    <w:p>
      <w:pPr>
        <w:pStyle w:val="3"/>
        <w:adjustRightInd/>
        <w:spacing w:line="415" w:lineRule="auto"/>
        <w:jc w:val="both"/>
        <w:textAlignment w:val="auto"/>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pStyle w:val="3"/>
        <w:adjustRightInd/>
        <w:spacing w:line="415" w:lineRule="auto"/>
        <w:jc w:val="center"/>
        <w:textAlignment w:val="auto"/>
        <w:rPr>
          <w:rFonts w:ascii="Times New Roman" w:hAnsi="Times New Roman" w:eastAsia="宋体"/>
          <w:kern w:val="2"/>
        </w:rPr>
      </w:pPr>
      <w:r>
        <w:rPr>
          <w:rFonts w:ascii="Times New Roman" w:hAnsi="Times New Roman" w:eastAsia="宋体"/>
          <w:kern w:val="2"/>
        </w:rPr>
        <w:t xml:space="preserve">第六部分  </w:t>
      </w:r>
      <w:bookmarkStart w:id="87" w:name="响应文件格式"/>
      <w:bookmarkStart w:id="88" w:name="_Toc86202632"/>
      <w:r>
        <w:rPr>
          <w:rFonts w:ascii="Times New Roman" w:hAnsi="Times New Roman" w:eastAsia="宋体"/>
          <w:kern w:val="2"/>
        </w:rPr>
        <w:t>响应文件格式</w:t>
      </w:r>
      <w:bookmarkEnd w:id="85"/>
      <w:bookmarkEnd w:id="86"/>
      <w:bookmarkEnd w:id="87"/>
      <w:bookmarkEnd w:id="88"/>
    </w:p>
    <w:p>
      <w:pPr>
        <w:pStyle w:val="4"/>
        <w:numPr>
          <w:ilvl w:val="0"/>
          <w:numId w:val="34"/>
        </w:numPr>
        <w:adjustRightInd/>
        <w:spacing w:line="415" w:lineRule="auto"/>
        <w:jc w:val="both"/>
        <w:textAlignment w:val="auto"/>
        <w:rPr>
          <w:kern w:val="2"/>
        </w:rPr>
      </w:pPr>
      <w:bookmarkStart w:id="89" w:name="_Toc86202633"/>
      <w:bookmarkStart w:id="90" w:name="_Toc491372361"/>
      <w:r>
        <w:rPr>
          <w:kern w:val="2"/>
        </w:rPr>
        <w:t>响应人提交文件须知</w:t>
      </w:r>
      <w:bookmarkEnd w:id="89"/>
      <w:bookmarkEnd w:id="90"/>
    </w:p>
    <w:p>
      <w:pPr>
        <w:numPr>
          <w:ilvl w:val="0"/>
          <w:numId w:val="35"/>
        </w:numPr>
        <w:spacing w:line="400" w:lineRule="exact"/>
        <w:textAlignment w:val="auto"/>
        <w:rPr>
          <w:sz w:val="21"/>
          <w:szCs w:val="21"/>
        </w:rPr>
      </w:pPr>
      <w:r>
        <w:rPr>
          <w:sz w:val="21"/>
          <w:szCs w:val="21"/>
        </w:rPr>
        <w:t>响应人应严格按照以下顺序填写和提交下述规定的全部格式文件以及其他有关资料，混乱的编排导致响应文件被误读或查找不到，后果由响应人承担。</w:t>
      </w:r>
    </w:p>
    <w:p>
      <w:pPr>
        <w:numPr>
          <w:ilvl w:val="0"/>
          <w:numId w:val="35"/>
        </w:numPr>
        <w:spacing w:line="400" w:lineRule="exact"/>
        <w:textAlignment w:val="auto"/>
        <w:rPr>
          <w:sz w:val="21"/>
          <w:szCs w:val="21"/>
        </w:rPr>
      </w:pPr>
      <w:r>
        <w:rPr>
          <w:sz w:val="21"/>
          <w:szCs w:val="21"/>
        </w:rPr>
        <w:t>所附表格中要求回答的全部问题和信息都必须正面回答。</w:t>
      </w:r>
    </w:p>
    <w:p>
      <w:pPr>
        <w:numPr>
          <w:ilvl w:val="0"/>
          <w:numId w:val="35"/>
        </w:numPr>
        <w:spacing w:line="400" w:lineRule="exact"/>
        <w:textAlignment w:val="auto"/>
        <w:rPr>
          <w:sz w:val="21"/>
          <w:szCs w:val="21"/>
        </w:rPr>
      </w:pPr>
      <w:r>
        <w:rPr>
          <w:sz w:val="21"/>
          <w:szCs w:val="21"/>
        </w:rPr>
        <w:t>本资格声明的签字人应保证全部声明和问题的回答是真实的和准确的。</w:t>
      </w:r>
    </w:p>
    <w:p>
      <w:pPr>
        <w:numPr>
          <w:ilvl w:val="0"/>
          <w:numId w:val="35"/>
        </w:numPr>
        <w:spacing w:line="400" w:lineRule="exact"/>
        <w:textAlignment w:val="auto"/>
        <w:rPr>
          <w:sz w:val="21"/>
          <w:szCs w:val="21"/>
        </w:rPr>
      </w:pPr>
      <w:r>
        <w:rPr>
          <w:sz w:val="21"/>
          <w:szCs w:val="21"/>
        </w:rPr>
        <w:t>磋商小组将应用响应人提交的资料并根据自己的判断，决定响应人履行合同的合格性及能力。</w:t>
      </w:r>
    </w:p>
    <w:p>
      <w:pPr>
        <w:numPr>
          <w:ilvl w:val="0"/>
          <w:numId w:val="35"/>
        </w:numPr>
        <w:spacing w:line="400" w:lineRule="exact"/>
        <w:textAlignment w:val="auto"/>
        <w:rPr>
          <w:sz w:val="21"/>
          <w:szCs w:val="21"/>
        </w:rPr>
      </w:pPr>
      <w:r>
        <w:rPr>
          <w:sz w:val="21"/>
          <w:szCs w:val="21"/>
        </w:rPr>
        <w:t>响应人提交的材料将被保密保存，但不退还。</w:t>
      </w:r>
    </w:p>
    <w:p>
      <w:pPr>
        <w:numPr>
          <w:ilvl w:val="0"/>
          <w:numId w:val="35"/>
        </w:numPr>
        <w:spacing w:line="400" w:lineRule="exact"/>
        <w:textAlignment w:val="auto"/>
        <w:rPr>
          <w:sz w:val="21"/>
          <w:szCs w:val="21"/>
        </w:rPr>
      </w:pPr>
      <w:r>
        <w:rPr>
          <w:sz w:val="21"/>
          <w:szCs w:val="21"/>
        </w:rPr>
        <w:t>全部文件应按响应人须知中规定的语言和份数提交。</w:t>
      </w:r>
    </w:p>
    <w:p>
      <w:pPr>
        <w:numPr>
          <w:ilvl w:val="0"/>
          <w:numId w:val="35"/>
        </w:numPr>
        <w:spacing w:line="400" w:lineRule="exact"/>
        <w:textAlignment w:val="auto"/>
        <w:rPr>
          <w:sz w:val="21"/>
          <w:szCs w:val="21"/>
        </w:rPr>
      </w:pPr>
      <w:r>
        <w:rPr>
          <w:rFonts w:hint="eastAsia"/>
          <w:sz w:val="21"/>
          <w:szCs w:val="21"/>
        </w:rPr>
        <w:t>采购人将保留对谈判供应商提供的全部资料进行核实的权利，一旦发现供应商存在弄虚作假、捏造事实等情况，不仅该供应商的谈判将被拒绝，而且将被提请有关部门按照政府采购相关规定进行处理。</w:t>
      </w:r>
    </w:p>
    <w:p>
      <w:pPr>
        <w:numPr>
          <w:ilvl w:val="0"/>
          <w:numId w:val="35"/>
        </w:numPr>
        <w:spacing w:line="400" w:lineRule="exact"/>
        <w:textAlignment w:val="auto"/>
        <w:rPr>
          <w:b/>
          <w:sz w:val="21"/>
          <w:szCs w:val="21"/>
        </w:rPr>
      </w:pPr>
      <w:r>
        <w:rPr>
          <w:rFonts w:hint="eastAsia"/>
          <w:b/>
          <w:sz w:val="21"/>
          <w:szCs w:val="21"/>
        </w:rPr>
        <w:t>磋商文件中加“*”的项目为必须响应项，若有实质性修改或非实质性响应，将导致响应被拒绝且不允许在响应截止后补正，请各位响应人务必按照磋商文件要求准备响应文件。</w:t>
      </w:r>
    </w:p>
    <w:p>
      <w:pPr>
        <w:pStyle w:val="4"/>
        <w:numPr>
          <w:ilvl w:val="0"/>
          <w:numId w:val="34"/>
        </w:numPr>
        <w:adjustRightInd/>
        <w:spacing w:line="415" w:lineRule="auto"/>
        <w:jc w:val="both"/>
        <w:textAlignment w:val="auto"/>
        <w:rPr>
          <w:kern w:val="2"/>
        </w:rPr>
      </w:pPr>
      <w:r>
        <w:rPr>
          <w:kern w:val="2"/>
        </w:rPr>
        <w:br w:type="page"/>
      </w:r>
      <w:bookmarkStart w:id="91" w:name="_Toc491372362"/>
      <w:r>
        <w:rPr>
          <w:kern w:val="2"/>
        </w:rPr>
        <w:t>响应文件顺序</w:t>
      </w:r>
      <w:bookmarkEnd w:id="91"/>
    </w:p>
    <w:p>
      <w:pPr>
        <w:pStyle w:val="92"/>
      </w:pPr>
      <w:r>
        <w:t>响应人应严格按照本部分约定的顺序填写和提交规定的全部格式文件以及其他有关资料，混乱的编排导致磋商文件被误读或查找不到，后果由响应人承担。</w:t>
      </w:r>
    </w:p>
    <w:p>
      <w:pPr>
        <w:pStyle w:val="92"/>
        <w:numPr>
          <w:ilvl w:val="255"/>
          <w:numId w:val="0"/>
        </w:numPr>
        <w:ind w:left="240"/>
      </w:pPr>
      <w:r>
        <w:rPr>
          <w:rFonts w:hint="eastAsia"/>
          <w:b/>
          <w:bCs/>
          <w:lang w:val="en-US" w:eastAsia="zh-CN"/>
        </w:rPr>
        <w:t>1、</w:t>
      </w:r>
      <w:r>
        <w:t>响应确认函</w:t>
      </w:r>
      <w:r>
        <w:rPr>
          <w:rFonts w:hint="eastAsia"/>
        </w:rPr>
        <w:t>；</w:t>
      </w:r>
    </w:p>
    <w:p>
      <w:pPr>
        <w:pStyle w:val="92"/>
        <w:numPr>
          <w:ilvl w:val="255"/>
          <w:numId w:val="0"/>
        </w:numPr>
        <w:ind w:left="240"/>
        <w:rPr>
          <w:b/>
        </w:rPr>
      </w:pPr>
      <w:r>
        <w:rPr>
          <w:rFonts w:hint="eastAsia"/>
          <w:b/>
          <w:lang w:val="en-US" w:eastAsia="zh-CN"/>
        </w:rPr>
        <w:t>2</w:t>
      </w:r>
      <w:r>
        <w:rPr>
          <w:rFonts w:hint="eastAsia"/>
          <w:b/>
        </w:rPr>
        <w:t>、</w:t>
      </w:r>
      <w:r>
        <w:rPr>
          <w:b/>
        </w:rPr>
        <w:t>* 承诺函；</w:t>
      </w:r>
    </w:p>
    <w:p>
      <w:pPr>
        <w:pStyle w:val="92"/>
        <w:numPr>
          <w:ilvl w:val="255"/>
          <w:numId w:val="0"/>
        </w:numPr>
        <w:ind w:left="240"/>
        <w:rPr>
          <w:b/>
        </w:rPr>
      </w:pPr>
      <w:r>
        <w:rPr>
          <w:rFonts w:hint="eastAsia"/>
          <w:b/>
          <w:lang w:val="en-US" w:eastAsia="zh-CN"/>
        </w:rPr>
        <w:t>3</w:t>
      </w:r>
      <w:r>
        <w:rPr>
          <w:rFonts w:hint="eastAsia"/>
          <w:b/>
        </w:rPr>
        <w:t>、</w:t>
      </w:r>
      <w:r>
        <w:rPr>
          <w:b/>
        </w:rPr>
        <w:t>* 法定代表人授权委托书；</w:t>
      </w:r>
    </w:p>
    <w:p>
      <w:pPr>
        <w:pStyle w:val="92"/>
        <w:numPr>
          <w:ilvl w:val="255"/>
          <w:numId w:val="0"/>
        </w:numPr>
        <w:ind w:left="240"/>
        <w:rPr>
          <w:b/>
        </w:rPr>
      </w:pPr>
      <w:r>
        <w:rPr>
          <w:rFonts w:hint="eastAsia"/>
          <w:b/>
          <w:lang w:val="en-US" w:eastAsia="zh-CN"/>
        </w:rPr>
        <w:t>4</w:t>
      </w:r>
      <w:r>
        <w:rPr>
          <w:rFonts w:hint="eastAsia"/>
          <w:b/>
        </w:rPr>
        <w:t>、</w:t>
      </w:r>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r>
        <w:rPr>
          <w:b/>
        </w:rPr>
        <w:t>；</w:t>
      </w:r>
    </w:p>
    <w:p>
      <w:pPr>
        <w:pStyle w:val="92"/>
        <w:numPr>
          <w:ilvl w:val="255"/>
          <w:numId w:val="0"/>
        </w:numPr>
        <w:ind w:left="240"/>
        <w:rPr>
          <w:b/>
        </w:rPr>
      </w:pPr>
      <w:r>
        <w:rPr>
          <w:rFonts w:hint="eastAsia"/>
          <w:b/>
          <w:lang w:val="en-US" w:eastAsia="zh-CN"/>
        </w:rPr>
        <w:t>5</w:t>
      </w:r>
      <w:r>
        <w:rPr>
          <w:rFonts w:hint="eastAsia"/>
          <w:b/>
        </w:rPr>
        <w:t>、* 按照“</w:t>
      </w:r>
      <w:r>
        <w:fldChar w:fldCharType="begin"/>
      </w:r>
      <w:r>
        <w:instrText xml:space="preserve"> REF 响应人（或响应产品）资质要求 \h  \* MERGEFORMAT </w:instrText>
      </w:r>
      <w:r>
        <w:fldChar w:fldCharType="separate"/>
      </w:r>
      <w:r>
        <w:rPr>
          <w:b/>
          <w:bCs/>
          <w:szCs w:val="21"/>
        </w:rPr>
        <w:t>响应人（或响应产品）资质要求</w:t>
      </w:r>
      <w:r>
        <w:rPr>
          <w:b/>
          <w:bCs/>
          <w:szCs w:val="21"/>
        </w:rPr>
        <w:fldChar w:fldCharType="end"/>
      </w:r>
      <w:r>
        <w:rPr>
          <w:rFonts w:hint="eastAsia"/>
          <w:b/>
        </w:rPr>
        <w:t>”需提供的材料；</w:t>
      </w:r>
    </w:p>
    <w:p>
      <w:pPr>
        <w:pStyle w:val="92"/>
        <w:numPr>
          <w:ilvl w:val="255"/>
          <w:numId w:val="0"/>
        </w:numPr>
        <w:ind w:left="240"/>
        <w:rPr>
          <w:b/>
        </w:rPr>
      </w:pPr>
      <w:r>
        <w:rPr>
          <w:rFonts w:hint="eastAsia"/>
          <w:b/>
          <w:lang w:val="en-US" w:eastAsia="zh-CN"/>
        </w:rPr>
        <w:t>6</w:t>
      </w:r>
      <w:r>
        <w:rPr>
          <w:rFonts w:hint="eastAsia"/>
          <w:b/>
        </w:rPr>
        <w:t>、</w:t>
      </w:r>
      <w:r>
        <w:rPr>
          <w:b/>
        </w:rPr>
        <w:t>* 按照“</w:t>
      </w:r>
      <w:r>
        <w:fldChar w:fldCharType="begin"/>
      </w:r>
      <w:r>
        <w:instrText xml:space="preserve"> REF 代理要求对应证书 \h  \* MERGEFORMAT </w:instrText>
      </w:r>
      <w:r>
        <w:fldChar w:fldCharType="separate"/>
      </w:r>
      <w:r>
        <w:rPr>
          <w:b/>
          <w:szCs w:val="21"/>
        </w:rPr>
        <w:t>代理商应提交资料</w:t>
      </w:r>
      <w:r>
        <w:rPr>
          <w:b/>
          <w:szCs w:val="21"/>
        </w:rPr>
        <w:fldChar w:fldCharType="end"/>
      </w:r>
      <w:r>
        <w:rPr>
          <w:b/>
        </w:rPr>
        <w:t>”规定提交的相关证明文件；</w:t>
      </w:r>
    </w:p>
    <w:p>
      <w:pPr>
        <w:pStyle w:val="74"/>
        <w:numPr>
          <w:ilvl w:val="255"/>
          <w:numId w:val="0"/>
        </w:numPr>
        <w:ind w:left="240"/>
        <w:rPr>
          <w:rFonts w:ascii="宋体" w:hAnsi="宋体"/>
          <w:b/>
          <w:szCs w:val="22"/>
        </w:rPr>
      </w:pPr>
      <w:r>
        <w:rPr>
          <w:rFonts w:hint="eastAsia" w:ascii="宋体" w:hAnsi="宋体"/>
          <w:b/>
          <w:szCs w:val="22"/>
          <w:lang w:val="en-US" w:eastAsia="zh-CN"/>
        </w:rPr>
        <w:t>7</w:t>
      </w:r>
      <w:r>
        <w:rPr>
          <w:rFonts w:hint="eastAsia" w:ascii="宋体" w:hAnsi="宋体"/>
          <w:b/>
          <w:szCs w:val="22"/>
        </w:rPr>
        <w:t>、*</w:t>
      </w:r>
      <w:r>
        <w:rPr>
          <w:rFonts w:ascii="宋体" w:hAnsi="宋体"/>
          <w:b/>
          <w:szCs w:val="22"/>
        </w:rPr>
        <w:t xml:space="preserve"> </w:t>
      </w:r>
      <w:r>
        <w:rPr>
          <w:rFonts w:hint="eastAsia" w:ascii="宋体" w:hAnsi="宋体"/>
          <w:b/>
          <w:szCs w:val="22"/>
        </w:rPr>
        <w:t>提交参与采购活动前三年内在经营活动中没有重大违法记录的书面声明函；</w:t>
      </w:r>
    </w:p>
    <w:p>
      <w:pPr>
        <w:pStyle w:val="92"/>
        <w:numPr>
          <w:ilvl w:val="255"/>
          <w:numId w:val="0"/>
        </w:numPr>
        <w:ind w:left="240"/>
        <w:rPr>
          <w:b/>
        </w:rPr>
      </w:pPr>
      <w:r>
        <w:rPr>
          <w:rFonts w:hint="eastAsia"/>
          <w:b/>
          <w:lang w:val="en-US" w:eastAsia="zh-CN"/>
        </w:rPr>
        <w:t>8</w:t>
      </w:r>
      <w:r>
        <w:rPr>
          <w:rFonts w:hint="eastAsia"/>
          <w:b/>
        </w:rPr>
        <w:t>、* 近两年度任意一年度经会计师事务所审计的财务审计报告（需包含报告页及资产负债表、损益表（利润表）和现金流量表，复印件加盖报价人公章，部分其他组织和自然人及开业不满一年的没有经审计的财务报告，可以提供银行出具的资信证明）；</w:t>
      </w:r>
    </w:p>
    <w:p>
      <w:pPr>
        <w:pStyle w:val="92"/>
        <w:numPr>
          <w:ilvl w:val="255"/>
          <w:numId w:val="0"/>
        </w:numPr>
        <w:ind w:left="240"/>
        <w:rPr>
          <w:b/>
        </w:rPr>
      </w:pPr>
      <w:r>
        <w:rPr>
          <w:rFonts w:hint="eastAsia"/>
          <w:b/>
          <w:lang w:val="en-US" w:eastAsia="zh-CN"/>
        </w:rPr>
        <w:t>9</w:t>
      </w:r>
      <w:r>
        <w:rPr>
          <w:rFonts w:hint="eastAsia"/>
          <w:b/>
        </w:rPr>
        <w:t>、* 开标日前半年内不少于一个月缴纳税收 及 不少于三个月的社会保障资金的证明材料（缴纳凭证复印件或税务部门及社保中心开具的缴纳证明扫描件）；</w:t>
      </w:r>
    </w:p>
    <w:p>
      <w:pPr>
        <w:pStyle w:val="92"/>
        <w:numPr>
          <w:ilvl w:val="255"/>
          <w:numId w:val="0"/>
        </w:numPr>
        <w:ind w:left="240"/>
        <w:rPr>
          <w:b/>
        </w:rPr>
      </w:pPr>
      <w:r>
        <w:rPr>
          <w:rFonts w:hint="eastAsia"/>
          <w:b/>
          <w:lang w:val="en-US" w:eastAsia="zh-CN"/>
        </w:rPr>
        <w:t>10</w:t>
      </w:r>
      <w:r>
        <w:rPr>
          <w:rFonts w:hint="eastAsia"/>
          <w:b/>
        </w:rPr>
        <w:t>、* 信用信息查询记录及查询结果：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92"/>
        <w:ind w:left="240" w:firstLine="0" w:firstLineChars="0"/>
        <w:rPr>
          <w:b/>
        </w:rPr>
      </w:pPr>
      <w:r>
        <w:rPr>
          <w:rFonts w:hint="eastAsia"/>
          <w:b/>
        </w:rPr>
        <w:t>1</w:t>
      </w:r>
      <w:r>
        <w:rPr>
          <w:rFonts w:hint="eastAsia"/>
          <w:b/>
          <w:lang w:val="en-US" w:eastAsia="zh-CN"/>
        </w:rPr>
        <w:t>1</w:t>
      </w:r>
      <w:r>
        <w:rPr>
          <w:rFonts w:hint="eastAsia"/>
          <w:b/>
        </w:rPr>
        <w:t>、</w:t>
      </w:r>
      <w:r>
        <w:rPr>
          <w:b/>
        </w:rPr>
        <w:t>* 报价一览表</w:t>
      </w:r>
      <w:r>
        <w:rPr>
          <w:rFonts w:hint="eastAsia"/>
          <w:b/>
        </w:rPr>
        <w:t>，</w:t>
      </w:r>
      <w:r>
        <w:rPr>
          <w:b/>
        </w:rPr>
        <w:t>除装订在响应文件中外</w:t>
      </w:r>
      <w:r>
        <w:rPr>
          <w:rFonts w:hint="eastAsia"/>
          <w:b/>
        </w:rPr>
        <w:t>，</w:t>
      </w:r>
      <w:r>
        <w:rPr>
          <w:b/>
        </w:rPr>
        <w:t xml:space="preserve">还需要提供单独密封的报价一览表一份； </w:t>
      </w:r>
    </w:p>
    <w:p>
      <w:pPr>
        <w:pStyle w:val="94"/>
        <w:numPr>
          <w:ilvl w:val="255"/>
          <w:numId w:val="0"/>
        </w:numPr>
        <w:ind w:firstLine="210" w:firstLineChars="100"/>
        <w:rPr>
          <w:b/>
        </w:rPr>
      </w:pPr>
      <w:r>
        <w:rPr>
          <w:rFonts w:hint="eastAsia"/>
        </w:rPr>
        <w:t>1</w:t>
      </w:r>
      <w:r>
        <w:rPr>
          <w:rFonts w:hint="eastAsia"/>
          <w:lang w:val="en-US" w:eastAsia="zh-CN"/>
        </w:rPr>
        <w:t>2</w:t>
      </w:r>
      <w:r>
        <w:rPr>
          <w:rFonts w:hint="eastAsia"/>
        </w:rPr>
        <w:t>、</w:t>
      </w:r>
      <w:r>
        <w:fldChar w:fldCharType="begin"/>
      </w:r>
      <w:r>
        <w:instrText xml:space="preserve"> REF _Ref491368526 \h </w:instrText>
      </w:r>
      <w:r>
        <w:fldChar w:fldCharType="separate"/>
      </w:r>
      <w:r>
        <w:rPr>
          <w:rFonts w:hint="eastAsia"/>
        </w:rPr>
        <w:t>报价明细表；</w:t>
      </w:r>
      <w:r>
        <w:fldChar w:fldCharType="end"/>
      </w:r>
      <w:r>
        <w:t>见</w:t>
      </w:r>
      <w:r>
        <w:fldChar w:fldCharType="begin"/>
      </w:r>
      <w:r>
        <w:instrText xml:space="preserve"> REF _Ref491368545 \r \h </w:instrText>
      </w:r>
      <w:r>
        <w:fldChar w:fldCharType="separate"/>
      </w:r>
      <w:r>
        <w:rPr>
          <w:rFonts w:hint="eastAsia"/>
        </w:rPr>
        <w:t>附件7</w:t>
      </w:r>
      <w:r>
        <w:fldChar w:fldCharType="end"/>
      </w:r>
      <w:r>
        <w:rPr>
          <w:rFonts w:hint="eastAsia"/>
        </w:rPr>
        <w:t>；</w:t>
      </w:r>
    </w:p>
    <w:p>
      <w:pPr>
        <w:pStyle w:val="92"/>
        <w:numPr>
          <w:ilvl w:val="255"/>
          <w:numId w:val="0"/>
        </w:numPr>
        <w:ind w:firstLine="210" w:firstLineChars="100"/>
      </w:pPr>
      <w:r>
        <w:rPr>
          <w:rFonts w:hint="eastAsia"/>
        </w:rPr>
        <w:t>1</w:t>
      </w:r>
      <w:r>
        <w:rPr>
          <w:rFonts w:hint="eastAsia"/>
          <w:lang w:val="en-US" w:eastAsia="zh-CN"/>
        </w:rPr>
        <w:t>3</w:t>
      </w:r>
      <w:r>
        <w:rPr>
          <w:rFonts w:hint="eastAsia"/>
        </w:rPr>
        <w:t>、</w:t>
      </w:r>
      <w:r>
        <w:t xml:space="preserve">  业绩证明材料：（案例、合同介绍及相关证明材料）；</w:t>
      </w:r>
    </w:p>
    <w:p>
      <w:pPr>
        <w:pStyle w:val="92"/>
        <w:numPr>
          <w:ilvl w:val="255"/>
          <w:numId w:val="0"/>
        </w:numPr>
        <w:ind w:firstLine="210" w:firstLineChars="100"/>
      </w:pPr>
      <w:r>
        <w:rPr>
          <w:rFonts w:hint="eastAsia"/>
        </w:rPr>
        <w:t>1</w:t>
      </w:r>
      <w:r>
        <w:rPr>
          <w:rFonts w:hint="eastAsia"/>
          <w:lang w:val="en-US" w:eastAsia="zh-CN"/>
        </w:rPr>
        <w:t>4</w:t>
      </w:r>
      <w:r>
        <w:rPr>
          <w:rFonts w:hint="eastAsia"/>
        </w:rPr>
        <w:t>、</w:t>
      </w:r>
      <w:r>
        <w:t xml:space="preserve">  </w:t>
      </w:r>
      <w:r>
        <w:fldChar w:fldCharType="begin"/>
      </w:r>
      <w:r>
        <w:instrText xml:space="preserve"> REF _Ref477454981 \h  \* MERGEFORMAT </w:instrText>
      </w:r>
      <w:r>
        <w:fldChar w:fldCharType="separate"/>
      </w:r>
      <w:r>
        <w:t>商务条款偏离表</w:t>
      </w:r>
      <w:r>
        <w:fldChar w:fldCharType="end"/>
      </w:r>
      <w:r>
        <w:t>：见</w:t>
      </w:r>
      <w:r>
        <w:rPr>
          <w:rFonts w:hint="eastAsia"/>
        </w:rPr>
        <w:fldChar w:fldCharType="begin"/>
      </w:r>
      <w:r>
        <w:instrText xml:space="preserve"> REF _Ref477454981 \r \h  \* MERGEFORMAT </w:instrText>
      </w:r>
      <w:r>
        <w:rPr>
          <w:rFonts w:hint="eastAsia"/>
        </w:rPr>
        <w:fldChar w:fldCharType="separate"/>
      </w:r>
      <w:r>
        <w:rPr>
          <w:rFonts w:hint="eastAsia"/>
        </w:rPr>
        <w:t>附件5</w:t>
      </w:r>
      <w:r>
        <w:rPr>
          <w:rFonts w:hint="eastAsia"/>
        </w:rPr>
        <w:fldChar w:fldCharType="end"/>
      </w:r>
      <w:r>
        <w:t>；</w:t>
      </w:r>
    </w:p>
    <w:p>
      <w:pPr>
        <w:pStyle w:val="94"/>
        <w:numPr>
          <w:ilvl w:val="255"/>
          <w:numId w:val="0"/>
        </w:numPr>
        <w:ind w:firstLine="210" w:firstLineChars="100"/>
      </w:pPr>
      <w:r>
        <w:rPr>
          <w:rFonts w:hint="eastAsia"/>
          <w:szCs w:val="22"/>
        </w:rPr>
        <w:t>1</w:t>
      </w:r>
      <w:r>
        <w:rPr>
          <w:rFonts w:hint="eastAsia"/>
          <w:szCs w:val="22"/>
          <w:lang w:val="en-US" w:eastAsia="zh-CN"/>
        </w:rPr>
        <w:t>5</w:t>
      </w:r>
      <w:r>
        <w:rPr>
          <w:rFonts w:hint="eastAsia"/>
          <w:szCs w:val="22"/>
        </w:rPr>
        <w:t>、</w:t>
      </w:r>
      <w:r>
        <w:rPr>
          <w:szCs w:val="22"/>
        </w:rPr>
        <w:t>响应人认为需要提供的其他商务资料；</w:t>
      </w:r>
    </w:p>
    <w:p>
      <w:pPr>
        <w:pStyle w:val="94"/>
        <w:numPr>
          <w:ilvl w:val="255"/>
          <w:numId w:val="0"/>
        </w:numPr>
        <w:ind w:firstLine="210" w:firstLineChars="100"/>
      </w:pPr>
      <w:r>
        <w:rPr>
          <w:rFonts w:hint="eastAsia"/>
        </w:rPr>
        <w:t>1</w:t>
      </w:r>
      <w:r>
        <w:rPr>
          <w:rFonts w:hint="eastAsia"/>
          <w:lang w:val="en-US" w:eastAsia="zh-CN"/>
        </w:rPr>
        <w:t>6</w:t>
      </w:r>
      <w:r>
        <w:rPr>
          <w:rFonts w:hint="eastAsia"/>
        </w:rPr>
        <w:t>、</w:t>
      </w:r>
      <w:r>
        <w:t xml:space="preserve">  </w:t>
      </w:r>
      <w:r>
        <w:tab/>
      </w:r>
      <w:r>
        <w:t>响应人自行编写的技术文件，包括但不限于：</w:t>
      </w:r>
    </w:p>
    <w:p>
      <w:pPr>
        <w:numPr>
          <w:ilvl w:val="0"/>
          <w:numId w:val="36"/>
        </w:numPr>
        <w:spacing w:line="400" w:lineRule="exact"/>
        <w:textAlignment w:val="auto"/>
        <w:rPr>
          <w:sz w:val="21"/>
          <w:szCs w:val="21"/>
        </w:rPr>
      </w:pPr>
      <w:r>
        <w:rPr>
          <w:sz w:val="21"/>
          <w:szCs w:val="21"/>
        </w:rPr>
        <w:t>技术部分的点对点应答。应答内容应按照磋商文件技术部分需求中的要求进行应答（详见磋商文件技术部分）；</w:t>
      </w:r>
    </w:p>
    <w:p>
      <w:pPr>
        <w:numPr>
          <w:ilvl w:val="0"/>
          <w:numId w:val="36"/>
        </w:numPr>
        <w:spacing w:line="400" w:lineRule="exact"/>
        <w:textAlignment w:val="auto"/>
        <w:rPr>
          <w:sz w:val="21"/>
          <w:szCs w:val="21"/>
        </w:rPr>
      </w:pPr>
      <w:r>
        <w:rPr>
          <w:sz w:val="21"/>
          <w:szCs w:val="21"/>
        </w:rPr>
        <w:t>服务方案和项目时间安排；</w:t>
      </w:r>
    </w:p>
    <w:p>
      <w:pPr>
        <w:numPr>
          <w:ilvl w:val="0"/>
          <w:numId w:val="36"/>
        </w:numPr>
        <w:spacing w:line="400" w:lineRule="exact"/>
        <w:textAlignment w:val="auto"/>
        <w:rPr>
          <w:sz w:val="21"/>
          <w:szCs w:val="21"/>
        </w:rPr>
      </w:pPr>
      <w:r>
        <w:rPr>
          <w:sz w:val="21"/>
          <w:szCs w:val="21"/>
        </w:rPr>
        <w:t>项目参与人员简介；</w:t>
      </w:r>
    </w:p>
    <w:p>
      <w:pPr>
        <w:numPr>
          <w:ilvl w:val="0"/>
          <w:numId w:val="36"/>
        </w:numPr>
        <w:spacing w:line="400" w:lineRule="exact"/>
        <w:textAlignment w:val="auto"/>
        <w:rPr>
          <w:sz w:val="21"/>
          <w:szCs w:val="21"/>
        </w:rPr>
      </w:pPr>
      <w:r>
        <w:rPr>
          <w:sz w:val="21"/>
          <w:szCs w:val="21"/>
        </w:rPr>
        <w:t>技术规格响应；</w:t>
      </w:r>
    </w:p>
    <w:p>
      <w:pPr>
        <w:numPr>
          <w:ilvl w:val="0"/>
          <w:numId w:val="36"/>
        </w:numPr>
        <w:spacing w:line="400" w:lineRule="exact"/>
        <w:textAlignment w:val="auto"/>
        <w:rPr>
          <w:sz w:val="21"/>
          <w:szCs w:val="21"/>
        </w:rPr>
      </w:pPr>
      <w:r>
        <w:rPr>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pPr>
        <w:numPr>
          <w:ilvl w:val="0"/>
          <w:numId w:val="36"/>
        </w:numPr>
        <w:spacing w:line="400" w:lineRule="exact"/>
        <w:textAlignment w:val="auto"/>
        <w:rPr>
          <w:sz w:val="21"/>
          <w:szCs w:val="21"/>
        </w:rPr>
      </w:pPr>
      <w:r>
        <w:rPr>
          <w:sz w:val="21"/>
          <w:szCs w:val="21"/>
        </w:rPr>
        <w:t>服务网点、服务环境及路线；</w:t>
      </w:r>
    </w:p>
    <w:p>
      <w:pPr>
        <w:numPr>
          <w:ilvl w:val="0"/>
          <w:numId w:val="36"/>
        </w:numPr>
        <w:spacing w:line="400" w:lineRule="exact"/>
        <w:textAlignment w:val="auto"/>
        <w:rPr>
          <w:sz w:val="21"/>
          <w:szCs w:val="21"/>
        </w:rPr>
      </w:pPr>
      <w:r>
        <w:rPr>
          <w:sz w:val="21"/>
          <w:szCs w:val="21"/>
        </w:rPr>
        <w:t>项目组织实施保障方案；</w:t>
      </w:r>
    </w:p>
    <w:p>
      <w:pPr>
        <w:numPr>
          <w:ilvl w:val="0"/>
          <w:numId w:val="36"/>
        </w:numPr>
        <w:spacing w:line="400" w:lineRule="exact"/>
        <w:textAlignment w:val="auto"/>
        <w:rPr>
          <w:sz w:val="21"/>
          <w:szCs w:val="21"/>
        </w:rPr>
      </w:pPr>
      <w:r>
        <w:rPr>
          <w:sz w:val="21"/>
          <w:szCs w:val="21"/>
        </w:rPr>
        <w:t>应急预案；</w:t>
      </w:r>
    </w:p>
    <w:p>
      <w:pPr>
        <w:numPr>
          <w:ilvl w:val="0"/>
          <w:numId w:val="36"/>
        </w:numPr>
        <w:spacing w:line="400" w:lineRule="exact"/>
        <w:textAlignment w:val="auto"/>
        <w:rPr>
          <w:sz w:val="21"/>
          <w:szCs w:val="21"/>
        </w:rPr>
      </w:pPr>
      <w:r>
        <w:rPr>
          <w:sz w:val="21"/>
          <w:szCs w:val="21"/>
        </w:rPr>
        <w:t>其他需要说明的问题。</w:t>
      </w:r>
    </w:p>
    <w:p>
      <w:pPr>
        <w:pStyle w:val="94"/>
        <w:numPr>
          <w:ilvl w:val="255"/>
          <w:numId w:val="0"/>
        </w:numPr>
        <w:ind w:firstLine="210" w:firstLineChars="100"/>
      </w:pPr>
      <w:r>
        <w:rPr>
          <w:rFonts w:hint="eastAsia"/>
        </w:rPr>
        <w:t>1</w:t>
      </w:r>
      <w:r>
        <w:rPr>
          <w:rFonts w:hint="eastAsia"/>
          <w:lang w:val="en-US" w:eastAsia="zh-CN"/>
        </w:rPr>
        <w:t>7</w:t>
      </w:r>
      <w:r>
        <w:rPr>
          <w:rFonts w:hint="eastAsia"/>
        </w:rPr>
        <w:t>、</w:t>
      </w:r>
      <w:r>
        <w:t xml:space="preserve">  </w:t>
      </w:r>
      <w:r>
        <w:fldChar w:fldCharType="begin"/>
      </w:r>
      <w:r>
        <w:instrText xml:space="preserve"> REF _Ref477454972 \h  \* MERGEFORMAT </w:instrText>
      </w:r>
      <w:r>
        <w:fldChar w:fldCharType="separate"/>
      </w:r>
      <w:r>
        <w:t>响应人货物、服务项目偏离表</w:t>
      </w:r>
      <w:r>
        <w:fldChar w:fldCharType="end"/>
      </w:r>
      <w:r>
        <w:t>：见</w:t>
      </w:r>
      <w:r>
        <w:rPr>
          <w:rFonts w:hint="eastAsia"/>
        </w:rPr>
        <w:fldChar w:fldCharType="begin"/>
      </w:r>
      <w:r>
        <w:instrText xml:space="preserve"> REF _Ref477454972 \r \h  \* MERGEFORMAT </w:instrText>
      </w:r>
      <w:r>
        <w:rPr>
          <w:rFonts w:hint="eastAsia"/>
        </w:rPr>
        <w:fldChar w:fldCharType="separate"/>
      </w:r>
      <w:r>
        <w:rPr>
          <w:rFonts w:hint="eastAsia"/>
        </w:rPr>
        <w:t>附件8</w:t>
      </w:r>
      <w:r>
        <w:rPr>
          <w:rFonts w:hint="eastAsia"/>
        </w:rPr>
        <w:fldChar w:fldCharType="end"/>
      </w:r>
      <w:r>
        <w:t>；</w:t>
      </w:r>
    </w:p>
    <w:p>
      <w:pPr>
        <w:pStyle w:val="94"/>
        <w:numPr>
          <w:ilvl w:val="255"/>
          <w:numId w:val="0"/>
        </w:numPr>
        <w:ind w:firstLine="210" w:firstLineChars="100"/>
      </w:pPr>
      <w:r>
        <w:rPr>
          <w:rFonts w:hint="eastAsia"/>
        </w:rPr>
        <w:t>1</w:t>
      </w:r>
      <w:r>
        <w:rPr>
          <w:rFonts w:hint="eastAsia"/>
          <w:lang w:val="en-US" w:eastAsia="zh-CN"/>
        </w:rPr>
        <w:t>8</w:t>
      </w:r>
      <w:r>
        <w:rPr>
          <w:rFonts w:hint="eastAsia"/>
        </w:rPr>
        <w:t>、</w:t>
      </w:r>
      <w:r>
        <w:t>本文件要求提供的和响应人认为需要提供的其他说明和资料。</w:t>
      </w:r>
    </w:p>
    <w:p>
      <w:pPr>
        <w:widowControl/>
        <w:adjustRightInd/>
        <w:spacing w:line="240" w:lineRule="auto"/>
        <w:textAlignment w:val="auto"/>
      </w:pPr>
    </w:p>
    <w:p>
      <w:pPr>
        <w:widowControl/>
        <w:adjustRightInd/>
        <w:spacing w:line="240" w:lineRule="auto"/>
        <w:textAlignment w:val="auto"/>
      </w:pPr>
      <w:r>
        <w:rPr>
          <w:rFonts w:hint="eastAsia"/>
        </w:rPr>
        <w:t>★</w:t>
      </w:r>
      <w:r>
        <w:rPr>
          <w:rFonts w:hint="eastAsia"/>
          <w:b/>
          <w:bCs/>
        </w:rPr>
        <w:t>该部分中</w:t>
      </w:r>
      <w:r>
        <w:rPr>
          <w:b/>
          <w:bCs/>
        </w:rPr>
        <w:t>2-1</w:t>
      </w:r>
      <w:r>
        <w:rPr>
          <w:rFonts w:hint="eastAsia"/>
          <w:b/>
          <w:bCs/>
          <w:lang w:val="en-US" w:eastAsia="zh-CN"/>
        </w:rPr>
        <w:t>0</w:t>
      </w:r>
      <w:r>
        <w:rPr>
          <w:rFonts w:hint="eastAsia"/>
          <w:b/>
          <w:bCs/>
        </w:rPr>
        <w:t>项对应文件需单独装订成册，正本一份，副本一份，并在封面注明为“资格文件”，其余文件（含商务和技术部分）再单独装订，请勿重复装订。</w:t>
      </w:r>
      <w:r>
        <w:br w:type="page"/>
      </w:r>
    </w:p>
    <w:p>
      <w:pPr>
        <w:pStyle w:val="4"/>
        <w:numPr>
          <w:ilvl w:val="0"/>
          <w:numId w:val="37"/>
        </w:numPr>
        <w:adjustRightInd/>
        <w:spacing w:line="415" w:lineRule="auto"/>
        <w:ind w:left="420"/>
        <w:jc w:val="both"/>
        <w:textAlignment w:val="auto"/>
        <w:rPr>
          <w:kern w:val="2"/>
        </w:rPr>
      </w:pPr>
      <w:bookmarkStart w:id="92" w:name="_Ref477452230"/>
      <w:bookmarkStart w:id="93" w:name="_Toc86202634"/>
      <w:r>
        <w:rPr>
          <w:kern w:val="2"/>
        </w:rPr>
        <w:t xml:space="preserve">  </w:t>
      </w:r>
      <w:bookmarkStart w:id="94" w:name="_Toc491372363"/>
      <w:r>
        <w:rPr>
          <w:kern w:val="2"/>
        </w:rPr>
        <w:t>响应确认函</w:t>
      </w:r>
      <w:bookmarkEnd w:id="92"/>
      <w:bookmarkEnd w:id="94"/>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p>
    <w:p>
      <w:pPr>
        <w:pBdr>
          <w:top w:val="dashed" w:color="auto" w:sz="4" w:space="1"/>
          <w:left w:val="dashed" w:color="auto" w:sz="4" w:space="4"/>
          <w:bottom w:val="dashed" w:color="auto" w:sz="4" w:space="1"/>
          <w:right w:val="dashed" w:color="auto" w:sz="4" w:space="4"/>
        </w:pBdr>
        <w:spacing w:after="240" w:afterLines="100" w:line="400" w:lineRule="exact"/>
        <w:rPr>
          <w:sz w:val="21"/>
          <w:szCs w:val="21"/>
        </w:rPr>
      </w:pPr>
      <w:r>
        <w:rPr>
          <w:sz w:val="21"/>
          <w:szCs w:val="21"/>
        </w:rPr>
        <w:t>中央财经大学 招标与采购事务中心：</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本单位在认真阅读、全面理解磋商文件所有内容与要求的基础上，确定将于</w:t>
      </w:r>
      <w:r>
        <w:rPr>
          <w:sz w:val="21"/>
          <w:szCs w:val="21"/>
        </w:rPr>
        <w:fldChar w:fldCharType="begin"/>
      </w:r>
      <w:r>
        <w:rPr>
          <w:sz w:val="21"/>
          <w:szCs w:val="21"/>
        </w:rPr>
        <w:instrText xml:space="preserve"> REF 磋商时间 \h </w:instrText>
      </w:r>
      <w:r>
        <w:rPr>
          <w:sz w:val="21"/>
          <w:szCs w:val="21"/>
        </w:rPr>
        <w:fldChar w:fldCharType="separate"/>
      </w:r>
      <w:r>
        <w:rPr>
          <w:color w:val="000000"/>
          <w:sz w:val="21"/>
          <w:szCs w:val="21"/>
        </w:rPr>
        <w:t xml:space="preserve">    年  月  日</w:t>
      </w:r>
      <w:r>
        <w:rPr>
          <w:sz w:val="21"/>
          <w:szCs w:val="21"/>
        </w:rPr>
        <w:fldChar w:fldCharType="end"/>
      </w:r>
      <w:r>
        <w:rPr>
          <w:szCs w:val="21"/>
        </w:rPr>
        <w:t>，</w:t>
      </w:r>
      <w:r>
        <w:rPr>
          <w:sz w:val="21"/>
          <w:szCs w:val="21"/>
        </w:rPr>
        <w:t>在中央财经大学学六楼201室，参与</w:t>
      </w:r>
      <w:r>
        <w:fldChar w:fldCharType="begin"/>
      </w:r>
      <w:r>
        <w:instrText xml:space="preserve"> REF 项目名称 \h  \* MERGEFORMAT </w:instrText>
      </w:r>
      <w:r>
        <w:fldChar w:fldCharType="separate"/>
      </w:r>
      <w:r>
        <w:rPr>
          <w:sz w:val="21"/>
          <w:szCs w:val="21"/>
        </w:rPr>
        <w:t>中央财经大学                          采购项目</w:t>
      </w:r>
      <w:r>
        <w:rPr>
          <w:sz w:val="21"/>
          <w:szCs w:val="21"/>
        </w:rPr>
        <w:fldChar w:fldCharType="end"/>
      </w:r>
      <w:r>
        <w:rPr>
          <w:sz w:val="21"/>
          <w:szCs w:val="21"/>
        </w:rPr>
        <w:t>的磋商，项目编号：</w:t>
      </w:r>
      <w:r>
        <w:fldChar w:fldCharType="begin"/>
      </w:r>
      <w:r>
        <w:instrText xml:space="preserve"> REF 项目编号 \h  \* MERGEFORMAT </w:instrText>
      </w:r>
      <w:r>
        <w:fldChar w:fldCharType="separate"/>
      </w:r>
      <w:r>
        <w:rPr>
          <w:sz w:val="21"/>
          <w:szCs w:val="21"/>
        </w:rPr>
        <w:t>JC-20XXXXX</w:t>
      </w:r>
      <w:r>
        <w:rPr>
          <w:sz w:val="21"/>
          <w:szCs w:val="21"/>
        </w:rPr>
        <w:fldChar w:fldCharType="end"/>
      </w:r>
      <w:r>
        <w:rPr>
          <w:sz w:val="21"/>
          <w:szCs w:val="21"/>
        </w:rPr>
        <w:t>，特发函确认。</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单位名称：</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法人授权代表（响应人代表）：</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联系电话（手机）：</w:t>
      </w:r>
    </w:p>
    <w:p>
      <w:pPr>
        <w:pBdr>
          <w:top w:val="dashed" w:color="auto" w:sz="4" w:space="1"/>
          <w:left w:val="dashed" w:color="auto" w:sz="4" w:space="4"/>
          <w:bottom w:val="dashed" w:color="auto" w:sz="4" w:space="1"/>
          <w:right w:val="dashed" w:color="auto" w:sz="4" w:space="4"/>
        </w:pBdr>
        <w:spacing w:line="400" w:lineRule="exact"/>
        <w:rPr>
          <w:sz w:val="21"/>
          <w:szCs w:val="21"/>
        </w:rPr>
      </w:pP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（单位公章）： </w:t>
      </w: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      年    月    日</w:t>
      </w:r>
    </w:p>
    <w:p>
      <w:pPr>
        <w:pStyle w:val="92"/>
        <w:rPr>
          <w:color w:val="000000"/>
          <w:szCs w:val="21"/>
        </w:rPr>
      </w:pPr>
      <w:r>
        <w:fldChar w:fldCharType="begin"/>
      </w:r>
      <w:r>
        <w:instrText xml:space="preserve"> REF 确认函说明 \h  \* MERGEFORMAT </w:instrText>
      </w:r>
      <w:r>
        <w:fldChar w:fldCharType="separate"/>
      </w:r>
      <w:r>
        <w:t>请确认参加磋商的供应商于</w:t>
      </w:r>
      <w:r>
        <w:rPr>
          <w:rFonts w:hint="eastAsia"/>
        </w:rPr>
        <w:t>2018年1月12日</w:t>
      </w:r>
      <w:r>
        <w:t>15:00前传真至我单位，同时将盖章扫描件发送至邮箱：cgzx@cufe.edu.cn，邮件发送确认函的</w:t>
      </w:r>
      <w:r>
        <w:rPr>
          <w:rFonts w:hint="eastAsia"/>
        </w:rPr>
        <w:t>，请务必保证您的</w:t>
      </w:r>
      <w:r>
        <w:t>邮件主题为“磋商确认函+公司简称+项目名称+项目编号”</w:t>
      </w:r>
      <w:r>
        <w:rPr>
          <w:rFonts w:hint="eastAsia"/>
        </w:rPr>
        <w:t>，以免邮件漏检！</w:t>
      </w:r>
    </w:p>
    <w:p>
      <w:pPr>
        <w:pStyle w:val="80"/>
        <w:spacing w:before="0" w:after="0" w:line="400" w:lineRule="exact"/>
        <w:ind w:left="0" w:leftChars="0" w:firstLine="480"/>
        <w:rPr>
          <w:color w:val="000000"/>
          <w:sz w:val="21"/>
          <w:szCs w:val="21"/>
        </w:rPr>
      </w:pPr>
      <w:r>
        <w:fldChar w:fldCharType="end"/>
      </w:r>
      <w:r>
        <w:fldChar w:fldCharType="begin"/>
      </w:r>
      <w:r>
        <w:instrText xml:space="preserve"> REF 项目联系信息 \h  \* MERGEFORMAT </w:instrText>
      </w:r>
      <w:r>
        <w:fldChar w:fldCharType="separate"/>
      </w:r>
      <w:r>
        <w:rPr>
          <w:color w:val="000000"/>
          <w:sz w:val="21"/>
          <w:szCs w:val="21"/>
        </w:rPr>
        <w:t>联系人：闫老师，王老师</w:t>
      </w:r>
    </w:p>
    <w:p>
      <w:pPr>
        <w:pStyle w:val="80"/>
        <w:spacing w:before="0" w:after="0" w:line="400" w:lineRule="exact"/>
        <w:ind w:left="0" w:leftChars="0" w:firstLine="420"/>
        <w:rPr>
          <w:color w:val="000000"/>
          <w:sz w:val="21"/>
          <w:szCs w:val="21"/>
        </w:rPr>
      </w:pPr>
      <w:r>
        <w:rPr>
          <w:color w:val="000000"/>
          <w:sz w:val="21"/>
          <w:szCs w:val="21"/>
        </w:rPr>
        <w:t>联系电话：010-62289113，010-62288705</w:t>
      </w:r>
    </w:p>
    <w:p>
      <w:pPr>
        <w:pStyle w:val="80"/>
        <w:spacing w:before="0" w:after="0" w:line="400" w:lineRule="exact"/>
        <w:ind w:left="0" w:leftChars="0" w:firstLine="420"/>
        <w:rPr>
          <w:color w:val="000000"/>
          <w:sz w:val="21"/>
          <w:szCs w:val="21"/>
        </w:rPr>
      </w:pPr>
      <w:r>
        <w:rPr>
          <w:color w:val="000000"/>
          <w:sz w:val="21"/>
          <w:szCs w:val="21"/>
        </w:rPr>
        <w:t>传真电话：010-62288705（可自动接收传真）</w:t>
      </w:r>
    </w:p>
    <w:p>
      <w:pPr>
        <w:pStyle w:val="80"/>
        <w:spacing w:before="0" w:after="0" w:line="400" w:lineRule="exact"/>
        <w:ind w:left="0" w:leftChars="0" w:firstLine="420"/>
        <w:rPr>
          <w:color w:val="000000"/>
          <w:sz w:val="21"/>
          <w:szCs w:val="21"/>
        </w:rPr>
      </w:pPr>
      <w:r>
        <w:rPr>
          <w:color w:val="000000"/>
          <w:sz w:val="21"/>
          <w:szCs w:val="21"/>
        </w:rPr>
        <w:t>联系邮箱：cgzx</w:t>
      </w:r>
      <w:r>
        <w:t>@cufe.edu.cn</w:t>
      </w:r>
      <w:r>
        <w:rPr>
          <w:color w:val="000000"/>
          <w:sz w:val="21"/>
          <w:szCs w:val="21"/>
        </w:rPr>
        <w:t xml:space="preserve"> </w:t>
      </w:r>
    </w:p>
    <w:p>
      <w:pPr>
        <w:pStyle w:val="80"/>
        <w:spacing w:before="0" w:after="0" w:line="400" w:lineRule="exact"/>
        <w:ind w:left="0" w:leftChars="0" w:firstLine="480"/>
        <w:rPr>
          <w:sz w:val="21"/>
          <w:szCs w:val="21"/>
        </w:rPr>
      </w:pPr>
      <w:r>
        <w:fldChar w:fldCharType="end"/>
      </w:r>
    </w:p>
    <w:p>
      <w:pPr>
        <w:widowControl/>
        <w:adjustRightInd/>
        <w:spacing w:line="240" w:lineRule="auto"/>
        <w:textAlignment w:val="auto"/>
        <w:rPr>
          <w:sz w:val="21"/>
          <w:szCs w:val="21"/>
        </w:rPr>
      </w:pPr>
      <w:r>
        <w:rPr>
          <w:sz w:val="21"/>
          <w:szCs w:val="21"/>
        </w:rPr>
        <w:br w:type="page"/>
      </w:r>
    </w:p>
    <w:p>
      <w:pPr>
        <w:pStyle w:val="4"/>
        <w:numPr>
          <w:ilvl w:val="0"/>
          <w:numId w:val="37"/>
        </w:numPr>
        <w:adjustRightInd/>
        <w:spacing w:line="415" w:lineRule="auto"/>
        <w:ind w:left="420"/>
        <w:jc w:val="both"/>
        <w:textAlignment w:val="auto"/>
        <w:rPr>
          <w:kern w:val="2"/>
        </w:rPr>
      </w:pPr>
      <w:bookmarkStart w:id="95" w:name="_Ref477452364"/>
      <w:r>
        <w:rPr>
          <w:kern w:val="2"/>
        </w:rPr>
        <w:t xml:space="preserve">  </w:t>
      </w:r>
      <w:bookmarkStart w:id="96" w:name="_Toc491372364"/>
      <w:r>
        <w:rPr>
          <w:kern w:val="2"/>
        </w:rPr>
        <w:t>承诺函</w:t>
      </w:r>
      <w:bookmarkEnd w:id="93"/>
      <w:bookmarkEnd w:id="95"/>
      <w:bookmarkEnd w:id="96"/>
    </w:p>
    <w:p>
      <w:pPr>
        <w:pStyle w:val="92"/>
      </w:pPr>
      <w:r>
        <w:t>致中央财经大学：</w:t>
      </w:r>
    </w:p>
    <w:p>
      <w:pPr>
        <w:spacing w:line="400" w:lineRule="exact"/>
        <w:ind w:firstLine="420" w:firstLineChars="200"/>
        <w:rPr>
          <w:sz w:val="21"/>
          <w:szCs w:val="21"/>
        </w:rPr>
      </w:pPr>
      <w:r>
        <w:rPr>
          <w:sz w:val="21"/>
          <w:szCs w:val="21"/>
        </w:rPr>
        <w:t>（响应人全称）授权（响应人代表姓名）（职务、职称）为我方代表，参加贵方组织的（项目名称、项目编号、包号）磋商的有关活动，并对此项目进行响应。为此：</w:t>
      </w:r>
    </w:p>
    <w:p>
      <w:pPr>
        <w:spacing w:line="400" w:lineRule="exact"/>
        <w:ind w:firstLine="420" w:firstLineChars="200"/>
        <w:rPr>
          <w:sz w:val="21"/>
          <w:szCs w:val="21"/>
        </w:rPr>
      </w:pPr>
      <w:r>
        <w:rPr>
          <w:sz w:val="21"/>
          <w:szCs w:val="21"/>
        </w:rPr>
        <w:t>我方承诺：具备《中华人民共和国政府采购法》中规定的参加政府采购活动的供应商应当具备的条件：</w:t>
      </w:r>
    </w:p>
    <w:p>
      <w:pPr>
        <w:numPr>
          <w:ilvl w:val="0"/>
          <w:numId w:val="38"/>
        </w:numPr>
        <w:spacing w:line="400" w:lineRule="exact"/>
        <w:textAlignment w:val="auto"/>
        <w:rPr>
          <w:sz w:val="21"/>
          <w:szCs w:val="21"/>
        </w:rPr>
      </w:pPr>
      <w:r>
        <w:rPr>
          <w:sz w:val="21"/>
          <w:szCs w:val="21"/>
        </w:rPr>
        <w:t>具有独立承担民事责任的能力；</w:t>
      </w:r>
    </w:p>
    <w:p>
      <w:pPr>
        <w:numPr>
          <w:ilvl w:val="0"/>
          <w:numId w:val="38"/>
        </w:numPr>
        <w:spacing w:line="400" w:lineRule="exact"/>
        <w:textAlignment w:val="auto"/>
        <w:rPr>
          <w:sz w:val="21"/>
          <w:szCs w:val="21"/>
        </w:rPr>
      </w:pPr>
      <w:r>
        <w:rPr>
          <w:sz w:val="21"/>
          <w:szCs w:val="21"/>
        </w:rPr>
        <w:t>具有良好的商业信誉和健全的财务会计制度；</w:t>
      </w:r>
    </w:p>
    <w:p>
      <w:pPr>
        <w:numPr>
          <w:ilvl w:val="0"/>
          <w:numId w:val="38"/>
        </w:numPr>
        <w:spacing w:line="400" w:lineRule="exact"/>
        <w:textAlignment w:val="auto"/>
        <w:rPr>
          <w:sz w:val="21"/>
          <w:szCs w:val="21"/>
        </w:rPr>
      </w:pPr>
      <w:r>
        <w:rPr>
          <w:sz w:val="21"/>
          <w:szCs w:val="21"/>
        </w:rPr>
        <w:t>具有履行合同所必需的设备和专业技术能力；</w:t>
      </w:r>
    </w:p>
    <w:p>
      <w:pPr>
        <w:numPr>
          <w:ilvl w:val="0"/>
          <w:numId w:val="38"/>
        </w:numPr>
        <w:spacing w:line="400" w:lineRule="exact"/>
        <w:textAlignment w:val="auto"/>
        <w:rPr>
          <w:sz w:val="21"/>
          <w:szCs w:val="21"/>
        </w:rPr>
      </w:pPr>
      <w:r>
        <w:rPr>
          <w:sz w:val="21"/>
          <w:szCs w:val="21"/>
        </w:rPr>
        <w:t>有依法缴纳税收和社会保障资金的良好记录；</w:t>
      </w:r>
    </w:p>
    <w:p>
      <w:pPr>
        <w:numPr>
          <w:ilvl w:val="0"/>
          <w:numId w:val="38"/>
        </w:numPr>
        <w:spacing w:line="400" w:lineRule="exact"/>
        <w:textAlignment w:val="auto"/>
        <w:rPr>
          <w:sz w:val="21"/>
          <w:szCs w:val="21"/>
        </w:rPr>
      </w:pPr>
      <w:r>
        <w:rPr>
          <w:sz w:val="21"/>
          <w:szCs w:val="21"/>
        </w:rPr>
        <w:t>参加此项采购活动前三年内，在经营活动中没有重大违法记录。</w:t>
      </w:r>
    </w:p>
    <w:p>
      <w:pPr>
        <w:spacing w:line="400" w:lineRule="exact"/>
        <w:ind w:firstLine="420" w:firstLineChars="200"/>
        <w:rPr>
          <w:sz w:val="21"/>
          <w:szCs w:val="21"/>
        </w:rPr>
      </w:pPr>
      <w:r>
        <w:rPr>
          <w:sz w:val="21"/>
          <w:szCs w:val="21"/>
        </w:rPr>
        <w:t>我方承诺：参与信息系统建设相关政府采购活动，符合《财政部关于信息系统建设</w:t>
      </w:r>
      <w:r>
        <w:fldChar w:fldCharType="begin"/>
      </w:r>
      <w:r>
        <w:instrText xml:space="preserve"> HYPERLINK "javascript:;" </w:instrText>
      </w:r>
      <w:r>
        <w:fldChar w:fldCharType="separate"/>
      </w:r>
      <w:r>
        <w:rPr>
          <w:sz w:val="21"/>
          <w:szCs w:val="21"/>
        </w:rPr>
        <w:t>项目</w:t>
      </w:r>
      <w:r>
        <w:rPr>
          <w:sz w:val="21"/>
          <w:szCs w:val="21"/>
        </w:rPr>
        <w:fldChar w:fldCharType="end"/>
      </w:r>
      <w:r>
        <w:rPr>
          <w:sz w:val="21"/>
          <w:szCs w:val="21"/>
        </w:rPr>
        <w:t>采购有关问题的通知（财库〔2011〕59号）》通知要求。</w:t>
      </w:r>
    </w:p>
    <w:p>
      <w:pPr>
        <w:spacing w:line="400" w:lineRule="exact"/>
        <w:ind w:firstLine="420" w:firstLineChars="200"/>
        <w:rPr>
          <w:sz w:val="21"/>
          <w:szCs w:val="21"/>
        </w:rPr>
      </w:pPr>
      <w:r>
        <w:rPr>
          <w:sz w:val="21"/>
          <w:szCs w:val="21"/>
        </w:rPr>
        <w:t>我方承诺：如果本项目属于《财政部关于政府采购进口产品管理有关问题的通知（财办库〔2008〕248号）》和《财政部关于印发&lt;政府采购进口产品管理办法&gt;的通知（财库〔2007〕119号）》中规定的不允许采购进口产品的情形，我方响应产品均为国产产品。</w:t>
      </w:r>
    </w:p>
    <w:p>
      <w:pPr>
        <w:spacing w:line="400" w:lineRule="exact"/>
        <w:ind w:firstLine="420" w:firstLineChars="200"/>
        <w:rPr>
          <w:sz w:val="21"/>
          <w:szCs w:val="21"/>
        </w:rPr>
      </w:pPr>
      <w:r>
        <w:rPr>
          <w:sz w:val="21"/>
          <w:szCs w:val="21"/>
        </w:rPr>
        <w:t>我方同意：在本项目磋商文件中规定的响应有效期内遵守本响应文件中的承诺且在此期限期满之前均具有约束力。</w:t>
      </w:r>
    </w:p>
    <w:p>
      <w:pPr>
        <w:spacing w:line="400" w:lineRule="exact"/>
        <w:ind w:firstLine="420" w:firstLineChars="200"/>
        <w:rPr>
          <w:sz w:val="21"/>
          <w:szCs w:val="21"/>
        </w:rPr>
      </w:pPr>
      <w:r>
        <w:rPr>
          <w:sz w:val="21"/>
          <w:szCs w:val="21"/>
        </w:rPr>
        <w:t>我方承诺：完全理解响应报价若超过项目预算金额时，响应将被拒绝。</w:t>
      </w:r>
    </w:p>
    <w:p>
      <w:pPr>
        <w:spacing w:line="400" w:lineRule="exact"/>
        <w:ind w:firstLine="420" w:firstLineChars="200"/>
        <w:rPr>
          <w:sz w:val="21"/>
          <w:szCs w:val="21"/>
        </w:rPr>
      </w:pPr>
      <w:r>
        <w:rPr>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pPr>
        <w:spacing w:line="400" w:lineRule="exact"/>
        <w:ind w:firstLine="420" w:firstLineChars="200"/>
        <w:rPr>
          <w:sz w:val="21"/>
          <w:szCs w:val="21"/>
        </w:rPr>
      </w:pPr>
      <w:r>
        <w:rPr>
          <w:sz w:val="21"/>
          <w:szCs w:val="21"/>
        </w:rPr>
        <w:t>我方承诺：完全满足和响应磋商文件中的各项商务和技术的实质性要求，若有偏差，已在响应文件商务条款偏离表中予以明确特别说明。</w:t>
      </w:r>
    </w:p>
    <w:p>
      <w:pPr>
        <w:spacing w:line="400" w:lineRule="exact"/>
        <w:ind w:firstLine="420" w:firstLineChars="200"/>
        <w:rPr>
          <w:sz w:val="21"/>
          <w:szCs w:val="21"/>
        </w:rPr>
      </w:pPr>
      <w:r>
        <w:rPr>
          <w:sz w:val="21"/>
          <w:szCs w:val="21"/>
        </w:rPr>
        <w:t>我方知道：如果在响应截止时间后规定的响应有效期内撤回响应，我方的响应保证金可被贵方没收。</w:t>
      </w:r>
    </w:p>
    <w:p>
      <w:pPr>
        <w:spacing w:line="400" w:lineRule="exact"/>
        <w:ind w:firstLine="420" w:firstLineChars="200"/>
        <w:rPr>
          <w:sz w:val="21"/>
          <w:szCs w:val="21"/>
        </w:rPr>
      </w:pPr>
      <w:r>
        <w:rPr>
          <w:sz w:val="21"/>
          <w:szCs w:val="21"/>
        </w:rPr>
        <w:t>我方完全理解：贵方不一定接受最低价的响应或收到的任何响应。</w:t>
      </w:r>
    </w:p>
    <w:p>
      <w:pPr>
        <w:spacing w:line="400" w:lineRule="exact"/>
        <w:ind w:firstLine="420" w:firstLineChars="200"/>
        <w:rPr>
          <w:sz w:val="21"/>
          <w:szCs w:val="21"/>
        </w:rPr>
      </w:pPr>
      <w:r>
        <w:rPr>
          <w:sz w:val="21"/>
          <w:szCs w:val="21"/>
        </w:rPr>
        <w:t>我方愿意向贵方提供任何与本项响应有关的数据、情况和技术资料。若贵方需要，我方愿意提供我方作出的一切承诺的证明材料。</w:t>
      </w:r>
    </w:p>
    <w:p>
      <w:pPr>
        <w:spacing w:line="400" w:lineRule="exact"/>
        <w:ind w:firstLine="420" w:firstLineChars="200"/>
        <w:rPr>
          <w:sz w:val="21"/>
          <w:szCs w:val="21"/>
        </w:rPr>
      </w:pPr>
      <w:r>
        <w:rPr>
          <w:sz w:val="21"/>
          <w:szCs w:val="21"/>
        </w:rPr>
        <w:t>我方已详细审核全部响应文件，包括响应文件修改书（如有的话）、参考资料及有关附件，确认无误。</w:t>
      </w:r>
    </w:p>
    <w:p>
      <w:pPr>
        <w:spacing w:line="400" w:lineRule="exact"/>
        <w:ind w:firstLine="420" w:firstLineChars="200"/>
        <w:rPr>
          <w:sz w:val="21"/>
          <w:szCs w:val="21"/>
        </w:rPr>
      </w:pPr>
      <w:r>
        <w:rPr>
          <w:sz w:val="21"/>
          <w:szCs w:val="21"/>
        </w:rPr>
        <w:t>我方承诺：与为在本项目中设计编制技术规格的机构及其附属机构无任何直接隶属关系和利益关联。</w:t>
      </w:r>
    </w:p>
    <w:p>
      <w:pPr>
        <w:spacing w:line="400" w:lineRule="exact"/>
        <w:ind w:firstLine="420" w:firstLineChars="200"/>
        <w:rPr>
          <w:sz w:val="21"/>
          <w:szCs w:val="21"/>
        </w:rPr>
      </w:pPr>
      <w:r>
        <w:rPr>
          <w:sz w:val="21"/>
          <w:szCs w:val="21"/>
        </w:rPr>
        <w:t>我方承诺：采购人若需追加采购本项目磋商文件所列货物及相关服务的，在不改变合同其他实质性条款的前提下，按相同或更优惠的折扣率保证供货。</w:t>
      </w:r>
    </w:p>
    <w:p>
      <w:pPr>
        <w:spacing w:line="400" w:lineRule="exact"/>
        <w:ind w:firstLine="420" w:firstLineChars="200"/>
        <w:rPr>
          <w:sz w:val="21"/>
          <w:szCs w:val="21"/>
        </w:rPr>
      </w:pPr>
      <w:r>
        <w:rPr>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pPr>
        <w:spacing w:line="400" w:lineRule="exact"/>
        <w:ind w:firstLine="420" w:firstLineChars="200"/>
        <w:rPr>
          <w:sz w:val="21"/>
          <w:szCs w:val="21"/>
        </w:rPr>
      </w:pPr>
      <w:r>
        <w:rPr>
          <w:sz w:val="21"/>
          <w:szCs w:val="21"/>
        </w:rPr>
        <w:t>我方承诺：接受磋商文件的全部条款且无任何异议，保证遵守磋商文件的规定。</w:t>
      </w:r>
    </w:p>
    <w:p>
      <w:pPr>
        <w:spacing w:line="400" w:lineRule="exact"/>
        <w:ind w:firstLine="420" w:firstLineChars="200"/>
        <w:rPr>
          <w:sz w:val="21"/>
          <w:szCs w:val="21"/>
        </w:rPr>
      </w:pPr>
      <w:r>
        <w:rPr>
          <w:sz w:val="21"/>
          <w:szCs w:val="21"/>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39"/>
        </w:numPr>
        <w:spacing w:line="400" w:lineRule="exact"/>
        <w:textAlignment w:val="auto"/>
        <w:rPr>
          <w:sz w:val="21"/>
          <w:szCs w:val="21"/>
        </w:rPr>
      </w:pPr>
      <w:r>
        <w:rPr>
          <w:sz w:val="21"/>
          <w:szCs w:val="21"/>
        </w:rPr>
        <w:t>提供虚假材料谋取成交、成交的；</w:t>
      </w:r>
    </w:p>
    <w:p>
      <w:pPr>
        <w:numPr>
          <w:ilvl w:val="0"/>
          <w:numId w:val="39"/>
        </w:numPr>
        <w:spacing w:line="400" w:lineRule="exact"/>
        <w:textAlignment w:val="auto"/>
        <w:rPr>
          <w:sz w:val="21"/>
          <w:szCs w:val="21"/>
        </w:rPr>
      </w:pPr>
      <w:r>
        <w:rPr>
          <w:sz w:val="21"/>
          <w:szCs w:val="21"/>
        </w:rPr>
        <w:t>采取不正当手段诋毁、排挤其他供应商的；</w:t>
      </w:r>
    </w:p>
    <w:p>
      <w:pPr>
        <w:numPr>
          <w:ilvl w:val="0"/>
          <w:numId w:val="39"/>
        </w:numPr>
        <w:spacing w:line="400" w:lineRule="exact"/>
        <w:textAlignment w:val="auto"/>
        <w:rPr>
          <w:sz w:val="21"/>
          <w:szCs w:val="21"/>
        </w:rPr>
      </w:pPr>
      <w:r>
        <w:rPr>
          <w:sz w:val="21"/>
          <w:szCs w:val="21"/>
        </w:rPr>
        <w:t>与采购人、其它供应商或者采购人工作人员恶意串通的；</w:t>
      </w:r>
    </w:p>
    <w:p>
      <w:pPr>
        <w:numPr>
          <w:ilvl w:val="0"/>
          <w:numId w:val="39"/>
        </w:numPr>
        <w:spacing w:line="400" w:lineRule="exact"/>
        <w:textAlignment w:val="auto"/>
        <w:rPr>
          <w:sz w:val="21"/>
          <w:szCs w:val="21"/>
        </w:rPr>
      </w:pPr>
      <w:r>
        <w:rPr>
          <w:sz w:val="21"/>
          <w:szCs w:val="21"/>
        </w:rPr>
        <w:t>向采购人、采购人工作人员行贿或者提供其他不正当利益的；</w:t>
      </w:r>
    </w:p>
    <w:p>
      <w:pPr>
        <w:numPr>
          <w:ilvl w:val="0"/>
          <w:numId w:val="39"/>
        </w:numPr>
        <w:spacing w:line="400" w:lineRule="exact"/>
        <w:textAlignment w:val="auto"/>
        <w:rPr>
          <w:sz w:val="21"/>
          <w:szCs w:val="21"/>
        </w:rPr>
      </w:pPr>
      <w:r>
        <w:rPr>
          <w:sz w:val="21"/>
          <w:szCs w:val="21"/>
        </w:rPr>
        <w:t>未经采购人同意，在采购过程中与采购人进行协商谈判的；</w:t>
      </w:r>
    </w:p>
    <w:p>
      <w:pPr>
        <w:numPr>
          <w:ilvl w:val="0"/>
          <w:numId w:val="39"/>
        </w:numPr>
        <w:spacing w:line="400" w:lineRule="exact"/>
        <w:textAlignment w:val="auto"/>
        <w:rPr>
          <w:sz w:val="21"/>
          <w:szCs w:val="21"/>
        </w:rPr>
      </w:pPr>
      <w:r>
        <w:rPr>
          <w:sz w:val="21"/>
          <w:szCs w:val="21"/>
        </w:rPr>
        <w:t>拒绝有关部门监督检查或提供虚假情况的。</w:t>
      </w:r>
    </w:p>
    <w:p>
      <w:pPr>
        <w:spacing w:line="400" w:lineRule="exact"/>
        <w:ind w:firstLine="420" w:firstLineChars="200"/>
        <w:rPr>
          <w:sz w:val="21"/>
          <w:szCs w:val="21"/>
        </w:rPr>
      </w:pPr>
      <w:r>
        <w:rPr>
          <w:sz w:val="21"/>
          <w:szCs w:val="21"/>
        </w:rPr>
        <w:t>与本响应有关的一切往来通讯请寄：</w:t>
      </w:r>
    </w:p>
    <w:p>
      <w:pPr>
        <w:spacing w:line="400" w:lineRule="exact"/>
        <w:ind w:firstLine="420" w:firstLineChars="200"/>
        <w:rPr>
          <w:sz w:val="21"/>
          <w:szCs w:val="21"/>
        </w:rPr>
      </w:pPr>
      <w:r>
        <w:rPr>
          <w:sz w:val="21"/>
          <w:szCs w:val="21"/>
        </w:rPr>
        <w:t>地址：</w:t>
      </w:r>
    </w:p>
    <w:p>
      <w:pPr>
        <w:pStyle w:val="92"/>
      </w:pPr>
      <w:r>
        <w:t>邮编：</w:t>
      </w:r>
    </w:p>
    <w:p>
      <w:pPr>
        <w:pStyle w:val="92"/>
      </w:pPr>
      <w:r>
        <w:t>电话：</w:t>
      </w:r>
    </w:p>
    <w:p>
      <w:pPr>
        <w:pStyle w:val="92"/>
      </w:pPr>
      <w:r>
        <w:t>传真：</w:t>
      </w:r>
    </w:p>
    <w:p>
      <w:pPr>
        <w:pStyle w:val="92"/>
      </w:pPr>
      <w:r>
        <w:t>响应人代表姓名：</w:t>
      </w:r>
    </w:p>
    <w:p>
      <w:pPr>
        <w:pStyle w:val="92"/>
      </w:pPr>
      <w:r>
        <w:t>响应人代表联系电话</w:t>
      </w:r>
      <w:r>
        <w:rPr>
          <w:rFonts w:hint="eastAsia"/>
        </w:rPr>
        <w:t>：</w:t>
      </w:r>
    </w:p>
    <w:p>
      <w:pPr>
        <w:spacing w:line="400" w:lineRule="exact"/>
        <w:ind w:firstLine="420" w:firstLineChars="200"/>
        <w:rPr>
          <w:sz w:val="21"/>
          <w:szCs w:val="21"/>
        </w:rPr>
      </w:pPr>
      <w:r>
        <w:rPr>
          <w:sz w:val="21"/>
          <w:szCs w:val="21"/>
        </w:rPr>
        <w:t>电子邮箱</w:t>
      </w:r>
      <w:r>
        <w:rPr>
          <w:rFonts w:hint="eastAsia"/>
          <w:sz w:val="21"/>
          <w:szCs w:val="21"/>
        </w:rPr>
        <w:t>：</w:t>
      </w:r>
    </w:p>
    <w:p>
      <w:pPr>
        <w:spacing w:line="400" w:lineRule="exact"/>
        <w:ind w:firstLine="420" w:firstLineChars="200"/>
        <w:rPr>
          <w:sz w:val="21"/>
          <w:szCs w:val="21"/>
        </w:rPr>
      </w:pPr>
      <w:r>
        <w:rPr>
          <w:sz w:val="21"/>
          <w:szCs w:val="21"/>
        </w:rPr>
        <w:t>响应人名称：（加盖公章）</w:t>
      </w:r>
    </w:p>
    <w:p>
      <w:pPr>
        <w:pStyle w:val="92"/>
      </w:pPr>
      <w:r>
        <w:t>响应人代表签字：</w:t>
      </w:r>
    </w:p>
    <w:p>
      <w:pPr>
        <w:pStyle w:val="92"/>
      </w:pPr>
      <w:r>
        <w:t>年  月  日</w:t>
      </w:r>
    </w:p>
    <w:p>
      <w:pPr>
        <w:tabs>
          <w:tab w:val="left" w:pos="1200"/>
        </w:tabs>
        <w:spacing w:line="400" w:lineRule="exact"/>
        <w:ind w:firstLine="420" w:firstLineChars="200"/>
        <w:rPr>
          <w:sz w:val="21"/>
          <w:szCs w:val="21"/>
        </w:rPr>
      </w:pPr>
    </w:p>
    <w:p>
      <w:pPr>
        <w:spacing w:line="400" w:lineRule="exact"/>
        <w:ind w:left="420" w:firstLine="420" w:firstLineChars="200"/>
        <w:rPr>
          <w:sz w:val="21"/>
          <w:szCs w:val="21"/>
        </w:rPr>
      </w:pPr>
      <w:r>
        <w:rPr>
          <w:sz w:val="21"/>
          <w:szCs w:val="21"/>
        </w:rPr>
        <w:t>注：除可填报项目外，不得对本响应函的内容进行实质性修改，否则将被视为非实质性响应响应，从而导致该响应被拒绝。</w:t>
      </w:r>
      <w:r>
        <w:rPr>
          <w:sz w:val="21"/>
          <w:szCs w:val="21"/>
        </w:rPr>
        <w:br w:type="page"/>
      </w:r>
    </w:p>
    <w:p>
      <w:pPr>
        <w:pStyle w:val="4"/>
        <w:numPr>
          <w:ilvl w:val="0"/>
          <w:numId w:val="37"/>
        </w:numPr>
        <w:adjustRightInd/>
        <w:spacing w:line="415" w:lineRule="auto"/>
        <w:ind w:left="420"/>
        <w:jc w:val="both"/>
        <w:textAlignment w:val="auto"/>
        <w:rPr>
          <w:kern w:val="2"/>
        </w:rPr>
      </w:pPr>
      <w:bookmarkStart w:id="97" w:name="_Toc86202635"/>
      <w:bookmarkStart w:id="98" w:name="_Ref477452442"/>
      <w:bookmarkStart w:id="99" w:name="_Ref477452408"/>
      <w:r>
        <w:rPr>
          <w:kern w:val="2"/>
        </w:rPr>
        <w:t xml:space="preserve">  </w:t>
      </w:r>
      <w:bookmarkStart w:id="100" w:name="_Toc491372365"/>
      <w:r>
        <w:rPr>
          <w:kern w:val="2"/>
        </w:rPr>
        <w:t>法定代表人授权委托书</w:t>
      </w:r>
      <w:bookmarkEnd w:id="97"/>
      <w:bookmarkEnd w:id="98"/>
      <w:bookmarkEnd w:id="99"/>
      <w:bookmarkEnd w:id="100"/>
    </w:p>
    <w:p>
      <w:pPr>
        <w:pStyle w:val="92"/>
        <w:pBdr>
          <w:top w:val="dashed" w:color="auto" w:sz="4" w:space="1"/>
          <w:left w:val="dashed" w:color="auto" w:sz="4" w:space="4"/>
          <w:bottom w:val="dashed" w:color="auto" w:sz="4" w:space="1"/>
          <w:right w:val="dashed" w:color="auto" w:sz="4" w:space="4"/>
        </w:pBdr>
      </w:pPr>
      <w:r>
        <w:t>致</w:t>
      </w:r>
      <w:r>
        <w:rPr>
          <w:rFonts w:hint="eastAsia"/>
        </w:rPr>
        <w:t xml:space="preserve"> </w:t>
      </w:r>
      <w:r>
        <w:t>中央财经大学</w:t>
      </w:r>
      <w:r>
        <w:rPr>
          <w:rFonts w:hint="eastAsia"/>
        </w:rPr>
        <w:t>：</w:t>
      </w:r>
    </w:p>
    <w:p>
      <w:pPr>
        <w:pStyle w:val="92"/>
        <w:pBdr>
          <w:top w:val="dashed" w:color="auto" w:sz="4" w:space="1"/>
          <w:left w:val="dashed" w:color="auto" w:sz="4" w:space="4"/>
          <w:bottom w:val="dashed" w:color="auto" w:sz="4" w:space="1"/>
          <w:right w:val="dashed" w:color="auto" w:sz="4" w:space="4"/>
        </w:pBdr>
      </w:pPr>
      <w:r>
        <w:t>本授权书声明：注册于</w:t>
      </w:r>
      <w:r>
        <w:rPr>
          <w:rFonts w:hint="eastAsia"/>
        </w:rPr>
        <w:t xml:space="preserve"> </w:t>
      </w:r>
      <w:r>
        <w:rPr>
          <w:rFonts w:hint="eastAsia"/>
          <w:b/>
        </w:rPr>
        <w:t>&lt;</w:t>
      </w:r>
      <w:r>
        <w:rPr>
          <w:b/>
        </w:rPr>
        <w:t xml:space="preserve"> 响应人住址</w:t>
      </w:r>
      <w:r>
        <w:rPr>
          <w:rFonts w:hint="eastAsia"/>
          <w:b/>
        </w:rPr>
        <w:t xml:space="preserve"> </w:t>
      </w:r>
      <w:r>
        <w:rPr>
          <w:b/>
        </w:rPr>
        <w:t>&gt;</w:t>
      </w:r>
      <w:r>
        <w:t xml:space="preserve"> 的</w:t>
      </w:r>
      <w:r>
        <w:rPr>
          <w:rFonts w:hint="eastAsia"/>
        </w:rPr>
        <w:t xml:space="preserve"> </w:t>
      </w:r>
      <w:r>
        <w:rPr>
          <w:rFonts w:hint="eastAsia"/>
          <w:b/>
        </w:rPr>
        <w:t xml:space="preserve">&lt; </w:t>
      </w:r>
      <w:r>
        <w:rPr>
          <w:b/>
        </w:rPr>
        <w:t>响应人名称</w:t>
      </w:r>
      <w:r>
        <w:rPr>
          <w:rFonts w:hint="eastAsia"/>
          <w:b/>
        </w:rPr>
        <w:t xml:space="preserve"> </w:t>
      </w:r>
      <w:r>
        <w:rPr>
          <w:b/>
        </w:rPr>
        <w:t>&gt;</w:t>
      </w:r>
      <w:r>
        <w:t xml:space="preserve"> </w:t>
      </w:r>
      <w:r>
        <w:rPr>
          <w:rFonts w:hint="eastAsia"/>
        </w:rPr>
        <w:t>，</w:t>
      </w:r>
      <w:r>
        <w:t>法定代表人</w:t>
      </w:r>
      <w:r>
        <w:rPr>
          <w:rFonts w:hint="eastAsia"/>
        </w:rPr>
        <w:t xml:space="preserve"> </w:t>
      </w:r>
      <w:r>
        <w:rPr>
          <w:rFonts w:hint="eastAsia"/>
          <w:b/>
        </w:rPr>
        <w:t xml:space="preserve">&lt; </w:t>
      </w:r>
      <w:r>
        <w:rPr>
          <w:b/>
        </w:rPr>
        <w:t>法定代表人姓名、职务</w:t>
      </w:r>
      <w:r>
        <w:rPr>
          <w:rFonts w:hint="eastAsia"/>
          <w:b/>
        </w:rPr>
        <w:t xml:space="preserve"> </w:t>
      </w:r>
      <w:r>
        <w:rPr>
          <w:b/>
        </w:rPr>
        <w:t>&gt;</w:t>
      </w:r>
      <w:r>
        <w:t xml:space="preserve"> 代表本公司授权在下面签字的</w:t>
      </w:r>
      <w:r>
        <w:rPr>
          <w:rFonts w:hint="eastAsia"/>
        </w:rPr>
        <w:t xml:space="preserve"> </w:t>
      </w:r>
      <w:r>
        <w:rPr>
          <w:rFonts w:hint="eastAsia"/>
          <w:b/>
        </w:rPr>
        <w:t xml:space="preserve">&lt; </w:t>
      </w:r>
      <w:r>
        <w:rPr>
          <w:b/>
        </w:rPr>
        <w:t>响应人代表姓名、职务</w:t>
      </w:r>
      <w:r>
        <w:rPr>
          <w:rFonts w:hint="eastAsia"/>
          <w:b/>
        </w:rPr>
        <w:t xml:space="preserve"> </w:t>
      </w:r>
      <w:r>
        <w:rPr>
          <w:b/>
        </w:rPr>
        <w:t>&gt;</w:t>
      </w:r>
      <w:r>
        <w:t xml:space="preserve"> 为本公司的合法代理人，就贵方组织的</w:t>
      </w:r>
      <w:r>
        <w:fldChar w:fldCharType="begin"/>
      </w:r>
      <w:r>
        <w:instrText xml:space="preserve"> REF 项目名称 \h  \* MERGEFORMAT </w:instrText>
      </w:r>
      <w:r>
        <w:fldChar w:fldCharType="separate"/>
      </w:r>
      <w:r>
        <w:t>中央财经大学                          采购项目</w:t>
      </w:r>
      <w:r>
        <w:fldChar w:fldCharType="end"/>
      </w:r>
      <w:r>
        <w:t>，项目编号：</w:t>
      </w:r>
      <w:r>
        <w:fldChar w:fldCharType="begin"/>
      </w:r>
      <w:r>
        <w:instrText xml:space="preserve"> REF 项目编号 \h </w:instrText>
      </w:r>
      <w:r>
        <w:fldChar w:fldCharType="separate"/>
      </w:r>
      <w:r>
        <w:t>JC-20XXXXX</w:t>
      </w:r>
      <w:r>
        <w:fldChar w:fldCharType="end"/>
      </w:r>
      <w:r>
        <w:t>，以本公司名义处理一切与之有关的事务。</w:t>
      </w:r>
    </w:p>
    <w:p>
      <w:pPr>
        <w:pStyle w:val="92"/>
        <w:pBdr>
          <w:top w:val="dashed" w:color="auto" w:sz="4" w:space="1"/>
          <w:left w:val="dashed" w:color="auto" w:sz="4" w:space="4"/>
          <w:bottom w:val="dashed" w:color="auto" w:sz="4" w:space="1"/>
          <w:right w:val="dashed" w:color="auto" w:sz="4" w:space="4"/>
        </w:pBdr>
      </w:pPr>
      <w:r>
        <w:t>本授权书于    年  月  日签字生效，特此声明。</w:t>
      </w: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r>
        <w:t>法定代表人签字（或盖章）：</w:t>
      </w:r>
    </w:p>
    <w:p>
      <w:pPr>
        <w:pStyle w:val="92"/>
        <w:pBdr>
          <w:top w:val="dashed" w:color="auto" w:sz="4" w:space="1"/>
          <w:left w:val="dashed" w:color="auto" w:sz="4" w:space="4"/>
          <w:bottom w:val="dashed" w:color="auto" w:sz="4" w:space="1"/>
          <w:right w:val="dashed" w:color="auto" w:sz="4" w:space="4"/>
        </w:pBdr>
      </w:pPr>
      <w:r>
        <w:t>响应人代表签字：</w:t>
      </w:r>
    </w:p>
    <w:p>
      <w:pPr>
        <w:pStyle w:val="92"/>
        <w:pBdr>
          <w:top w:val="dashed" w:color="auto" w:sz="4" w:space="1"/>
          <w:left w:val="dashed" w:color="auto" w:sz="4" w:space="4"/>
          <w:bottom w:val="dashed" w:color="auto" w:sz="4" w:space="1"/>
          <w:right w:val="dashed" w:color="auto" w:sz="4" w:space="4"/>
        </w:pBdr>
      </w:pPr>
      <w:r>
        <w:tab/>
      </w:r>
      <w:r>
        <w:t>响应人名称：         （加盖公章）</w:t>
      </w:r>
    </w:p>
    <w:p>
      <w:pPr>
        <w:pStyle w:val="92"/>
        <w:pBdr>
          <w:top w:val="dashed" w:color="auto" w:sz="4" w:space="1"/>
          <w:left w:val="dashed" w:color="auto" w:sz="4" w:space="4"/>
          <w:bottom w:val="dashed" w:color="auto" w:sz="4" w:space="1"/>
          <w:right w:val="dashed" w:color="auto" w:sz="4" w:space="4"/>
        </w:pBdr>
      </w:pPr>
      <w:r>
        <w:t xml:space="preserve">    年    月    日</w:t>
      </w:r>
    </w:p>
    <w:p>
      <w:pPr>
        <w:pStyle w:val="92"/>
        <w:pBdr>
          <w:top w:val="dashed" w:color="auto" w:sz="4" w:space="1"/>
          <w:left w:val="dashed" w:color="auto" w:sz="4" w:space="4"/>
          <w:bottom w:val="dashed" w:color="auto" w:sz="4" w:space="1"/>
          <w:right w:val="dashed" w:color="auto" w:sz="4" w:space="4"/>
        </w:pBdr>
      </w:pPr>
      <w:r>
        <w:t>附：响应人代表身份证复印件：</w:t>
      </w:r>
    </w:p>
    <w:p>
      <w:pPr>
        <w:pStyle w:val="92"/>
        <w:pBdr>
          <w:top w:val="dashed" w:color="auto" w:sz="4" w:space="1"/>
          <w:left w:val="dashed" w:color="auto" w:sz="4" w:space="4"/>
          <w:bottom w:val="dashed" w:color="auto" w:sz="4" w:space="1"/>
          <w:right w:val="dashed" w:color="auto" w:sz="4" w:space="4"/>
        </w:pBdr>
      </w:pPr>
      <w:r>
        <w:t>正面：</w:t>
      </w: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r>
        <w:t>反面</w:t>
      </w: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Pr>
      <w:bookmarkStart w:id="101" w:name="_Ref477452443"/>
      <w:bookmarkStart w:id="102" w:name="_Ref477452413"/>
      <w:bookmarkStart w:id="103" w:name="_Toc86202648"/>
      <w:r>
        <w:t>注：除可填报项目外，对本委托书的任何实质性修改将被视为非实质性响应，从而导致该响应被拒绝。</w:t>
      </w:r>
    </w:p>
    <w:p>
      <w:pPr>
        <w:widowControl/>
        <w:adjustRightInd/>
        <w:spacing w:line="240" w:lineRule="auto"/>
        <w:textAlignment w:val="auto"/>
        <w:rPr>
          <w:kern w:val="2"/>
          <w:sz w:val="21"/>
          <w:szCs w:val="22"/>
        </w:rPr>
      </w:pPr>
      <w:r>
        <w:br w:type="page"/>
      </w:r>
    </w:p>
    <w:p>
      <w:pPr>
        <w:pStyle w:val="4"/>
        <w:numPr>
          <w:ilvl w:val="0"/>
          <w:numId w:val="37"/>
        </w:numPr>
        <w:adjustRightInd/>
        <w:spacing w:line="415" w:lineRule="auto"/>
        <w:ind w:left="420"/>
        <w:jc w:val="both"/>
        <w:textAlignment w:val="auto"/>
        <w:rPr>
          <w:kern w:val="2"/>
        </w:rPr>
      </w:pPr>
      <w:r>
        <w:rPr>
          <w:kern w:val="2"/>
        </w:rPr>
        <w:t xml:space="preserve">  </w:t>
      </w:r>
      <w:bookmarkStart w:id="104" w:name="_Ref477980368"/>
      <w:bookmarkStart w:id="105" w:name="_Toc491372366"/>
      <w:bookmarkStart w:id="106" w:name="_Ref477980390"/>
      <w:bookmarkStart w:id="107" w:name="_Toc491371187"/>
      <w:r>
        <w:rPr>
          <w:kern w:val="2"/>
        </w:rPr>
        <w:t>制造厂家授权委托书</w:t>
      </w:r>
      <w:bookmarkEnd w:id="104"/>
      <w:bookmarkEnd w:id="105"/>
      <w:bookmarkEnd w:id="106"/>
      <w:bookmarkEnd w:id="107"/>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中央财经大学：</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作为设在 &lt;</w:t>
      </w:r>
      <w:r>
        <w:rPr>
          <w:szCs w:val="21"/>
        </w:rPr>
        <w:t xml:space="preserve"> </w:t>
      </w:r>
      <w:r>
        <w:rPr>
          <w:rFonts w:hint="eastAsia"/>
          <w:szCs w:val="21"/>
        </w:rPr>
        <w:t>厂家地址 &gt; 的制造 &lt;</w:t>
      </w:r>
      <w:r>
        <w:rPr>
          <w:szCs w:val="21"/>
        </w:rPr>
        <w:t xml:space="preserve"> </w:t>
      </w:r>
      <w:r>
        <w:rPr>
          <w:rFonts w:hint="eastAsia"/>
          <w:szCs w:val="21"/>
        </w:rPr>
        <w:t>响应货物名称和型号 &gt; 的 &lt;</w:t>
      </w:r>
      <w:r>
        <w:rPr>
          <w:szCs w:val="21"/>
        </w:rPr>
        <w:t xml:space="preserve"> </w:t>
      </w:r>
      <w:r>
        <w:rPr>
          <w:rFonts w:hint="eastAsia"/>
          <w:szCs w:val="21"/>
        </w:rPr>
        <w:t>制造厂家名称 &gt; 在此授权 &lt;</w:t>
      </w:r>
      <w:r>
        <w:rPr>
          <w:szCs w:val="21"/>
        </w:rPr>
        <w:t xml:space="preserve"> </w:t>
      </w:r>
      <w:r>
        <w:rPr>
          <w:rFonts w:hint="eastAsia"/>
          <w:szCs w:val="21"/>
        </w:rPr>
        <w:t>代理公司名称和地址 &gt; 用我厂制造的上述货物就</w:t>
      </w:r>
      <w:r>
        <w:rPr>
          <w:szCs w:val="21"/>
        </w:rPr>
        <w:fldChar w:fldCharType="begin"/>
      </w:r>
      <w:r>
        <w:rPr>
          <w:szCs w:val="21"/>
        </w:rPr>
        <w:instrText xml:space="preserve"> </w:instrText>
      </w:r>
      <w:r>
        <w:rPr>
          <w:rFonts w:hint="eastAsia"/>
          <w:szCs w:val="21"/>
        </w:rPr>
        <w:instrText xml:space="preserve">REF 项目名称 \h</w:instrText>
      </w:r>
      <w:r>
        <w:rPr>
          <w:szCs w:val="21"/>
        </w:rPr>
        <w:instrText xml:space="preserve"> </w:instrText>
      </w:r>
      <w:r>
        <w:rPr>
          <w:szCs w:val="21"/>
        </w:rPr>
        <w:fldChar w:fldCharType="separate"/>
      </w:r>
      <w:r>
        <w:t>中央财经大学                          采购项目</w:t>
      </w:r>
      <w:r>
        <w:rPr>
          <w:szCs w:val="21"/>
        </w:rPr>
        <w:fldChar w:fldCharType="end"/>
      </w:r>
      <w:r>
        <w:rPr>
          <w:rFonts w:hint="eastAsia"/>
          <w:szCs w:val="21"/>
        </w:rPr>
        <w:t>，项目编号：</w:t>
      </w:r>
      <w:r>
        <w:rPr>
          <w:szCs w:val="21"/>
        </w:rPr>
        <w:fldChar w:fldCharType="begin"/>
      </w:r>
      <w:r>
        <w:rPr>
          <w:szCs w:val="21"/>
        </w:rPr>
        <w:instrText xml:space="preserve"> REF 项目编号 \h </w:instrText>
      </w:r>
      <w:r>
        <w:rPr>
          <w:szCs w:val="21"/>
        </w:rPr>
        <w:fldChar w:fldCharType="separate"/>
      </w:r>
      <w:r>
        <w:t>JC-20XXXXX</w:t>
      </w:r>
      <w:r>
        <w:rPr>
          <w:szCs w:val="21"/>
        </w:rPr>
        <w:fldChar w:fldCharType="end"/>
      </w:r>
      <w:r>
        <w:rPr>
          <w:rFonts w:hint="eastAsia"/>
          <w:szCs w:val="21"/>
        </w:rPr>
        <w:t>，递交响应文件并进行后继的合同谈判和签署合同。</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szCs w:val="21"/>
        </w:rPr>
        <w:t>根据谈判文件和合同条款的规定，我们在此保证为上述公司就此次磋商而提交的货物承担全部质量保证责任。</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出具授权书的制造厂家名称：            （加盖公章）</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授权人签字：</w:t>
      </w:r>
    </w:p>
    <w:p>
      <w:pPr>
        <w:pBdr>
          <w:top w:val="dashed" w:color="auto" w:sz="4" w:space="1"/>
          <w:left w:val="dashed" w:color="auto" w:sz="4" w:space="4"/>
          <w:bottom w:val="dashed" w:color="auto" w:sz="4" w:space="1"/>
          <w:right w:val="dashed" w:color="auto" w:sz="4" w:space="4"/>
        </w:pBdr>
        <w:spacing w:line="400" w:lineRule="exact"/>
        <w:ind w:firstLine="480" w:firstLineChars="200"/>
        <w:jc w:val="right"/>
        <w:rPr>
          <w:szCs w:val="21"/>
        </w:rPr>
      </w:pPr>
      <w:r>
        <w:rPr>
          <w:rFonts w:hint="eastAsia"/>
          <w:szCs w:val="21"/>
        </w:rPr>
        <w:t xml:space="preserve">    年  月  日</w:t>
      </w:r>
    </w:p>
    <w:p>
      <w:pPr>
        <w:pStyle w:val="92"/>
      </w:pPr>
      <w:r>
        <w:br w:type="page"/>
      </w:r>
    </w:p>
    <w:p>
      <w:pPr>
        <w:pStyle w:val="4"/>
        <w:numPr>
          <w:ilvl w:val="0"/>
          <w:numId w:val="37"/>
        </w:numPr>
        <w:adjustRightInd/>
        <w:spacing w:line="415" w:lineRule="auto"/>
        <w:ind w:left="420"/>
        <w:jc w:val="both"/>
        <w:textAlignment w:val="auto"/>
        <w:rPr>
          <w:kern w:val="2"/>
        </w:rPr>
      </w:pPr>
      <w:r>
        <w:rPr>
          <w:kern w:val="2"/>
        </w:rPr>
        <w:t xml:space="preserve">  </w:t>
      </w:r>
      <w:bookmarkStart w:id="108" w:name="_Toc491372367"/>
      <w:bookmarkStart w:id="109" w:name="_Ref477454981"/>
      <w:r>
        <w:rPr>
          <w:kern w:val="2"/>
        </w:rPr>
        <w:t>商务条款偏离表</w:t>
      </w:r>
      <w:bookmarkEnd w:id="101"/>
      <w:bookmarkEnd w:id="102"/>
      <w:bookmarkEnd w:id="103"/>
      <w:bookmarkEnd w:id="108"/>
      <w:bookmarkEnd w:id="109"/>
    </w:p>
    <w:p>
      <w:pPr>
        <w:spacing w:line="400" w:lineRule="exact"/>
        <w:ind w:firstLine="420" w:firstLineChars="200"/>
        <w:jc w:val="both"/>
        <w:rPr>
          <w:sz w:val="21"/>
          <w:szCs w:val="21"/>
        </w:rPr>
      </w:pPr>
      <w:bookmarkStart w:id="110" w:name="_Toc86202649"/>
      <w:r>
        <w:rPr>
          <w:sz w:val="21"/>
          <w:szCs w:val="21"/>
        </w:rPr>
        <w:t>如响应人提交的响应文件商务条款及合同条款与磋商文件的要求存在偏离，需逐项填写该表，完全满足磋商文件要求的响应人需应答“完全满足磋商文件的全部要求”。</w:t>
      </w:r>
    </w:p>
    <w:p>
      <w:pPr>
        <w:spacing w:line="400" w:lineRule="exact"/>
        <w:ind w:firstLine="420" w:firstLineChars="200"/>
        <w:jc w:val="both"/>
        <w:rPr>
          <w:sz w:val="21"/>
          <w:szCs w:val="21"/>
        </w:rPr>
      </w:pPr>
      <w:r>
        <w:rPr>
          <w:sz w:val="21"/>
          <w:szCs w:val="21"/>
        </w:rPr>
        <w:pict>
          <v:rect id="矩形 3" o:spid="_x0000_s1026" o:spt="1" style="position:absolute;left:0pt;margin-left:-2.95pt;margin-top:1.6pt;height:256.2pt;width:460.2pt;z-index:-1024;mso-width-relative:page;mso-height-relative:page;" o:preferrelative="t" coordsize="21600,21600">
            <v:path/>
            <v:fill focussize="0,0"/>
            <v:stroke weight="1pt" miterlimit="2" dashstyle="dash"/>
            <v:imagedata o:title=""/>
            <o:lock v:ext="edit"/>
          </v:rect>
        </w:pict>
      </w:r>
      <w:r>
        <w:rPr>
          <w:sz w:val="21"/>
          <w:szCs w:val="21"/>
        </w:rPr>
        <w:t>项目名称：</w:t>
      </w:r>
      <w:r>
        <w:fldChar w:fldCharType="begin"/>
      </w:r>
      <w:r>
        <w:instrText xml:space="preserve"> REF 项目名称 \h  \* MERGEFORMAT </w:instrText>
      </w:r>
      <w:r>
        <w:fldChar w:fldCharType="separate"/>
      </w:r>
      <w:r>
        <w:rPr>
          <w:sz w:val="21"/>
          <w:szCs w:val="21"/>
        </w:rPr>
        <w:t>中央财经大学                          采购项目</w:t>
      </w:r>
      <w:r>
        <w:rPr>
          <w:sz w:val="21"/>
          <w:szCs w:val="21"/>
        </w:rPr>
        <w:fldChar w:fldCharType="end"/>
      </w:r>
    </w:p>
    <w:p>
      <w:pPr>
        <w:spacing w:line="400" w:lineRule="exact"/>
        <w:ind w:firstLine="420" w:firstLineChars="200"/>
        <w:jc w:val="both"/>
        <w:rPr>
          <w:sz w:val="21"/>
          <w:szCs w:val="21"/>
        </w:rPr>
      </w:pPr>
      <w:r>
        <w:rPr>
          <w:sz w:val="21"/>
          <w:szCs w:val="21"/>
        </w:rPr>
        <w:t>项目编号：</w:t>
      </w:r>
      <w:r>
        <w:fldChar w:fldCharType="begin"/>
      </w:r>
      <w:r>
        <w:instrText xml:space="preserve"> REF 项目编号 \h  \* MERGEFORMAT </w:instrText>
      </w:r>
      <w:r>
        <w:fldChar w:fldCharType="separate"/>
      </w:r>
      <w:r>
        <w:rPr>
          <w:sz w:val="21"/>
          <w:szCs w:val="21"/>
        </w:rPr>
        <w:t>JC-20XXXXX</w:t>
      </w:r>
      <w:r>
        <w:rPr>
          <w:sz w:val="21"/>
          <w:szCs w:val="21"/>
        </w:rPr>
        <w:fldChar w:fldCharType="end"/>
      </w:r>
    </w:p>
    <w:p>
      <w:pPr>
        <w:spacing w:line="400" w:lineRule="exact"/>
        <w:ind w:firstLine="420" w:firstLineChars="200"/>
        <w:jc w:val="both"/>
        <w:rPr>
          <w:sz w:val="21"/>
          <w:szCs w:val="21"/>
          <w:u w:val="single"/>
        </w:rPr>
      </w:pPr>
      <w:r>
        <w:rPr>
          <w:sz w:val="21"/>
          <w:szCs w:val="21"/>
        </w:rPr>
        <w:t>响应人名称：</w:t>
      </w:r>
    </w:p>
    <w:p>
      <w:pPr>
        <w:spacing w:line="400" w:lineRule="exact"/>
        <w:ind w:firstLine="420" w:firstLineChars="200"/>
        <w:jc w:val="both"/>
        <w:rPr>
          <w:sz w:val="21"/>
          <w:szCs w:val="21"/>
          <w:u w:val="single"/>
        </w:rPr>
      </w:pPr>
      <w:r>
        <w:rPr>
          <w:sz w:val="21"/>
          <w:szCs w:val="21"/>
        </w:rPr>
        <w:t>包号：（以包为单位分别填写，没有分包的项目本栏可不填写）</w:t>
      </w:r>
    </w:p>
    <w:p>
      <w:pPr>
        <w:spacing w:line="400" w:lineRule="exact"/>
        <w:ind w:firstLine="420" w:firstLineChars="200"/>
        <w:jc w:val="both"/>
        <w:rPr>
          <w:sz w:val="21"/>
          <w:szCs w:val="22"/>
        </w:rPr>
      </w:pPr>
    </w:p>
    <w:tbl>
      <w:tblPr>
        <w:tblStyle w:val="45"/>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sz w:val="21"/>
                <w:szCs w:val="21"/>
              </w:rPr>
            </w:pPr>
            <w:r>
              <w:rPr>
                <w:sz w:val="21"/>
                <w:szCs w:val="21"/>
              </w:rPr>
              <w:t>序号</w:t>
            </w:r>
          </w:p>
        </w:tc>
        <w:tc>
          <w:tcPr>
            <w:tcW w:w="1800" w:type="dxa"/>
          </w:tcPr>
          <w:p>
            <w:pPr>
              <w:spacing w:line="400" w:lineRule="exact"/>
              <w:jc w:val="center"/>
              <w:rPr>
                <w:sz w:val="21"/>
                <w:szCs w:val="21"/>
              </w:rPr>
            </w:pPr>
            <w:r>
              <w:rPr>
                <w:sz w:val="21"/>
                <w:szCs w:val="21"/>
              </w:rPr>
              <w:t>磋商文件条目号</w:t>
            </w:r>
          </w:p>
        </w:tc>
        <w:tc>
          <w:tcPr>
            <w:tcW w:w="2400" w:type="dxa"/>
          </w:tcPr>
          <w:p>
            <w:pPr>
              <w:spacing w:line="400" w:lineRule="exact"/>
              <w:jc w:val="center"/>
              <w:rPr>
                <w:sz w:val="21"/>
                <w:szCs w:val="21"/>
              </w:rPr>
            </w:pPr>
            <w:r>
              <w:rPr>
                <w:sz w:val="21"/>
                <w:szCs w:val="21"/>
              </w:rPr>
              <w:t>磋商文件商务文件要求</w:t>
            </w:r>
          </w:p>
        </w:tc>
        <w:tc>
          <w:tcPr>
            <w:tcW w:w="2294" w:type="dxa"/>
          </w:tcPr>
          <w:p>
            <w:pPr>
              <w:spacing w:line="400" w:lineRule="exact"/>
              <w:jc w:val="center"/>
              <w:rPr>
                <w:sz w:val="21"/>
                <w:szCs w:val="21"/>
              </w:rPr>
            </w:pPr>
            <w:r>
              <w:rPr>
                <w:sz w:val="21"/>
                <w:szCs w:val="21"/>
              </w:rPr>
              <w:t>响应文件的应答</w:t>
            </w:r>
          </w:p>
        </w:tc>
        <w:tc>
          <w:tcPr>
            <w:tcW w:w="1801" w:type="dxa"/>
          </w:tcPr>
          <w:p>
            <w:pPr>
              <w:spacing w:line="400" w:lineRule="exact"/>
              <w:jc w:val="center"/>
              <w:rPr>
                <w:sz w:val="21"/>
                <w:szCs w:val="21"/>
              </w:rPr>
            </w:pPr>
            <w:r>
              <w:rPr>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sz w:val="21"/>
                <w:szCs w:val="21"/>
              </w:rPr>
            </w:pPr>
          </w:p>
        </w:tc>
        <w:tc>
          <w:tcPr>
            <w:tcW w:w="1800" w:type="dxa"/>
          </w:tcPr>
          <w:p>
            <w:pPr>
              <w:spacing w:line="400" w:lineRule="exact"/>
              <w:jc w:val="both"/>
              <w:rPr>
                <w:sz w:val="21"/>
                <w:szCs w:val="21"/>
              </w:rPr>
            </w:pPr>
          </w:p>
        </w:tc>
        <w:tc>
          <w:tcPr>
            <w:tcW w:w="2400" w:type="dxa"/>
          </w:tcPr>
          <w:p>
            <w:pPr>
              <w:spacing w:line="400" w:lineRule="exact"/>
              <w:jc w:val="both"/>
              <w:rPr>
                <w:sz w:val="21"/>
                <w:szCs w:val="21"/>
              </w:rPr>
            </w:pPr>
          </w:p>
        </w:tc>
        <w:tc>
          <w:tcPr>
            <w:tcW w:w="2294" w:type="dxa"/>
          </w:tcPr>
          <w:p>
            <w:pPr>
              <w:spacing w:line="400" w:lineRule="exact"/>
              <w:jc w:val="both"/>
              <w:rPr>
                <w:sz w:val="21"/>
                <w:szCs w:val="21"/>
              </w:rPr>
            </w:pPr>
            <w:r>
              <w:rPr>
                <w:sz w:val="21"/>
                <w:szCs w:val="21"/>
              </w:rPr>
              <w:t>完全满足磋商文件的全部要求</w:t>
            </w:r>
          </w:p>
        </w:tc>
        <w:tc>
          <w:tcPr>
            <w:tcW w:w="1801" w:type="dxa"/>
          </w:tcPr>
          <w:p>
            <w:pPr>
              <w:spacing w:line="400" w:lineRule="exact"/>
              <w:jc w:val="both"/>
              <w:rPr>
                <w:sz w:val="21"/>
                <w:szCs w:val="21"/>
              </w:rPr>
            </w:pPr>
          </w:p>
        </w:tc>
      </w:tr>
    </w:tbl>
    <w:p>
      <w:pPr>
        <w:spacing w:line="400" w:lineRule="exact"/>
        <w:ind w:firstLine="420" w:firstLineChars="200"/>
        <w:jc w:val="both"/>
        <w:rPr>
          <w:sz w:val="21"/>
          <w:szCs w:val="21"/>
        </w:rPr>
      </w:pPr>
    </w:p>
    <w:p>
      <w:pPr>
        <w:spacing w:line="400" w:lineRule="exact"/>
        <w:ind w:firstLine="420" w:firstLineChars="200"/>
        <w:jc w:val="both"/>
        <w:rPr>
          <w:sz w:val="21"/>
          <w:szCs w:val="21"/>
        </w:rPr>
      </w:pPr>
      <w:r>
        <w:rPr>
          <w:sz w:val="21"/>
          <w:szCs w:val="21"/>
        </w:rPr>
        <w:t>响应人名称：         （加盖公章）</w:t>
      </w:r>
    </w:p>
    <w:p>
      <w:pPr>
        <w:spacing w:line="400" w:lineRule="exact"/>
        <w:ind w:firstLine="420" w:firstLineChars="200"/>
        <w:jc w:val="both"/>
        <w:rPr>
          <w:sz w:val="21"/>
          <w:szCs w:val="21"/>
          <w:u w:val="single"/>
        </w:rPr>
      </w:pPr>
      <w:r>
        <w:rPr>
          <w:sz w:val="21"/>
          <w:szCs w:val="21"/>
        </w:rPr>
        <w:t>响应人代表签字：</w:t>
      </w:r>
    </w:p>
    <w:p>
      <w:pPr>
        <w:pStyle w:val="92"/>
      </w:pPr>
      <w:r>
        <w:t>年  月  日</w:t>
      </w:r>
    </w:p>
    <w:p>
      <w:pPr>
        <w:pStyle w:val="92"/>
      </w:pPr>
    </w:p>
    <w:p>
      <w:pPr>
        <w:pStyle w:val="92"/>
      </w:pPr>
      <w:r>
        <w:t>注：本表格式可自制，若无商务偏离，请注明。</w:t>
      </w:r>
    </w:p>
    <w:bookmarkEnd w:id="110"/>
    <w:p>
      <w:pPr>
        <w:pStyle w:val="60"/>
        <w:spacing w:line="400" w:lineRule="exact"/>
        <w:rPr>
          <w:rFonts w:ascii="Times New Roman" w:hAnsi="Times New Roman" w:cs="Times New Roman"/>
          <w:color w:val="auto"/>
          <w:szCs w:val="21"/>
        </w:rPr>
        <w:sectPr>
          <w:footerReference r:id="rId7" w:type="first"/>
          <w:pgSz w:w="11909" w:h="16834"/>
          <w:pgMar w:top="1418" w:right="1418" w:bottom="1418" w:left="1559" w:header="851" w:footer="851" w:gutter="0"/>
          <w:pgNumType w:start="1"/>
          <w:cols w:space="720" w:num="1"/>
          <w:titlePg/>
        </w:sectPr>
      </w:pPr>
    </w:p>
    <w:p>
      <w:pPr>
        <w:pStyle w:val="4"/>
        <w:numPr>
          <w:ilvl w:val="0"/>
          <w:numId w:val="37"/>
        </w:numPr>
        <w:adjustRightInd/>
        <w:spacing w:line="415" w:lineRule="auto"/>
        <w:ind w:left="420"/>
        <w:jc w:val="both"/>
        <w:textAlignment w:val="auto"/>
        <w:rPr>
          <w:kern w:val="2"/>
        </w:rPr>
      </w:pPr>
      <w:bookmarkStart w:id="111" w:name="_Toc491372368"/>
      <w:r>
        <w:pict>
          <v:rect id="矩形 4" o:spid="_x0000_s1027" o:spt="1" style="position:absolute;left:0pt;margin-left:-4.4pt;margin-top:52.95pt;height:321.25pt;width:474pt;z-index:-1024;mso-width-relative:page;mso-height-relative:page;" o:preferrelative="t" coordsize="21600,21600">
            <v:path/>
            <v:fill focussize="0,0"/>
            <v:stroke weight="1pt" miterlimit="2" dashstyle="dash"/>
            <v:imagedata o:title=""/>
            <o:lock v:ext="edit"/>
          </v:rect>
        </w:pict>
      </w:r>
      <w:r>
        <w:rPr>
          <w:kern w:val="2"/>
        </w:rPr>
        <w:t xml:space="preserve">  </w:t>
      </w:r>
      <w:bookmarkStart w:id="112" w:name="_Ref477454967"/>
      <w:r>
        <w:rPr>
          <w:kern w:val="2"/>
        </w:rPr>
        <w:t>报价一览表</w:t>
      </w:r>
      <w:bookmarkEnd w:id="111"/>
      <w:bookmarkEnd w:id="112"/>
    </w:p>
    <w:p>
      <w:pPr>
        <w:pStyle w:val="92"/>
      </w:pPr>
      <w:r>
        <w:t>项目名称：</w:t>
      </w:r>
      <w:r>
        <w:fldChar w:fldCharType="begin"/>
      </w:r>
      <w:r>
        <w:instrText xml:space="preserve"> REF 项目名称 \h  \* MERGEFORMAT </w:instrText>
      </w:r>
      <w:r>
        <w:fldChar w:fldCharType="separate"/>
      </w:r>
      <w:r>
        <w:t>中央财经大学                          采购项目</w:t>
      </w:r>
      <w:r>
        <w:fldChar w:fldCharType="end"/>
      </w:r>
    </w:p>
    <w:p>
      <w:pPr>
        <w:pStyle w:val="92"/>
      </w:pPr>
      <w:r>
        <w:t>项目编号：</w:t>
      </w:r>
      <w:r>
        <w:fldChar w:fldCharType="begin"/>
      </w:r>
      <w:r>
        <w:instrText xml:space="preserve"> REF 项目编号 \h </w:instrText>
      </w:r>
      <w:r>
        <w:fldChar w:fldCharType="separate"/>
      </w:r>
      <w:r>
        <w:t>JC-20XXXXX</w:t>
      </w:r>
      <w:r>
        <w:fldChar w:fldCharType="end"/>
      </w:r>
    </w:p>
    <w:p>
      <w:pPr>
        <w:pStyle w:val="92"/>
      </w:pPr>
      <w:r>
        <w:t>响应人名称：</w:t>
      </w:r>
    </w:p>
    <w:p>
      <w:pPr>
        <w:pStyle w:val="92"/>
      </w:pPr>
      <w:r>
        <w:t>包号：（以包为单位分别填报，如无此项可不填写）</w:t>
      </w:r>
    </w:p>
    <w:p>
      <w:pPr>
        <w:pStyle w:val="92"/>
        <w:rPr>
          <w:b/>
          <w:color w:val="000000"/>
          <w:u w:val="single"/>
        </w:rPr>
      </w:pPr>
      <w:r>
        <w:t>价格单位：人</w:t>
      </w:r>
      <w:r>
        <w:rPr>
          <w:szCs w:val="21"/>
        </w:rPr>
        <w:t>民币元</w:t>
      </w:r>
    </w:p>
    <w:tbl>
      <w:tblPr>
        <w:tblStyle w:val="45"/>
        <w:tblW w:w="8930"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708"/>
        <w:gridCol w:w="709"/>
        <w:gridCol w:w="887"/>
        <w:gridCol w:w="1133"/>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92"/>
              <w:ind w:firstLine="0" w:firstLineChars="0"/>
            </w:pPr>
            <w: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货物名称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交货期</w:t>
            </w:r>
          </w:p>
        </w:tc>
        <w:tc>
          <w:tcPr>
            <w:tcW w:w="1133"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交货地点</w:t>
            </w:r>
          </w:p>
        </w:tc>
        <w:tc>
          <w:tcPr>
            <w:tcW w:w="1562"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92"/>
              <w:ind w:firstLine="210" w:firstLineChars="100"/>
            </w:pPr>
            <w:r>
              <w:rPr>
                <w:rFonts w:hint="eastAsia"/>
              </w:rPr>
              <w:t>1</w:t>
            </w:r>
          </w:p>
        </w:tc>
        <w:tc>
          <w:tcPr>
            <w:tcW w:w="1112"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r>
              <w:rPr>
                <w:rFonts w:hint="eastAsia"/>
              </w:rPr>
              <w:t>后勤服务产业集团财务软件</w:t>
            </w:r>
          </w:p>
        </w:tc>
        <w:tc>
          <w:tcPr>
            <w:tcW w:w="709"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708"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r>
              <w:rPr>
                <w:rFonts w:hint="eastAsia"/>
              </w:rPr>
              <w:t>中央财经大学学院南路校区</w:t>
            </w:r>
          </w:p>
        </w:tc>
        <w:tc>
          <w:tcPr>
            <w:tcW w:w="1562"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92"/>
              <w:ind w:firstLine="0" w:firstLineChars="0"/>
            </w:pPr>
            <w: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92"/>
              <w:ind w:firstLine="0" w:firstLineChars="0"/>
            </w:pPr>
            <w:r>
              <w:t>小写：        元</w:t>
            </w:r>
          </w:p>
        </w:tc>
        <w:tc>
          <w:tcPr>
            <w:tcW w:w="5708" w:type="dxa"/>
            <w:gridSpan w:val="6"/>
            <w:tcBorders>
              <w:top w:val="single" w:color="auto" w:sz="4" w:space="0"/>
              <w:left w:val="single" w:color="auto" w:sz="4" w:space="0"/>
              <w:bottom w:val="single" w:color="auto" w:sz="4" w:space="0"/>
              <w:right w:val="single" w:color="auto" w:sz="4" w:space="0"/>
            </w:tcBorders>
            <w:vAlign w:val="center"/>
          </w:tcPr>
          <w:p>
            <w:pPr>
              <w:pStyle w:val="92"/>
              <w:ind w:firstLine="0" w:firstLineChars="0"/>
            </w:pPr>
            <w:r>
              <w:t>大写：                                          元</w:t>
            </w:r>
          </w:p>
        </w:tc>
      </w:tr>
    </w:tbl>
    <w:p>
      <w:pPr>
        <w:pStyle w:val="23"/>
        <w:tabs>
          <w:tab w:val="left" w:pos="5580"/>
        </w:tabs>
        <w:spacing w:before="120" w:line="400" w:lineRule="exact"/>
        <w:ind w:firstLine="420" w:firstLineChars="200"/>
        <w:rPr>
          <w:rFonts w:ascii="Times New Roman" w:hAnsi="Times New Roman"/>
          <w:b/>
          <w:color w:val="000000"/>
        </w:rPr>
      </w:pPr>
    </w:p>
    <w:p>
      <w:pPr>
        <w:pStyle w:val="23"/>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23"/>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92"/>
      </w:pPr>
      <w:r>
        <w:t>年  月  日</w:t>
      </w:r>
    </w:p>
    <w:p>
      <w:pPr>
        <w:pStyle w:val="23"/>
        <w:tabs>
          <w:tab w:val="left" w:pos="5580"/>
        </w:tabs>
        <w:spacing w:before="120" w:line="400" w:lineRule="exact"/>
        <w:ind w:firstLine="420" w:firstLineChars="200"/>
        <w:rPr>
          <w:rFonts w:ascii="Times New Roman" w:hAnsi="Times New Roman"/>
          <w:color w:val="000000"/>
        </w:rPr>
      </w:pPr>
    </w:p>
    <w:p>
      <w:pPr>
        <w:pStyle w:val="92"/>
      </w:pPr>
      <w:r>
        <w:t>注</w:t>
      </w:r>
      <w:r>
        <w:rPr>
          <w:rFonts w:hint="eastAsia"/>
        </w:rPr>
        <w:t>：</w:t>
      </w:r>
      <w:r>
        <w:t>1、各项货物详细技术性能应另页描述。</w:t>
      </w:r>
    </w:p>
    <w:p>
      <w:pPr>
        <w:pStyle w:val="92"/>
      </w:pPr>
      <w:r>
        <w:t>2、除可填报项目外，对本表的任何实质性修改将被视为非实质性响应，从而导致响应被拒绝。</w:t>
      </w:r>
    </w:p>
    <w:p>
      <w:pPr>
        <w:pStyle w:val="92"/>
      </w:pPr>
      <w:r>
        <w:rPr>
          <w:rFonts w:hint="eastAsia"/>
        </w:rPr>
        <w:t>3、报价一览表除需装订在响应文件中外，还需要提供单独密封的报价一览表一份，二者不一致的时候，以响应文件正本中的报价一览表为准。</w:t>
      </w:r>
    </w:p>
    <w:p>
      <w:pPr>
        <w:pStyle w:val="92"/>
        <w:sectPr>
          <w:pgSz w:w="11906" w:h="16838"/>
          <w:pgMar w:top="1134" w:right="1134" w:bottom="1021" w:left="1418" w:header="851" w:footer="851" w:gutter="0"/>
          <w:cols w:space="720" w:num="1"/>
          <w:docGrid w:type="linesAndChars" w:linePitch="312" w:charSpace="0"/>
        </w:sectPr>
      </w:pPr>
    </w:p>
    <w:p>
      <w:pPr>
        <w:pStyle w:val="4"/>
        <w:numPr>
          <w:ilvl w:val="0"/>
          <w:numId w:val="37"/>
        </w:numPr>
        <w:adjustRightInd/>
        <w:spacing w:line="415" w:lineRule="auto"/>
        <w:ind w:left="420"/>
        <w:jc w:val="both"/>
        <w:textAlignment w:val="auto"/>
        <w:rPr>
          <w:kern w:val="2"/>
        </w:rPr>
      </w:pPr>
      <w:bookmarkStart w:id="113" w:name="_Toc86202659"/>
      <w:r>
        <w:rPr>
          <w:rFonts w:hint="eastAsia"/>
          <w:kern w:val="2"/>
        </w:rPr>
        <w:t xml:space="preserve">  </w:t>
      </w:r>
      <w:bookmarkStart w:id="114" w:name="_Ref491368545"/>
      <w:bookmarkStart w:id="115" w:name="_Toc491372369"/>
      <w:r>
        <w:rPr>
          <w:kern w:val="2"/>
        </w:rPr>
        <w:t>报价明细表</w:t>
      </w:r>
      <w:bookmarkEnd w:id="114"/>
      <w:bookmarkEnd w:id="115"/>
    </w:p>
    <w:p>
      <w:pPr>
        <w:adjustRightInd/>
        <w:spacing w:line="400" w:lineRule="exact"/>
        <w:ind w:firstLine="420" w:firstLineChars="200"/>
        <w:jc w:val="both"/>
        <w:textAlignment w:val="auto"/>
        <w:rPr>
          <w:kern w:val="2"/>
          <w:sz w:val="21"/>
          <w:szCs w:val="21"/>
        </w:rPr>
      </w:pPr>
      <w:r>
        <w:rPr>
          <w:kern w:val="2"/>
          <w:sz w:val="21"/>
          <w:szCs w:val="21"/>
        </w:rPr>
        <w:t>项目名称：</w:t>
      </w:r>
      <w:r>
        <w:fldChar w:fldCharType="begin"/>
      </w:r>
      <w:r>
        <w:instrText xml:space="preserve"> REF 项目名称 \h  \* MERGEFORMAT </w:instrText>
      </w:r>
      <w:r>
        <w:fldChar w:fldCharType="separate"/>
      </w:r>
      <w:r>
        <w:rPr>
          <w:kern w:val="2"/>
          <w:sz w:val="21"/>
          <w:szCs w:val="21"/>
        </w:rPr>
        <w:t>中央财经大学                          采购项目</w:t>
      </w:r>
      <w:r>
        <w:rPr>
          <w:kern w:val="2"/>
          <w:sz w:val="21"/>
          <w:szCs w:val="21"/>
        </w:rPr>
        <w:fldChar w:fldCharType="end"/>
      </w:r>
    </w:p>
    <w:p>
      <w:pPr>
        <w:adjustRightInd/>
        <w:spacing w:line="400" w:lineRule="exact"/>
        <w:ind w:firstLine="420" w:firstLineChars="200"/>
        <w:jc w:val="both"/>
        <w:textAlignment w:val="auto"/>
        <w:rPr>
          <w:kern w:val="2"/>
          <w:sz w:val="21"/>
          <w:szCs w:val="21"/>
        </w:rPr>
      </w:pPr>
      <w:r>
        <w:rPr>
          <w:kern w:val="2"/>
          <w:sz w:val="21"/>
          <w:szCs w:val="21"/>
        </w:rPr>
        <w:t>项目编号：</w:t>
      </w:r>
      <w:r>
        <w:fldChar w:fldCharType="begin"/>
      </w:r>
      <w:r>
        <w:instrText xml:space="preserve"> REF 项目编号 \h  \* MERGEFORMAT </w:instrText>
      </w:r>
      <w:r>
        <w:fldChar w:fldCharType="separate"/>
      </w:r>
      <w:r>
        <w:rPr>
          <w:kern w:val="2"/>
          <w:sz w:val="21"/>
          <w:szCs w:val="21"/>
        </w:rPr>
        <w:t>JC-20XXXXX</w:t>
      </w:r>
      <w:r>
        <w:rPr>
          <w:kern w:val="2"/>
          <w:sz w:val="21"/>
          <w:szCs w:val="21"/>
        </w:rPr>
        <w:fldChar w:fldCharType="end"/>
      </w:r>
    </w:p>
    <w:p>
      <w:pPr>
        <w:pStyle w:val="92"/>
      </w:pPr>
      <w:r>
        <w:rPr>
          <w:szCs w:val="21"/>
        </w:rPr>
        <w:t>包号：</w:t>
      </w:r>
      <w:r>
        <w:t>（以包为单位分别填报，如无此项可不填写）</w:t>
      </w:r>
    </w:p>
    <w:p>
      <w:pPr>
        <w:snapToGrid w:val="0"/>
        <w:spacing w:line="400" w:lineRule="exact"/>
        <w:ind w:firstLine="480" w:firstLineChars="200"/>
        <w:rPr>
          <w:szCs w:val="21"/>
          <w:u w:val="single"/>
          <w:lang w:val="zh-CN"/>
        </w:rPr>
      </w:pPr>
    </w:p>
    <w:p>
      <w:pPr>
        <w:tabs>
          <w:tab w:val="left" w:pos="1200"/>
          <w:tab w:val="left" w:pos="1620"/>
        </w:tabs>
        <w:spacing w:line="400" w:lineRule="exact"/>
        <w:ind w:firstLine="480" w:firstLineChars="200"/>
        <w:jc w:val="right"/>
        <w:rPr>
          <w:b/>
          <w:szCs w:val="21"/>
        </w:rPr>
      </w:pPr>
      <w:r>
        <w:rPr>
          <w:szCs w:val="21"/>
        </w:rPr>
        <w:t>价格单位:人民币元</w:t>
      </w:r>
    </w:p>
    <w:tbl>
      <w:tblPr>
        <w:tblStyle w:val="45"/>
        <w:tblW w:w="8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916"/>
        <w:gridCol w:w="1398"/>
        <w:gridCol w:w="411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663" w:type="dxa"/>
            <w:vAlign w:val="center"/>
          </w:tcPr>
          <w:p>
            <w:pPr>
              <w:widowControl/>
              <w:spacing w:line="400" w:lineRule="exact"/>
              <w:jc w:val="center"/>
              <w:rPr>
                <w:b/>
                <w:szCs w:val="21"/>
              </w:rPr>
            </w:pPr>
            <w:r>
              <w:rPr>
                <w:b/>
                <w:szCs w:val="21"/>
              </w:rPr>
              <w:t>序号</w:t>
            </w:r>
          </w:p>
        </w:tc>
        <w:tc>
          <w:tcPr>
            <w:tcW w:w="916" w:type="dxa"/>
            <w:vAlign w:val="center"/>
          </w:tcPr>
          <w:p>
            <w:pPr>
              <w:widowControl/>
              <w:spacing w:line="400" w:lineRule="exact"/>
              <w:jc w:val="center"/>
              <w:rPr>
                <w:szCs w:val="21"/>
              </w:rPr>
            </w:pPr>
            <w:r>
              <w:rPr>
                <w:b/>
                <w:szCs w:val="21"/>
              </w:rPr>
              <w:t>名称</w:t>
            </w:r>
          </w:p>
        </w:tc>
        <w:tc>
          <w:tcPr>
            <w:tcW w:w="1398" w:type="dxa"/>
            <w:vAlign w:val="center"/>
          </w:tcPr>
          <w:p>
            <w:pPr>
              <w:autoSpaceDE w:val="0"/>
              <w:autoSpaceDN w:val="0"/>
              <w:spacing w:line="400" w:lineRule="exact"/>
              <w:jc w:val="center"/>
              <w:rPr>
                <w:b/>
                <w:szCs w:val="21"/>
              </w:rPr>
            </w:pPr>
            <w:r>
              <w:rPr>
                <w:b/>
                <w:szCs w:val="21"/>
              </w:rPr>
              <w:t>单价</w:t>
            </w:r>
          </w:p>
        </w:tc>
        <w:tc>
          <w:tcPr>
            <w:tcW w:w="4110" w:type="dxa"/>
            <w:vAlign w:val="center"/>
          </w:tcPr>
          <w:p>
            <w:pPr>
              <w:widowControl/>
              <w:spacing w:line="400" w:lineRule="exact"/>
              <w:jc w:val="center"/>
              <w:rPr>
                <w:b/>
                <w:szCs w:val="21"/>
              </w:rPr>
            </w:pPr>
            <w:r>
              <w:rPr>
                <w:b/>
                <w:szCs w:val="21"/>
              </w:rPr>
              <w:t>功能</w:t>
            </w:r>
          </w:p>
        </w:tc>
        <w:tc>
          <w:tcPr>
            <w:tcW w:w="1316" w:type="dxa"/>
            <w:tcMar>
              <w:top w:w="0" w:type="dxa"/>
              <w:left w:w="108" w:type="dxa"/>
              <w:bottom w:w="0" w:type="dxa"/>
              <w:right w:w="108" w:type="dxa"/>
            </w:tcMar>
            <w:vAlign w:val="center"/>
          </w:tcPr>
          <w:p>
            <w:pPr>
              <w:widowControl/>
              <w:spacing w:line="400" w:lineRule="exact"/>
              <w:jc w:val="center"/>
              <w:rPr>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r>
              <w:pict>
                <v:rect id="矩形 1" o:spid="_x0000_s1028" o:spt="1" style="position:absolute;left:0pt;margin-left:-91.65pt;margin-top:-169.8pt;height:334.65pt;width:452.75pt;z-index:-1024;mso-width-relative:page;mso-height-relative:page;" o:preferrelative="t" coordsize="21600,21600">
                  <v:path/>
                  <v:fill focussize="0,0"/>
                  <v:stroke weight="1pt" miterlimit="2" dashstyle="dash"/>
                  <v:imagedata o:title=""/>
                  <o:lock v:ext="edit"/>
                </v:rect>
              </w:pict>
            </w: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r>
              <w:rPr>
                <w:szCs w:val="21"/>
              </w:rPr>
              <w:t>合计</w:t>
            </w: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bl>
    <w:p>
      <w:pPr>
        <w:pStyle w:val="23"/>
        <w:tabs>
          <w:tab w:val="left" w:pos="5580"/>
        </w:tabs>
        <w:spacing w:before="120" w:line="400" w:lineRule="exact"/>
        <w:ind w:firstLine="422" w:firstLineChars="200"/>
        <w:rPr>
          <w:rFonts w:ascii="Times New Roman" w:hAnsi="Times New Roman"/>
          <w:b/>
          <w:color w:val="000000"/>
        </w:rPr>
      </w:pPr>
    </w:p>
    <w:p>
      <w:pPr>
        <w:pStyle w:val="23"/>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23"/>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92"/>
      </w:pPr>
      <w:r>
        <w:t>年  月  日</w:t>
      </w:r>
    </w:p>
    <w:p>
      <w:pPr>
        <w:widowControl/>
        <w:adjustRightInd/>
        <w:spacing w:line="240" w:lineRule="auto"/>
        <w:textAlignment w:val="auto"/>
        <w:rPr>
          <w:b/>
          <w:bCs/>
          <w:kern w:val="2"/>
          <w:sz w:val="32"/>
          <w:szCs w:val="32"/>
        </w:rPr>
      </w:pPr>
      <w:r>
        <w:rPr>
          <w:bCs/>
          <w:szCs w:val="32"/>
        </w:rPr>
        <w:br w:type="page"/>
      </w:r>
    </w:p>
    <w:p>
      <w:pPr>
        <w:pStyle w:val="4"/>
        <w:numPr>
          <w:ilvl w:val="0"/>
          <w:numId w:val="37"/>
        </w:numPr>
        <w:adjustRightInd/>
        <w:spacing w:line="415" w:lineRule="auto"/>
        <w:ind w:left="420"/>
        <w:jc w:val="both"/>
        <w:textAlignment w:val="auto"/>
        <w:rPr>
          <w:kern w:val="2"/>
        </w:rPr>
      </w:pPr>
      <w:r>
        <w:rPr>
          <w:kern w:val="2"/>
        </w:rPr>
        <w:t xml:space="preserve">  </w:t>
      </w:r>
      <w:bookmarkStart w:id="116" w:name="_Toc491372370"/>
      <w:bookmarkStart w:id="117" w:name="_Ref477454972"/>
      <w:r>
        <w:rPr>
          <w:kern w:val="2"/>
        </w:rPr>
        <w:t>响应人货物、服务项目偏离表</w:t>
      </w:r>
      <w:bookmarkEnd w:id="113"/>
      <w:bookmarkEnd w:id="116"/>
      <w:bookmarkEnd w:id="117"/>
    </w:p>
    <w:p>
      <w:pPr>
        <w:spacing w:line="400" w:lineRule="exact"/>
        <w:ind w:firstLine="420" w:firstLineChars="200"/>
        <w:jc w:val="both"/>
        <w:rPr>
          <w:sz w:val="21"/>
          <w:szCs w:val="21"/>
        </w:rPr>
      </w:pPr>
      <w:r>
        <w:rPr>
          <w:sz w:val="21"/>
          <w:szCs w:val="21"/>
        </w:rPr>
        <w:t>如响应人提供的货物、服务与磋商文件的要求存在偏离，需逐项填写该表，完全满足磋商文件要求的响应人需应答“完全满足磋商文件的全部要求”。</w:t>
      </w:r>
    </w:p>
    <w:p>
      <w:pPr>
        <w:spacing w:line="400" w:lineRule="exact"/>
        <w:ind w:firstLine="480" w:firstLineChars="200"/>
        <w:jc w:val="both"/>
        <w:rPr>
          <w:sz w:val="21"/>
          <w:szCs w:val="21"/>
        </w:rPr>
      </w:pPr>
      <w:r>
        <w:pict>
          <v:rect id="_x0000_s1029" o:spid="_x0000_s1029" o:spt="1" style="position:absolute;left:0pt;margin-left:0.05pt;margin-top:10.8pt;height:271.2pt;width:449.4pt;z-index:-1024;mso-width-relative:page;mso-height-relative:page;" o:preferrelative="t" coordsize="21600,21600">
            <v:path/>
            <v:fill focussize="0,0"/>
            <v:stroke weight="1pt" miterlimit="2" dashstyle="dash"/>
            <v:imagedata o:title=""/>
            <o:lock v:ext="edit"/>
          </v:rect>
        </w:pict>
      </w:r>
    </w:p>
    <w:p>
      <w:pPr>
        <w:spacing w:line="400" w:lineRule="exact"/>
        <w:ind w:firstLine="420" w:firstLineChars="200"/>
        <w:rPr>
          <w:sz w:val="21"/>
          <w:szCs w:val="21"/>
          <w:u w:val="single"/>
        </w:rPr>
      </w:pPr>
      <w:r>
        <w:rPr>
          <w:sz w:val="21"/>
          <w:szCs w:val="21"/>
        </w:rPr>
        <w:t>项目名称：</w:t>
      </w:r>
      <w:r>
        <w:fldChar w:fldCharType="begin"/>
      </w:r>
      <w:r>
        <w:instrText xml:space="preserve"> REF 项目名称 \h  \* MERGEFORMAT </w:instrText>
      </w:r>
      <w:r>
        <w:fldChar w:fldCharType="separate"/>
      </w:r>
      <w:r>
        <w:rPr>
          <w:sz w:val="21"/>
          <w:szCs w:val="21"/>
        </w:rPr>
        <w:t>中央财经大学                          采购项目</w:t>
      </w:r>
      <w:r>
        <w:rPr>
          <w:sz w:val="21"/>
          <w:szCs w:val="21"/>
        </w:rPr>
        <w:fldChar w:fldCharType="end"/>
      </w:r>
    </w:p>
    <w:p>
      <w:pPr>
        <w:spacing w:line="400" w:lineRule="exact"/>
        <w:ind w:firstLine="420" w:firstLineChars="200"/>
        <w:rPr>
          <w:sz w:val="21"/>
          <w:szCs w:val="21"/>
          <w:u w:val="single"/>
        </w:rPr>
      </w:pPr>
      <w:r>
        <w:rPr>
          <w:sz w:val="21"/>
          <w:szCs w:val="21"/>
        </w:rPr>
        <w:t>项目编号：</w:t>
      </w:r>
      <w:r>
        <w:fldChar w:fldCharType="begin"/>
      </w:r>
      <w:r>
        <w:instrText xml:space="preserve"> REF 项目编号 \h  \* MERGEFORMAT </w:instrText>
      </w:r>
      <w:r>
        <w:fldChar w:fldCharType="separate"/>
      </w:r>
      <w:r>
        <w:rPr>
          <w:sz w:val="21"/>
          <w:szCs w:val="21"/>
        </w:rPr>
        <w:t>JC-20XXXXX</w:t>
      </w:r>
      <w:r>
        <w:rPr>
          <w:sz w:val="21"/>
          <w:szCs w:val="21"/>
        </w:rPr>
        <w:fldChar w:fldCharType="end"/>
      </w:r>
    </w:p>
    <w:p>
      <w:pPr>
        <w:spacing w:line="400" w:lineRule="exact"/>
        <w:ind w:firstLine="420" w:firstLineChars="200"/>
        <w:rPr>
          <w:sz w:val="21"/>
          <w:szCs w:val="21"/>
        </w:rPr>
      </w:pPr>
      <w:r>
        <w:rPr>
          <w:sz w:val="21"/>
          <w:szCs w:val="21"/>
        </w:rPr>
        <w:t>响应人名称：</w:t>
      </w:r>
    </w:p>
    <w:p>
      <w:pPr>
        <w:pStyle w:val="92"/>
      </w:pPr>
      <w:r>
        <w:rPr>
          <w:szCs w:val="21"/>
        </w:rPr>
        <w:t>包号：</w:t>
      </w:r>
      <w:r>
        <w:t>（以包为单位分别填报，如无此项可不填写）</w:t>
      </w:r>
    </w:p>
    <w:p>
      <w:pPr>
        <w:spacing w:line="400" w:lineRule="exact"/>
        <w:ind w:firstLine="420" w:firstLineChars="200"/>
        <w:rPr>
          <w:sz w:val="21"/>
          <w:szCs w:val="21"/>
        </w:rPr>
      </w:pPr>
    </w:p>
    <w:tbl>
      <w:tblPr>
        <w:tblStyle w:val="45"/>
        <w:tblW w:w="8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79"/>
        <w:gridCol w:w="1701"/>
        <w:gridCol w:w="2551"/>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sz w:val="21"/>
                <w:szCs w:val="21"/>
              </w:rPr>
            </w:pPr>
            <w:r>
              <w:rPr>
                <w:sz w:val="21"/>
                <w:szCs w:val="21"/>
              </w:rPr>
              <w:t>序号</w:t>
            </w:r>
          </w:p>
        </w:tc>
        <w:tc>
          <w:tcPr>
            <w:tcW w:w="1779" w:type="dxa"/>
          </w:tcPr>
          <w:p>
            <w:pPr>
              <w:spacing w:line="400" w:lineRule="exact"/>
              <w:jc w:val="both"/>
              <w:rPr>
                <w:sz w:val="21"/>
                <w:szCs w:val="21"/>
              </w:rPr>
            </w:pPr>
            <w:r>
              <w:rPr>
                <w:sz w:val="21"/>
                <w:szCs w:val="21"/>
              </w:rPr>
              <w:t>磋商文件指标项</w:t>
            </w:r>
          </w:p>
        </w:tc>
        <w:tc>
          <w:tcPr>
            <w:tcW w:w="1701" w:type="dxa"/>
          </w:tcPr>
          <w:p>
            <w:pPr>
              <w:spacing w:line="400" w:lineRule="exact"/>
              <w:jc w:val="center"/>
              <w:rPr>
                <w:sz w:val="21"/>
                <w:szCs w:val="21"/>
              </w:rPr>
            </w:pPr>
            <w:r>
              <w:rPr>
                <w:sz w:val="21"/>
                <w:szCs w:val="21"/>
              </w:rPr>
              <w:t>磋商文件要求</w:t>
            </w:r>
          </w:p>
        </w:tc>
        <w:tc>
          <w:tcPr>
            <w:tcW w:w="2551" w:type="dxa"/>
          </w:tcPr>
          <w:p>
            <w:pPr>
              <w:spacing w:line="400" w:lineRule="exact"/>
              <w:jc w:val="both"/>
              <w:rPr>
                <w:sz w:val="21"/>
                <w:szCs w:val="21"/>
              </w:rPr>
            </w:pPr>
            <w:r>
              <w:rPr>
                <w:sz w:val="21"/>
                <w:szCs w:val="21"/>
              </w:rPr>
              <w:t>响应文件的应答</w:t>
            </w:r>
          </w:p>
        </w:tc>
        <w:tc>
          <w:tcPr>
            <w:tcW w:w="1276" w:type="dxa"/>
          </w:tcPr>
          <w:p>
            <w:pPr>
              <w:spacing w:line="400" w:lineRule="exact"/>
              <w:jc w:val="both"/>
              <w:rPr>
                <w:sz w:val="21"/>
                <w:szCs w:val="21"/>
              </w:rPr>
            </w:pPr>
            <w:r>
              <w:rPr>
                <w:sz w:val="21"/>
                <w:szCs w:val="21"/>
              </w:rPr>
              <w:t>偏离情况</w:t>
            </w:r>
          </w:p>
        </w:tc>
        <w:tc>
          <w:tcPr>
            <w:tcW w:w="851" w:type="dxa"/>
          </w:tcPr>
          <w:p>
            <w:pPr>
              <w:spacing w:line="400" w:lineRule="exact"/>
              <w:jc w:val="both"/>
              <w:rPr>
                <w:sz w:val="21"/>
                <w:szCs w:val="21"/>
              </w:rPr>
            </w:pPr>
            <w:r>
              <w:rPr>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sz w:val="21"/>
                <w:szCs w:val="21"/>
              </w:rPr>
            </w:pPr>
          </w:p>
        </w:tc>
        <w:tc>
          <w:tcPr>
            <w:tcW w:w="1779" w:type="dxa"/>
          </w:tcPr>
          <w:p>
            <w:pPr>
              <w:spacing w:line="400" w:lineRule="exact"/>
              <w:jc w:val="both"/>
              <w:rPr>
                <w:sz w:val="21"/>
                <w:szCs w:val="21"/>
              </w:rPr>
            </w:pPr>
          </w:p>
        </w:tc>
        <w:tc>
          <w:tcPr>
            <w:tcW w:w="1701" w:type="dxa"/>
          </w:tcPr>
          <w:p>
            <w:pPr>
              <w:spacing w:line="400" w:lineRule="exact"/>
              <w:jc w:val="both"/>
              <w:rPr>
                <w:sz w:val="21"/>
                <w:szCs w:val="21"/>
              </w:rPr>
            </w:pPr>
          </w:p>
        </w:tc>
        <w:tc>
          <w:tcPr>
            <w:tcW w:w="2551" w:type="dxa"/>
          </w:tcPr>
          <w:p>
            <w:pPr>
              <w:spacing w:line="400" w:lineRule="exact"/>
              <w:jc w:val="both"/>
              <w:rPr>
                <w:sz w:val="21"/>
                <w:szCs w:val="21"/>
              </w:rPr>
            </w:pPr>
            <w:r>
              <w:rPr>
                <w:sz w:val="21"/>
                <w:szCs w:val="21"/>
              </w:rPr>
              <w:t>完全满足磋商文件的全部要求</w:t>
            </w:r>
          </w:p>
        </w:tc>
        <w:tc>
          <w:tcPr>
            <w:tcW w:w="1276" w:type="dxa"/>
          </w:tcPr>
          <w:p>
            <w:pPr>
              <w:spacing w:line="400" w:lineRule="exact"/>
              <w:jc w:val="both"/>
              <w:rPr>
                <w:sz w:val="21"/>
                <w:szCs w:val="21"/>
              </w:rPr>
            </w:pPr>
          </w:p>
        </w:tc>
        <w:tc>
          <w:tcPr>
            <w:tcW w:w="851" w:type="dxa"/>
          </w:tcPr>
          <w:p>
            <w:pPr>
              <w:spacing w:line="400" w:lineRule="exact"/>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sz w:val="21"/>
                <w:szCs w:val="21"/>
              </w:rPr>
            </w:pPr>
          </w:p>
        </w:tc>
        <w:tc>
          <w:tcPr>
            <w:tcW w:w="1779" w:type="dxa"/>
          </w:tcPr>
          <w:p>
            <w:pPr>
              <w:spacing w:line="400" w:lineRule="exact"/>
              <w:jc w:val="both"/>
              <w:rPr>
                <w:sz w:val="21"/>
                <w:szCs w:val="21"/>
              </w:rPr>
            </w:pPr>
          </w:p>
        </w:tc>
        <w:tc>
          <w:tcPr>
            <w:tcW w:w="1701" w:type="dxa"/>
          </w:tcPr>
          <w:p>
            <w:pPr>
              <w:spacing w:line="400" w:lineRule="exact"/>
              <w:jc w:val="both"/>
              <w:rPr>
                <w:sz w:val="21"/>
                <w:szCs w:val="21"/>
              </w:rPr>
            </w:pPr>
          </w:p>
        </w:tc>
        <w:tc>
          <w:tcPr>
            <w:tcW w:w="2551" w:type="dxa"/>
          </w:tcPr>
          <w:p>
            <w:pPr>
              <w:spacing w:line="400" w:lineRule="exact"/>
              <w:jc w:val="both"/>
              <w:rPr>
                <w:sz w:val="21"/>
                <w:szCs w:val="21"/>
              </w:rPr>
            </w:pPr>
          </w:p>
        </w:tc>
        <w:tc>
          <w:tcPr>
            <w:tcW w:w="1276" w:type="dxa"/>
          </w:tcPr>
          <w:p>
            <w:pPr>
              <w:spacing w:line="400" w:lineRule="exact"/>
              <w:jc w:val="both"/>
              <w:rPr>
                <w:sz w:val="21"/>
                <w:szCs w:val="21"/>
              </w:rPr>
            </w:pPr>
          </w:p>
        </w:tc>
        <w:tc>
          <w:tcPr>
            <w:tcW w:w="851" w:type="dxa"/>
          </w:tcPr>
          <w:p>
            <w:pPr>
              <w:spacing w:line="400" w:lineRule="exact"/>
              <w:jc w:val="both"/>
              <w:rPr>
                <w:sz w:val="21"/>
                <w:szCs w:val="21"/>
              </w:rPr>
            </w:pPr>
          </w:p>
        </w:tc>
      </w:tr>
    </w:tbl>
    <w:p>
      <w:pPr>
        <w:pStyle w:val="23"/>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23"/>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92"/>
        <w:rPr>
          <w:b/>
          <w:bCs/>
          <w:szCs w:val="21"/>
        </w:rPr>
      </w:pPr>
      <w:r>
        <w:t>年  月  日</w:t>
      </w:r>
    </w:p>
    <w:sectPr>
      <w:pgSz w:w="11909" w:h="16834"/>
      <w:pgMar w:top="1418" w:right="1418" w:bottom="1418" w:left="1559"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36</w:t>
    </w:r>
    <w:r>
      <w:rPr>
        <w:b/>
        <w:bCs/>
        <w:sz w:val="24"/>
        <w:szCs w:val="24"/>
      </w:rP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41</w:t>
    </w:r>
    <w:r>
      <w:rPr>
        <w:b/>
        <w:bCs/>
        <w:sz w:val="24"/>
        <w:szCs w:val="24"/>
      </w:rP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41</w:t>
    </w:r>
    <w:r>
      <w:rPr>
        <w:b/>
        <w:bCs/>
        <w:sz w:val="24"/>
        <w:szCs w:val="24"/>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none" w:color="auto" w:sz="0" w:space="1"/>
        <w:left w:val="none" w:color="auto" w:sz="0" w:space="4"/>
        <w:bottom w:val="none" w:color="auto" w:sz="0" w:space="1"/>
        <w:right w:val="none" w:color="auto" w:sz="0" w:space="4"/>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lvlText w:val="第%1章 "/>
      <w:lvlJc w:val="center"/>
      <w:pPr>
        <w:ind w:left="420" w:hanging="420"/>
      </w:pPr>
      <w:rPr>
        <w:rFonts w:hint="eastAsia"/>
      </w:rPr>
    </w:lvl>
    <w:lvl w:ilvl="1" w:tentative="0">
      <w:start w:val="1"/>
      <w:numFmt w:val="decimal"/>
      <w:pStyle w:val="87"/>
      <w:lvlText w:val="%1.%2 "/>
      <w:lvlJc w:val="left"/>
      <w:pPr>
        <w:ind w:left="840" w:hanging="420"/>
      </w:pPr>
      <w:rPr>
        <w:rFonts w:hint="eastAsia"/>
      </w:rPr>
    </w:lvl>
    <w:lvl w:ilvl="2" w:tentative="0">
      <w:start w:val="1"/>
      <w:numFmt w:val="decimal"/>
      <w:lvlText w:val="%1.%2.%3 "/>
      <w:lvlJc w:val="left"/>
      <w:pPr>
        <w:ind w:left="375" w:hanging="375"/>
      </w:pPr>
      <w:rPr>
        <w:rFonts w:hint="default"/>
      </w:rPr>
    </w:lvl>
    <w:lvl w:ilvl="3" w:tentative="0">
      <w:start w:val="1"/>
      <w:numFmt w:val="decimal"/>
      <w:lvlText w:val="%1.%2.%3.%4 "/>
      <w:lvlJc w:val="left"/>
      <w:pPr>
        <w:ind w:left="1680" w:hanging="420"/>
      </w:pPr>
      <w:rPr>
        <w:rFonts w:hint="eastAsia"/>
      </w:rPr>
    </w:lvl>
    <w:lvl w:ilvl="4" w:tentative="0">
      <w:start w:val="1"/>
      <w:numFmt w:val="upperLetter"/>
      <w:lvlText w:val="%5) "/>
      <w:lvlJc w:val="left"/>
      <w:pPr>
        <w:ind w:left="2100" w:hanging="420"/>
      </w:pPr>
      <w:rPr>
        <w:rFonts w:hint="eastAsia"/>
      </w:rPr>
    </w:lvl>
    <w:lvl w:ilvl="5" w:tentative="0">
      <w:start w:val="1"/>
      <w:numFmt w:val="lowerRoman"/>
      <w:lvlText w:val="%6. "/>
      <w:lvlJc w:val="right"/>
      <w:pPr>
        <w:ind w:left="2520" w:hanging="420"/>
      </w:pPr>
      <w:rPr>
        <w:rFonts w:hint="eastAsia"/>
      </w:rPr>
    </w:lvl>
    <w:lvl w:ilvl="6" w:tentative="0">
      <w:start w:val="1"/>
      <w:numFmt w:val="decimal"/>
      <w:lvlText w:val="%7. "/>
      <w:lvlJc w:val="left"/>
      <w:pPr>
        <w:ind w:left="2940" w:hanging="420"/>
      </w:pPr>
      <w:rPr>
        <w:rFonts w:hint="eastAsia"/>
      </w:rPr>
    </w:lvl>
    <w:lvl w:ilvl="7" w:tentative="0">
      <w:start w:val="1"/>
      <w:numFmt w:val="lowerLetter"/>
      <w:lvlText w:val="%8) "/>
      <w:lvlJc w:val="left"/>
      <w:pPr>
        <w:ind w:left="3360" w:hanging="420"/>
      </w:pPr>
      <w:rPr>
        <w:rFonts w:hint="eastAsia"/>
      </w:rPr>
    </w:lvl>
    <w:lvl w:ilvl="8" w:tentative="0">
      <w:start w:val="1"/>
      <w:numFmt w:val="lowerRoman"/>
      <w:lvlText w:val="%9) "/>
      <w:lvlJc w:val="right"/>
      <w:pPr>
        <w:ind w:left="3780" w:hanging="420"/>
      </w:pPr>
      <w:rPr>
        <w:rFonts w:hint="eastAsia"/>
      </w:rPr>
    </w:lvl>
  </w:abstractNum>
  <w:abstractNum w:abstractNumId="1">
    <w:nsid w:val="00000012"/>
    <w:multiLevelType w:val="multilevel"/>
    <w:tmpl w:val="00000012"/>
    <w:lvl w:ilvl="0" w:tentative="0">
      <w:start w:val="1"/>
      <w:numFmt w:val="decimal"/>
      <w:lvlText w:val="%1."/>
      <w:lvlJc w:val="left"/>
      <w:pPr>
        <w:tabs>
          <w:tab w:val="left" w:pos="425"/>
        </w:tabs>
        <w:ind w:left="425" w:hanging="425"/>
      </w:pPr>
      <w:rPr>
        <w:rFonts w:hint="eastAsia"/>
      </w:rPr>
    </w:lvl>
    <w:lvl w:ilvl="1" w:tentative="0">
      <w:start w:val="1"/>
      <w:numFmt w:val="decimal"/>
      <w:pStyle w:val="68"/>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13"/>
    <w:multiLevelType w:val="multilevel"/>
    <w:tmpl w:val="0000001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0000001D"/>
    <w:multiLevelType w:val="singleLevel"/>
    <w:tmpl w:val="0000001D"/>
    <w:lvl w:ilvl="0" w:tentative="0">
      <w:start w:val="5"/>
      <w:numFmt w:val="decimal"/>
      <w:pStyle w:val="91"/>
      <w:lvlText w:val="%1."/>
      <w:lvlJc w:val="left"/>
      <w:pPr>
        <w:tabs>
          <w:tab w:val="left" w:pos="735"/>
        </w:tabs>
        <w:ind w:left="735" w:hanging="735"/>
      </w:pPr>
      <w:rPr>
        <w:rFonts w:hint="eastAsia"/>
      </w:rPr>
    </w:lvl>
  </w:abstractNum>
  <w:abstractNum w:abstractNumId="4">
    <w:nsid w:val="0000001E"/>
    <w:multiLevelType w:val="singleLevel"/>
    <w:tmpl w:val="0000001E"/>
    <w:lvl w:ilvl="0" w:tentative="0">
      <w:start w:val="3"/>
      <w:numFmt w:val="decimal"/>
      <w:pStyle w:val="88"/>
      <w:lvlText w:val="%1."/>
      <w:lvlJc w:val="left"/>
      <w:pPr>
        <w:tabs>
          <w:tab w:val="left" w:pos="735"/>
        </w:tabs>
        <w:ind w:left="735" w:hanging="735"/>
      </w:pPr>
      <w:rPr>
        <w:rFonts w:hint="eastAsia"/>
      </w:rPr>
    </w:lvl>
  </w:abstractNum>
  <w:abstractNum w:abstractNumId="5">
    <w:nsid w:val="00000025"/>
    <w:multiLevelType w:val="multilevel"/>
    <w:tmpl w:val="00000025"/>
    <w:lvl w:ilvl="0" w:tentative="0">
      <w:start w:val="1"/>
      <w:numFmt w:val="chineseCountingThousand"/>
      <w:suff w:val="space"/>
      <w:lvlText w:val="%1、"/>
      <w:lvlJc w:val="left"/>
      <w:pPr>
        <w:ind w:left="0" w:firstLine="737"/>
      </w:pPr>
      <w:rPr>
        <w:rFonts w:hint="eastAsia"/>
      </w:rPr>
    </w:lvl>
    <w:lvl w:ilvl="1" w:tentative="0">
      <w:start w:val="1"/>
      <w:numFmt w:val="ideographDigital"/>
      <w:suff w:val="space"/>
      <w:lvlText w:val="（%2）"/>
      <w:lvlJc w:val="left"/>
      <w:pPr>
        <w:ind w:left="0" w:firstLine="737"/>
      </w:pPr>
      <w:rPr>
        <w:rFonts w:hint="eastAsia"/>
      </w:rPr>
    </w:lvl>
    <w:lvl w:ilvl="2" w:tentative="0">
      <w:start w:val="1"/>
      <w:numFmt w:val="decimal"/>
      <w:suff w:val="space"/>
      <w:lvlText w:val="%3."/>
      <w:lvlJc w:val="left"/>
      <w:pPr>
        <w:ind w:left="0" w:firstLine="737"/>
      </w:pPr>
      <w:rPr>
        <w:rFonts w:hint="eastAsia"/>
      </w:rPr>
    </w:lvl>
    <w:lvl w:ilvl="3" w:tentative="0">
      <w:start w:val="1"/>
      <w:numFmt w:val="decimal"/>
      <w:suff w:val="space"/>
      <w:lvlText w:val="(%4)"/>
      <w:lvlJc w:val="left"/>
      <w:pPr>
        <w:ind w:left="0" w:firstLine="737"/>
      </w:pPr>
      <w:rPr>
        <w:rFonts w:hint="eastAsia"/>
      </w:rPr>
    </w:lvl>
    <w:lvl w:ilvl="4" w:tentative="0">
      <w:start w:val="1"/>
      <w:numFmt w:val="decimalEnclosedCircle"/>
      <w:suff w:val="space"/>
      <w:lvlText w:val="%5"/>
      <w:lvlJc w:val="left"/>
      <w:pPr>
        <w:ind w:left="0" w:firstLine="737"/>
      </w:pPr>
      <w:rPr>
        <w:rFonts w:hint="eastAsia"/>
      </w:rPr>
    </w:lvl>
    <w:lvl w:ilvl="5" w:tentative="0">
      <w:start w:val="1"/>
      <w:numFmt w:val="none"/>
      <w:lvlText w:val=""/>
      <w:lvlJc w:val="left"/>
      <w:pPr>
        <w:tabs>
          <w:tab w:val="left" w:pos="0"/>
        </w:tabs>
        <w:ind w:left="0" w:firstLine="737"/>
      </w:pPr>
      <w:rPr>
        <w:rFonts w:hint="eastAsia"/>
      </w:rPr>
    </w:lvl>
    <w:lvl w:ilvl="6" w:tentative="0">
      <w:start w:val="1"/>
      <w:numFmt w:val="lowerRoman"/>
      <w:lvlText w:val="(%7)"/>
      <w:lvlJc w:val="left"/>
      <w:pPr>
        <w:tabs>
          <w:tab w:val="left" w:pos="0"/>
        </w:tabs>
        <w:ind w:left="0" w:firstLine="737"/>
      </w:pPr>
      <w:rPr>
        <w:rFonts w:hint="eastAsia"/>
      </w:rPr>
    </w:lvl>
    <w:lvl w:ilvl="7" w:tentative="0">
      <w:start w:val="1"/>
      <w:numFmt w:val="decimal"/>
      <w:lvlRestart w:val="0"/>
      <w:suff w:val="space"/>
      <w:lvlText w:val="表%8 "/>
      <w:lvlJc w:val="center"/>
      <w:pPr>
        <w:ind w:left="0" w:firstLine="0"/>
      </w:pPr>
      <w:rPr>
        <w:rFonts w:hint="eastAsia"/>
      </w:rPr>
    </w:lvl>
    <w:lvl w:ilvl="8" w:tentative="0">
      <w:start w:val="1"/>
      <w:numFmt w:val="decimal"/>
      <w:lvlRestart w:val="0"/>
      <w:pStyle w:val="47"/>
      <w:suff w:val="space"/>
      <w:lvlText w:val="图%9 "/>
      <w:lvlJc w:val="center"/>
      <w:pPr>
        <w:ind w:left="0" w:firstLine="0"/>
      </w:pPr>
      <w:rPr>
        <w:rFonts w:hint="eastAsia"/>
      </w:rPr>
    </w:lvl>
  </w:abstractNum>
  <w:abstractNum w:abstractNumId="6">
    <w:nsid w:val="00000026"/>
    <w:multiLevelType w:val="multilevel"/>
    <w:tmpl w:val="00000026"/>
    <w:lvl w:ilvl="0" w:tentative="0">
      <w:start w:val="1"/>
      <w:numFmt w:val="decimal"/>
      <w:pStyle w:val="7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8C92D51"/>
    <w:multiLevelType w:val="multilevel"/>
    <w:tmpl w:val="08C92D51"/>
    <w:lvl w:ilvl="0" w:tentative="0">
      <w:start w:val="1"/>
      <w:numFmt w:val="decimal"/>
      <w:lvlText w:val="附件%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0E67B7D"/>
    <w:multiLevelType w:val="multilevel"/>
    <w:tmpl w:val="10E67B7D"/>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11A81CF5"/>
    <w:multiLevelType w:val="multilevel"/>
    <w:tmpl w:val="11A81CF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C343F39"/>
    <w:multiLevelType w:val="multilevel"/>
    <w:tmpl w:val="1C343F39"/>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FC91F05"/>
    <w:multiLevelType w:val="multilevel"/>
    <w:tmpl w:val="1FC91F0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1FCC002C"/>
    <w:multiLevelType w:val="multilevel"/>
    <w:tmpl w:val="1FCC002C"/>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5">
    <w:nsid w:val="209D6075"/>
    <w:multiLevelType w:val="multilevel"/>
    <w:tmpl w:val="209D6075"/>
    <w:lvl w:ilvl="0" w:tentative="0">
      <w:start w:val="1"/>
      <w:numFmt w:val="decimal"/>
      <w:lvlText w:val="%1、"/>
      <w:lvlJc w:val="left"/>
      <w:pPr>
        <w:ind w:left="2406"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6">
    <w:nsid w:val="22432295"/>
    <w:multiLevelType w:val="multilevel"/>
    <w:tmpl w:val="22432295"/>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
    <w:nsid w:val="26E71884"/>
    <w:multiLevelType w:val="multilevel"/>
    <w:tmpl w:val="26E7188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8">
    <w:nsid w:val="2BB4439B"/>
    <w:multiLevelType w:val="multilevel"/>
    <w:tmpl w:val="2BB4439B"/>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9">
    <w:nsid w:val="34490A7F"/>
    <w:multiLevelType w:val="multilevel"/>
    <w:tmpl w:val="34490A7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FCF2CDA"/>
    <w:multiLevelType w:val="multilevel"/>
    <w:tmpl w:val="3FCF2CDA"/>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1">
    <w:nsid w:val="43AC60FF"/>
    <w:multiLevelType w:val="multilevel"/>
    <w:tmpl w:val="43AC60F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2">
    <w:nsid w:val="49E35BF3"/>
    <w:multiLevelType w:val="multilevel"/>
    <w:tmpl w:val="49E35BF3"/>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3">
    <w:nsid w:val="4B460FCE"/>
    <w:multiLevelType w:val="multilevel"/>
    <w:tmpl w:val="4B460FC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4">
    <w:nsid w:val="4C176197"/>
    <w:multiLevelType w:val="multilevel"/>
    <w:tmpl w:val="4C176197"/>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01E480D"/>
    <w:multiLevelType w:val="multilevel"/>
    <w:tmpl w:val="501E480D"/>
    <w:lvl w:ilvl="0" w:tentative="0">
      <w:start w:val="1"/>
      <w:numFmt w:val="decimal"/>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16B2E2F"/>
    <w:multiLevelType w:val="multilevel"/>
    <w:tmpl w:val="516B2E2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7">
    <w:nsid w:val="549365DA"/>
    <w:multiLevelType w:val="multilevel"/>
    <w:tmpl w:val="549365DA"/>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C15546D"/>
    <w:multiLevelType w:val="multilevel"/>
    <w:tmpl w:val="5C15546D"/>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5C254DAB"/>
    <w:multiLevelType w:val="multilevel"/>
    <w:tmpl w:val="5C254DAB"/>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0">
    <w:nsid w:val="5C6316EE"/>
    <w:multiLevelType w:val="multilevel"/>
    <w:tmpl w:val="5C6316E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1">
    <w:nsid w:val="5F593391"/>
    <w:multiLevelType w:val="multilevel"/>
    <w:tmpl w:val="5F593391"/>
    <w:lvl w:ilvl="0" w:tentative="0">
      <w:start w:val="1"/>
      <w:numFmt w:val="decimal"/>
      <w:lvlText w:val="（%1）"/>
      <w:lvlJc w:val="left"/>
      <w:pPr>
        <w:ind w:left="1080" w:hanging="420"/>
      </w:pPr>
      <w:rPr>
        <w:rFonts w:hint="eastAsia"/>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2">
    <w:nsid w:val="60CC31F8"/>
    <w:multiLevelType w:val="multilevel"/>
    <w:tmpl w:val="60CC31F8"/>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610D7044"/>
    <w:multiLevelType w:val="multilevel"/>
    <w:tmpl w:val="610D704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4">
    <w:nsid w:val="65A653C2"/>
    <w:multiLevelType w:val="multilevel"/>
    <w:tmpl w:val="65A653C2"/>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67CD7566"/>
    <w:multiLevelType w:val="multilevel"/>
    <w:tmpl w:val="67CD7566"/>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6">
    <w:nsid w:val="6E057830"/>
    <w:multiLevelType w:val="multilevel"/>
    <w:tmpl w:val="6E057830"/>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66C6FDC"/>
    <w:multiLevelType w:val="multilevel"/>
    <w:tmpl w:val="766C6FDC"/>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8">
    <w:nsid w:val="7DF034C0"/>
    <w:multiLevelType w:val="multilevel"/>
    <w:tmpl w:val="7DF034C0"/>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0"/>
  </w:num>
  <w:num w:numId="9">
    <w:abstractNumId w:val="12"/>
  </w:num>
  <w:num w:numId="10">
    <w:abstractNumId w:val="25"/>
  </w:num>
  <w:num w:numId="11">
    <w:abstractNumId w:val="32"/>
  </w:num>
  <w:num w:numId="12">
    <w:abstractNumId w:val="34"/>
  </w:num>
  <w:num w:numId="13">
    <w:abstractNumId w:val="24"/>
  </w:num>
  <w:num w:numId="14">
    <w:abstractNumId w:val="28"/>
  </w:num>
  <w:num w:numId="15">
    <w:abstractNumId w:val="31"/>
  </w:num>
  <w:num w:numId="16">
    <w:abstractNumId w:val="27"/>
    <w:lvlOverride w:ilvl="0">
      <w:startOverride w:val="1"/>
    </w:lvlOverride>
  </w:num>
  <w:num w:numId="17">
    <w:abstractNumId w:val="19"/>
  </w:num>
  <w:num w:numId="18">
    <w:abstractNumId w:val="14"/>
  </w:num>
  <w:num w:numId="19">
    <w:abstractNumId w:val="18"/>
  </w:num>
  <w:num w:numId="20">
    <w:abstractNumId w:val="17"/>
  </w:num>
  <w:num w:numId="21">
    <w:abstractNumId w:val="26"/>
  </w:num>
  <w:num w:numId="22">
    <w:abstractNumId w:val="37"/>
  </w:num>
  <w:num w:numId="23">
    <w:abstractNumId w:val="20"/>
  </w:num>
  <w:num w:numId="24">
    <w:abstractNumId w:val="15"/>
  </w:num>
  <w:num w:numId="25">
    <w:abstractNumId w:val="33"/>
  </w:num>
  <w:num w:numId="26">
    <w:abstractNumId w:val="16"/>
  </w:num>
  <w:num w:numId="27">
    <w:abstractNumId w:val="30"/>
  </w:num>
  <w:num w:numId="28">
    <w:abstractNumId w:val="22"/>
  </w:num>
  <w:num w:numId="29">
    <w:abstractNumId w:val="35"/>
  </w:num>
  <w:num w:numId="30">
    <w:abstractNumId w:val="29"/>
  </w:num>
  <w:num w:numId="31">
    <w:abstractNumId w:val="21"/>
  </w:num>
  <w:num w:numId="32">
    <w:abstractNumId w:val="9"/>
  </w:num>
  <w:num w:numId="33">
    <w:abstractNumId w:val="13"/>
  </w:num>
  <w:num w:numId="34">
    <w:abstractNumId w:val="36"/>
  </w:num>
  <w:num w:numId="35">
    <w:abstractNumId w:val="38"/>
  </w:num>
  <w:num w:numId="36">
    <w:abstractNumId w:val="8"/>
  </w:num>
  <w:num w:numId="37">
    <w:abstractNumId w:val="7"/>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770"/>
    <w:rsid w:val="003A09A5"/>
    <w:rsid w:val="004429CA"/>
    <w:rsid w:val="00452B46"/>
    <w:rsid w:val="00642FC8"/>
    <w:rsid w:val="00713ABB"/>
    <w:rsid w:val="00726770"/>
    <w:rsid w:val="009B28E3"/>
    <w:rsid w:val="00A13A50"/>
    <w:rsid w:val="00B577A5"/>
    <w:rsid w:val="00B80238"/>
    <w:rsid w:val="00E10A34"/>
    <w:rsid w:val="00EC76F3"/>
    <w:rsid w:val="011B4899"/>
    <w:rsid w:val="02FE3B5F"/>
    <w:rsid w:val="08AD578E"/>
    <w:rsid w:val="08D75FBA"/>
    <w:rsid w:val="08F7214F"/>
    <w:rsid w:val="0F113C8D"/>
    <w:rsid w:val="12C82761"/>
    <w:rsid w:val="16D311D1"/>
    <w:rsid w:val="19D3618C"/>
    <w:rsid w:val="1BE82F12"/>
    <w:rsid w:val="23E00E41"/>
    <w:rsid w:val="2E1310E9"/>
    <w:rsid w:val="3543578E"/>
    <w:rsid w:val="36A15BE3"/>
    <w:rsid w:val="383D6B21"/>
    <w:rsid w:val="3BC17CA7"/>
    <w:rsid w:val="3D070429"/>
    <w:rsid w:val="3DBD33CA"/>
    <w:rsid w:val="462543AA"/>
    <w:rsid w:val="4741351F"/>
    <w:rsid w:val="47E84CF5"/>
    <w:rsid w:val="48617BBC"/>
    <w:rsid w:val="4D6A3555"/>
    <w:rsid w:val="4DCC2902"/>
    <w:rsid w:val="50724E94"/>
    <w:rsid w:val="50EF5F35"/>
    <w:rsid w:val="5AB47D2C"/>
    <w:rsid w:val="5E8B198D"/>
    <w:rsid w:val="5EE8272E"/>
    <w:rsid w:val="61802426"/>
    <w:rsid w:val="61E20D17"/>
    <w:rsid w:val="637A3C44"/>
    <w:rsid w:val="63E236FD"/>
    <w:rsid w:val="640F7F31"/>
    <w:rsid w:val="66F22590"/>
    <w:rsid w:val="6704630F"/>
    <w:rsid w:val="672B0814"/>
    <w:rsid w:val="67F3086A"/>
    <w:rsid w:val="746C4ADA"/>
    <w:rsid w:val="753A0AC4"/>
    <w:rsid w:val="755C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102"/>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114"/>
    <w:qFormat/>
    <w:uiPriority w:val="9"/>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112"/>
    <w:qFormat/>
    <w:uiPriority w:val="9"/>
    <w:pPr>
      <w:keepNext/>
      <w:keepLines/>
      <w:spacing w:before="260" w:after="260" w:line="416" w:lineRule="atLeast"/>
      <w:outlineLvl w:val="2"/>
    </w:pPr>
    <w:rPr>
      <w:b/>
      <w:bCs/>
      <w:sz w:val="32"/>
      <w:szCs w:val="32"/>
    </w:rPr>
  </w:style>
  <w:style w:type="paragraph" w:styleId="5">
    <w:name w:val="heading 4"/>
    <w:basedOn w:val="1"/>
    <w:next w:val="1"/>
    <w:link w:val="113"/>
    <w:qFormat/>
    <w:uiPriority w:val="9"/>
    <w:pPr>
      <w:keepNext/>
      <w:keepLines/>
      <w:spacing w:before="280" w:after="290" w:line="376" w:lineRule="atLeast"/>
      <w:outlineLvl w:val="3"/>
    </w:pPr>
    <w:rPr>
      <w:rFonts w:ascii="Arial" w:hAnsi="Arial" w:eastAsia="黑体"/>
      <w:b/>
      <w:bCs/>
      <w:sz w:val="28"/>
      <w:szCs w:val="28"/>
    </w:rPr>
  </w:style>
  <w:style w:type="paragraph" w:styleId="6">
    <w:name w:val="heading 5"/>
    <w:basedOn w:val="1"/>
    <w:next w:val="1"/>
    <w:link w:val="110"/>
    <w:qFormat/>
    <w:uiPriority w:val="0"/>
    <w:pPr>
      <w:keepNext/>
      <w:keepLines/>
      <w:numPr>
        <w:ilvl w:val="4"/>
        <w:numId w:val="1"/>
      </w:numPr>
      <w:spacing w:before="280" w:after="290" w:line="376" w:lineRule="atLeast"/>
      <w:outlineLvl w:val="4"/>
    </w:pPr>
    <w:rPr>
      <w:b/>
      <w:bCs/>
      <w:sz w:val="28"/>
      <w:szCs w:val="28"/>
    </w:rPr>
  </w:style>
  <w:style w:type="paragraph" w:styleId="7">
    <w:name w:val="heading 6"/>
    <w:basedOn w:val="1"/>
    <w:next w:val="1"/>
    <w:link w:val="108"/>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8">
    <w:name w:val="heading 7"/>
    <w:basedOn w:val="1"/>
    <w:next w:val="1"/>
    <w:link w:val="115"/>
    <w:qFormat/>
    <w:uiPriority w:val="0"/>
    <w:pPr>
      <w:keepNext/>
      <w:keepLines/>
      <w:numPr>
        <w:ilvl w:val="6"/>
        <w:numId w:val="1"/>
      </w:numPr>
      <w:spacing w:before="240" w:after="64" w:line="320" w:lineRule="atLeast"/>
      <w:outlineLvl w:val="6"/>
    </w:pPr>
    <w:rPr>
      <w:b/>
      <w:bCs/>
      <w:szCs w:val="24"/>
    </w:rPr>
  </w:style>
  <w:style w:type="paragraph" w:styleId="9">
    <w:name w:val="heading 8"/>
    <w:basedOn w:val="1"/>
    <w:next w:val="1"/>
    <w:link w:val="105"/>
    <w:qFormat/>
    <w:uiPriority w:val="0"/>
    <w:pPr>
      <w:keepNext/>
      <w:keepLines/>
      <w:numPr>
        <w:ilvl w:val="7"/>
        <w:numId w:val="1"/>
      </w:numPr>
      <w:spacing w:before="240" w:after="64" w:line="320" w:lineRule="atLeast"/>
      <w:outlineLvl w:val="7"/>
    </w:pPr>
    <w:rPr>
      <w:rFonts w:ascii="Arial" w:hAnsi="Arial" w:eastAsia="黑体"/>
      <w:szCs w:val="24"/>
    </w:rPr>
  </w:style>
  <w:style w:type="paragraph" w:styleId="10">
    <w:name w:val="heading 9"/>
    <w:basedOn w:val="1"/>
    <w:next w:val="1"/>
    <w:link w:val="107"/>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39">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link w:val="117"/>
    <w:qFormat/>
    <w:uiPriority w:val="0"/>
  </w:style>
  <w:style w:type="paragraph" w:styleId="13">
    <w:name w:val="toc 7"/>
    <w:basedOn w:val="1"/>
    <w:next w:val="1"/>
    <w:qFormat/>
    <w:uiPriority w:val="0"/>
    <w:pPr>
      <w:adjustRightInd/>
      <w:spacing w:line="240" w:lineRule="auto"/>
      <w:ind w:left="1260"/>
      <w:textAlignment w:val="auto"/>
    </w:pPr>
    <w:rPr>
      <w:kern w:val="2"/>
      <w:sz w:val="21"/>
      <w:szCs w:val="21"/>
    </w:rPr>
  </w:style>
  <w:style w:type="paragraph" w:styleId="14">
    <w:name w:val="Body Text First Indent"/>
    <w:basedOn w:val="15"/>
    <w:link w:val="109"/>
    <w:qFormat/>
    <w:uiPriority w:val="0"/>
    <w:pPr>
      <w:ind w:firstLine="420" w:firstLineChars="100"/>
    </w:pPr>
  </w:style>
  <w:style w:type="paragraph" w:styleId="15">
    <w:name w:val="Body Text"/>
    <w:basedOn w:val="1"/>
    <w:qFormat/>
    <w:uiPriority w:val="0"/>
    <w:pPr>
      <w:spacing w:after="120"/>
    </w:pPr>
  </w:style>
  <w:style w:type="paragraph" w:styleId="16">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imes New Roman" w:eastAsia="宋体" w:cs="Times New Roman"/>
      <w:sz w:val="24"/>
      <w:lang w:val="en-US" w:eastAsia="zh-CN" w:bidi="ar-SA"/>
    </w:rPr>
  </w:style>
  <w:style w:type="paragraph" w:styleId="17">
    <w:name w:val="Normal Indent"/>
    <w:basedOn w:val="1"/>
    <w:qFormat/>
    <w:uiPriority w:val="0"/>
    <w:pPr>
      <w:ind w:firstLine="420" w:firstLineChars="200"/>
    </w:pPr>
  </w:style>
  <w:style w:type="paragraph" w:styleId="18">
    <w:name w:val="Document Map"/>
    <w:basedOn w:val="1"/>
    <w:link w:val="104"/>
    <w:qFormat/>
    <w:uiPriority w:val="0"/>
    <w:pPr>
      <w:shd w:val="clear" w:color="auto" w:fill="000080"/>
    </w:pPr>
  </w:style>
  <w:style w:type="paragraph" w:styleId="19">
    <w:name w:val="Body Text 3"/>
    <w:basedOn w:val="1"/>
    <w:qFormat/>
    <w:uiPriority w:val="0"/>
    <w:pPr>
      <w:spacing w:after="120"/>
    </w:pPr>
    <w:rPr>
      <w:sz w:val="16"/>
      <w:szCs w:val="16"/>
    </w:rPr>
  </w:style>
  <w:style w:type="paragraph" w:styleId="20">
    <w:name w:val="Body Text Indent"/>
    <w:basedOn w:val="1"/>
    <w:qFormat/>
    <w:uiPriority w:val="0"/>
    <w:pPr>
      <w:spacing w:after="120"/>
      <w:ind w:left="420" w:leftChars="200"/>
    </w:pPr>
  </w:style>
  <w:style w:type="paragraph" w:styleId="21">
    <w:name w:val="toc 5"/>
    <w:basedOn w:val="1"/>
    <w:next w:val="1"/>
    <w:qFormat/>
    <w:uiPriority w:val="0"/>
    <w:pPr>
      <w:adjustRightInd/>
      <w:spacing w:line="240" w:lineRule="auto"/>
      <w:ind w:left="840"/>
      <w:textAlignment w:val="auto"/>
    </w:pPr>
    <w:rPr>
      <w:kern w:val="2"/>
      <w:sz w:val="21"/>
      <w:szCs w:val="21"/>
    </w:rPr>
  </w:style>
  <w:style w:type="paragraph" w:styleId="22">
    <w:name w:val="toc 3"/>
    <w:basedOn w:val="1"/>
    <w:next w:val="1"/>
    <w:qFormat/>
    <w:uiPriority w:val="39"/>
    <w:pPr>
      <w:adjustRightInd/>
      <w:spacing w:line="240" w:lineRule="auto"/>
      <w:ind w:left="420"/>
      <w:textAlignment w:val="auto"/>
    </w:pPr>
    <w:rPr>
      <w:i/>
      <w:iCs/>
      <w:kern w:val="2"/>
      <w:sz w:val="21"/>
      <w:szCs w:val="24"/>
    </w:rPr>
  </w:style>
  <w:style w:type="paragraph" w:styleId="23">
    <w:name w:val="Plain Text"/>
    <w:basedOn w:val="1"/>
    <w:link w:val="106"/>
    <w:qFormat/>
    <w:uiPriority w:val="0"/>
    <w:pPr>
      <w:adjustRightInd/>
      <w:spacing w:line="240" w:lineRule="auto"/>
      <w:jc w:val="both"/>
      <w:textAlignment w:val="auto"/>
    </w:pPr>
    <w:rPr>
      <w:rFonts w:ascii="宋体" w:hAnsi="Courier New"/>
      <w:kern w:val="2"/>
      <w:sz w:val="21"/>
      <w:szCs w:val="21"/>
    </w:rPr>
  </w:style>
  <w:style w:type="paragraph" w:styleId="24">
    <w:name w:val="toc 8"/>
    <w:basedOn w:val="1"/>
    <w:next w:val="1"/>
    <w:qFormat/>
    <w:uiPriority w:val="0"/>
    <w:pPr>
      <w:adjustRightInd/>
      <w:spacing w:line="240" w:lineRule="auto"/>
      <w:ind w:left="1470"/>
      <w:textAlignment w:val="auto"/>
    </w:pPr>
    <w:rPr>
      <w:kern w:val="2"/>
      <w:sz w:val="21"/>
      <w:szCs w:val="21"/>
    </w:rPr>
  </w:style>
  <w:style w:type="paragraph" w:styleId="25">
    <w:name w:val="Date"/>
    <w:basedOn w:val="1"/>
    <w:next w:val="1"/>
    <w:qFormat/>
    <w:uiPriority w:val="0"/>
    <w:pPr>
      <w:ind w:left="100" w:leftChars="2500"/>
    </w:pPr>
  </w:style>
  <w:style w:type="paragraph" w:styleId="26">
    <w:name w:val="Body Text Indent 2"/>
    <w:basedOn w:val="1"/>
    <w:qFormat/>
    <w:uiPriority w:val="0"/>
    <w:pPr>
      <w:spacing w:after="120" w:line="480" w:lineRule="auto"/>
      <w:ind w:left="420" w:leftChars="200"/>
    </w:pPr>
  </w:style>
  <w:style w:type="paragraph" w:styleId="27">
    <w:name w:val="Balloon Text"/>
    <w:basedOn w:val="1"/>
    <w:qFormat/>
    <w:uiPriority w:val="0"/>
    <w:rPr>
      <w:sz w:val="18"/>
      <w:szCs w:val="18"/>
    </w:rPr>
  </w:style>
  <w:style w:type="paragraph" w:styleId="28">
    <w:name w:val="footer"/>
    <w:basedOn w:val="1"/>
    <w:link w:val="111"/>
    <w:qFormat/>
    <w:uiPriority w:val="99"/>
    <w:pPr>
      <w:tabs>
        <w:tab w:val="center" w:pos="4153"/>
        <w:tab w:val="right" w:pos="8306"/>
      </w:tabs>
      <w:spacing w:line="240" w:lineRule="atLeast"/>
    </w:pPr>
    <w:rPr>
      <w:sz w:val="18"/>
    </w:rPr>
  </w:style>
  <w:style w:type="paragraph" w:styleId="29">
    <w:name w:val="header"/>
    <w:basedOn w:val="1"/>
    <w:link w:val="98"/>
    <w:qFormat/>
    <w:uiPriority w:val="0"/>
    <w:pPr>
      <w:pBdr>
        <w:bottom w:val="single" w:color="auto" w:sz="6" w:space="1"/>
      </w:pBdr>
      <w:tabs>
        <w:tab w:val="center" w:pos="4153"/>
        <w:tab w:val="right" w:pos="8306"/>
      </w:tabs>
      <w:spacing w:line="240" w:lineRule="atLeast"/>
      <w:jc w:val="center"/>
    </w:pPr>
    <w:rPr>
      <w:sz w:val="18"/>
    </w:rPr>
  </w:style>
  <w:style w:type="paragraph" w:styleId="30">
    <w:name w:val="toc 1"/>
    <w:basedOn w:val="1"/>
    <w:next w:val="1"/>
    <w:qFormat/>
    <w:uiPriority w:val="0"/>
  </w:style>
  <w:style w:type="paragraph" w:styleId="31">
    <w:name w:val="toc 4"/>
    <w:basedOn w:val="1"/>
    <w:next w:val="1"/>
    <w:qFormat/>
    <w:uiPriority w:val="0"/>
    <w:pPr>
      <w:adjustRightInd/>
      <w:spacing w:line="240" w:lineRule="auto"/>
      <w:ind w:left="630"/>
      <w:textAlignment w:val="auto"/>
    </w:pPr>
    <w:rPr>
      <w:kern w:val="2"/>
      <w:sz w:val="21"/>
      <w:szCs w:val="21"/>
    </w:rPr>
  </w:style>
  <w:style w:type="paragraph" w:styleId="32">
    <w:name w:val="footnote text"/>
    <w:basedOn w:val="1"/>
    <w:qFormat/>
    <w:uiPriority w:val="0"/>
    <w:pPr>
      <w:spacing w:line="312" w:lineRule="atLeast"/>
    </w:pPr>
    <w:rPr>
      <w:kern w:val="2"/>
      <w:sz w:val="18"/>
      <w:szCs w:val="18"/>
    </w:rPr>
  </w:style>
  <w:style w:type="paragraph" w:styleId="33">
    <w:name w:val="toc 6"/>
    <w:basedOn w:val="1"/>
    <w:next w:val="1"/>
    <w:qFormat/>
    <w:uiPriority w:val="0"/>
    <w:pPr>
      <w:adjustRightInd/>
      <w:spacing w:line="240" w:lineRule="auto"/>
      <w:ind w:left="1050"/>
      <w:textAlignment w:val="auto"/>
    </w:pPr>
    <w:rPr>
      <w:kern w:val="2"/>
      <w:sz w:val="21"/>
      <w:szCs w:val="21"/>
    </w:rPr>
  </w:style>
  <w:style w:type="paragraph" w:styleId="34">
    <w:name w:val="Body Text Indent 3"/>
    <w:basedOn w:val="1"/>
    <w:qFormat/>
    <w:uiPriority w:val="0"/>
    <w:pPr>
      <w:spacing w:after="120"/>
      <w:ind w:left="420" w:leftChars="200"/>
    </w:pPr>
    <w:rPr>
      <w:sz w:val="16"/>
      <w:szCs w:val="16"/>
    </w:rPr>
  </w:style>
  <w:style w:type="paragraph" w:styleId="35">
    <w:name w:val="toc 2"/>
    <w:basedOn w:val="1"/>
    <w:next w:val="1"/>
    <w:qFormat/>
    <w:uiPriority w:val="39"/>
    <w:pPr>
      <w:ind w:left="420" w:leftChars="200"/>
    </w:pPr>
  </w:style>
  <w:style w:type="paragraph" w:styleId="36">
    <w:name w:val="toc 9"/>
    <w:basedOn w:val="1"/>
    <w:next w:val="1"/>
    <w:qFormat/>
    <w:uiPriority w:val="0"/>
    <w:pPr>
      <w:adjustRightInd/>
      <w:spacing w:line="240" w:lineRule="auto"/>
      <w:ind w:left="1680"/>
      <w:textAlignment w:val="auto"/>
    </w:pPr>
    <w:rPr>
      <w:kern w:val="2"/>
      <w:sz w:val="21"/>
      <w:szCs w:val="21"/>
    </w:rPr>
  </w:style>
  <w:style w:type="paragraph" w:styleId="37">
    <w:name w:val="Body Text 2"/>
    <w:basedOn w:val="1"/>
    <w:qFormat/>
    <w:uiPriority w:val="0"/>
    <w:pPr>
      <w:spacing w:after="120" w:line="480" w:lineRule="auto"/>
    </w:pPr>
  </w:style>
  <w:style w:type="paragraph" w:styleId="38">
    <w:name w:val="Normal (Web)"/>
    <w:basedOn w:val="1"/>
    <w:qFormat/>
    <w:uiPriority w:val="0"/>
    <w:pPr>
      <w:widowControl/>
      <w:adjustRightInd/>
      <w:spacing w:before="100" w:beforeAutospacing="1" w:after="100" w:afterAutospacing="1" w:line="240" w:lineRule="auto"/>
      <w:textAlignment w:val="auto"/>
    </w:pPr>
    <w:rPr>
      <w:rFonts w:ascii="宋体" w:hAnsi="宋体" w:cs="宋体"/>
      <w:szCs w:val="24"/>
    </w:rPr>
  </w:style>
  <w:style w:type="character" w:styleId="40">
    <w:name w:val="Strong"/>
    <w:qFormat/>
    <w:uiPriority w:val="0"/>
    <w:rPr>
      <w:b/>
    </w:rPr>
  </w:style>
  <w:style w:type="character" w:styleId="41">
    <w:name w:val="page number"/>
    <w:basedOn w:val="39"/>
    <w:qFormat/>
    <w:uiPriority w:val="0"/>
  </w:style>
  <w:style w:type="character" w:styleId="42">
    <w:name w:val="Emphasis"/>
    <w:qFormat/>
    <w:uiPriority w:val="0"/>
    <w:rPr>
      <w:color w:val="CC0000"/>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paragraph" w:customStyle="1" w:styleId="46">
    <w:name w:val="Char Char16"/>
    <w:basedOn w:val="1"/>
    <w:qFormat/>
    <w:uiPriority w:val="0"/>
    <w:pPr>
      <w:widowControl/>
      <w:adjustRightInd/>
      <w:spacing w:after="160" w:line="240" w:lineRule="exact"/>
      <w:textAlignment w:val="auto"/>
    </w:pPr>
    <w:rPr>
      <w:rFonts w:ascii="Verdana" w:hAnsi="Verdana" w:eastAsia="仿宋_GB2312"/>
      <w:lang w:eastAsia="en-US"/>
    </w:rPr>
  </w:style>
  <w:style w:type="paragraph" w:customStyle="1" w:styleId="47">
    <w:name w:val="图标题"/>
    <w:basedOn w:val="1"/>
    <w:qFormat/>
    <w:uiPriority w:val="0"/>
    <w:pPr>
      <w:numPr>
        <w:ilvl w:val="8"/>
        <w:numId w:val="2"/>
      </w:numPr>
    </w:pPr>
  </w:style>
  <w:style w:type="paragraph" w:customStyle="1" w:styleId="48">
    <w:name w:val="Car Car"/>
    <w:basedOn w:val="1"/>
    <w:qFormat/>
    <w:uiPriority w:val="0"/>
    <w:pPr>
      <w:adjustRightInd/>
      <w:spacing w:line="240" w:lineRule="auto"/>
      <w:jc w:val="both"/>
      <w:textAlignment w:val="auto"/>
    </w:pPr>
    <w:rPr>
      <w:rFonts w:ascii="Tahoma" w:hAnsi="Tahoma"/>
      <w:kern w:val="2"/>
    </w:rPr>
  </w:style>
  <w:style w:type="paragraph" w:customStyle="1" w:styleId="49">
    <w:name w:val="Body Text Indent 21"/>
    <w:basedOn w:val="1"/>
    <w:qFormat/>
    <w:uiPriority w:val="0"/>
    <w:pPr>
      <w:spacing w:line="240" w:lineRule="auto"/>
      <w:ind w:left="720" w:hanging="720"/>
      <w:jc w:val="both"/>
    </w:pPr>
    <w:rPr>
      <w:b/>
      <w:kern w:val="2"/>
      <w:sz w:val="28"/>
    </w:rPr>
  </w:style>
  <w:style w:type="paragraph" w:customStyle="1" w:styleId="50">
    <w:name w:val="样式 标题 4 + 段前: 5 磅 段后: 5 磅 行距: 单倍行距"/>
    <w:basedOn w:val="5"/>
    <w:qFormat/>
    <w:uiPriority w:val="0"/>
    <w:pPr>
      <w:spacing w:before="100" w:after="100" w:line="240" w:lineRule="auto"/>
    </w:pPr>
    <w:rPr>
      <w:rFonts w:cs="宋体"/>
      <w:szCs w:val="20"/>
    </w:rPr>
  </w:style>
  <w:style w:type="paragraph" w:customStyle="1" w:styleId="51">
    <w:name w:val="样式 样式 标题 4 + 段前: 5 磅 段后: 5 磅 行距: 单倍行距 + 五号"/>
    <w:basedOn w:val="50"/>
    <w:qFormat/>
    <w:uiPriority w:val="0"/>
    <w:rPr>
      <w:sz w:val="21"/>
    </w:rPr>
  </w:style>
  <w:style w:type="paragraph" w:customStyle="1" w:styleId="52">
    <w:name w:val="样式 宋体 五号 两端对齐 行距: 单倍行距1"/>
    <w:basedOn w:val="1"/>
    <w:qFormat/>
    <w:uiPriority w:val="0"/>
    <w:pPr>
      <w:spacing w:line="240" w:lineRule="auto"/>
      <w:jc w:val="both"/>
    </w:pPr>
    <w:rPr>
      <w:rFonts w:ascii="宋体" w:hAnsi="宋体" w:cs="宋体"/>
      <w:sz w:val="21"/>
    </w:rPr>
  </w:style>
  <w:style w:type="paragraph" w:customStyle="1" w:styleId="53">
    <w:name w:val="默认段落字体 Para Char Char Char Char Char Char Char"/>
    <w:basedOn w:val="1"/>
    <w:qFormat/>
    <w:uiPriority w:val="0"/>
    <w:pPr>
      <w:adjustRightInd/>
      <w:spacing w:line="240" w:lineRule="auto"/>
      <w:jc w:val="both"/>
      <w:textAlignment w:val="auto"/>
    </w:pPr>
    <w:rPr>
      <w:rFonts w:ascii="Tahoma" w:hAnsi="Tahoma"/>
      <w:kern w:val="2"/>
    </w:rPr>
  </w:style>
  <w:style w:type="paragraph" w:customStyle="1" w:styleId="54">
    <w:name w:val="样式 标题 5 + 段前: 5 磅 段后: 5 磅 行距: 单倍行距"/>
    <w:basedOn w:val="6"/>
    <w:qFormat/>
    <w:uiPriority w:val="0"/>
    <w:pPr>
      <w:spacing w:before="100" w:after="100" w:line="240" w:lineRule="auto"/>
    </w:pPr>
    <w:rPr>
      <w:rFonts w:cs="宋体"/>
      <w:szCs w:val="20"/>
    </w:rPr>
  </w:style>
  <w:style w:type="paragraph" w:customStyle="1" w:styleId="55">
    <w:name w:val="Body Text 21"/>
    <w:basedOn w:val="1"/>
    <w:qFormat/>
    <w:uiPriority w:val="0"/>
    <w:pPr>
      <w:spacing w:before="240" w:line="400" w:lineRule="exact"/>
      <w:ind w:firstLine="357"/>
      <w:jc w:val="both"/>
    </w:pPr>
    <w:rPr>
      <w:kern w:val="2"/>
      <w:sz w:val="28"/>
    </w:rPr>
  </w:style>
  <w:style w:type="paragraph" w:customStyle="1" w:styleId="56">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57">
    <w:name w:val="PMstyle"/>
    <w:qFormat/>
    <w:uiPriority w:val="0"/>
    <w:rPr>
      <w:rFonts w:ascii="Tahoma" w:hAnsi="Tahoma" w:eastAsia="宋体" w:cs="Times New Roman"/>
      <w:sz w:val="22"/>
      <w:lang w:val="en-US" w:eastAsia="zh-CN" w:bidi="ar-SA"/>
    </w:rPr>
  </w:style>
  <w:style w:type="paragraph" w:customStyle="1" w:styleId="58">
    <w:name w:val="纯文本1"/>
    <w:basedOn w:val="1"/>
    <w:qFormat/>
    <w:uiPriority w:val="0"/>
    <w:rPr>
      <w:rFonts w:ascii="宋体" w:hAnsi="Courier New"/>
      <w:kern w:val="2"/>
      <w:sz w:val="21"/>
      <w:szCs w:val="21"/>
    </w:rPr>
  </w:style>
  <w:style w:type="paragraph" w:customStyle="1" w:styleId="59">
    <w:name w:val="纯文本11"/>
    <w:basedOn w:val="1"/>
    <w:qFormat/>
    <w:uiPriority w:val="0"/>
    <w:rPr>
      <w:rFonts w:ascii="宋体" w:hAnsi="Courier New" w:cs="宋体"/>
      <w:szCs w:val="21"/>
    </w:rPr>
  </w:style>
  <w:style w:type="paragraph" w:customStyle="1" w:styleId="60">
    <w:name w:val="样式 样式 样式 样式 标题 2 + 宋体 五号 非加粗 黑色 + 段前: 6 磅 段后: 0 磅 行距: 单倍行距 + 段前:..."/>
    <w:basedOn w:val="61"/>
    <w:qFormat/>
    <w:uiPriority w:val="0"/>
    <w:rPr>
      <w:b/>
      <w:bCs/>
    </w:rPr>
  </w:style>
  <w:style w:type="paragraph" w:customStyle="1" w:styleId="61">
    <w:name w:val="样式 样式 样式 标题 2 + 宋体 五号 非加粗 黑色 + 段前: 6 磅 段后: 0 磅 行距: 单倍行距 + 段前: 12..."/>
    <w:basedOn w:val="62"/>
    <w:qFormat/>
    <w:uiPriority w:val="0"/>
    <w:pPr>
      <w:spacing w:before="240"/>
    </w:pPr>
  </w:style>
  <w:style w:type="paragraph" w:customStyle="1" w:styleId="62">
    <w:name w:val="样式 样式 标题 2 + 宋体 五号 非加粗 黑色 + 段前: 6 磅 段后: 0 磅 行距: 单倍行距"/>
    <w:basedOn w:val="63"/>
    <w:qFormat/>
    <w:uiPriority w:val="0"/>
    <w:pPr>
      <w:spacing w:before="120" w:after="0" w:line="240" w:lineRule="auto"/>
    </w:pPr>
    <w:rPr>
      <w:rFonts w:cs="宋体"/>
      <w:szCs w:val="20"/>
    </w:rPr>
  </w:style>
  <w:style w:type="paragraph" w:customStyle="1" w:styleId="63">
    <w:name w:val="样式 标题 2 + 宋体 五号 非加粗 黑色"/>
    <w:basedOn w:val="3"/>
    <w:qFormat/>
    <w:uiPriority w:val="0"/>
    <w:rPr>
      <w:rFonts w:ascii="宋体" w:hAnsi="宋体" w:eastAsia="宋体"/>
      <w:b w:val="0"/>
      <w:bCs w:val="0"/>
      <w:color w:val="000000"/>
      <w:sz w:val="21"/>
    </w:rPr>
  </w:style>
  <w:style w:type="paragraph" w:customStyle="1" w:styleId="64">
    <w:name w:val="PMletterText"/>
    <w:basedOn w:val="57"/>
    <w:qFormat/>
    <w:uiPriority w:val="0"/>
    <w:pPr>
      <w:spacing w:before="240"/>
      <w:ind w:left="720"/>
    </w:pPr>
  </w:style>
  <w:style w:type="paragraph" w:customStyle="1" w:styleId="65">
    <w:name w:val="样式 标题 2 + 宋体 五号 行距: 单倍行距"/>
    <w:basedOn w:val="3"/>
    <w:qFormat/>
    <w:uiPriority w:val="0"/>
    <w:pPr>
      <w:spacing w:line="240" w:lineRule="auto"/>
    </w:pPr>
    <w:rPr>
      <w:rFonts w:ascii="宋体" w:hAnsi="宋体" w:eastAsia="宋体" w:cs="宋体"/>
      <w:sz w:val="21"/>
      <w:szCs w:val="20"/>
    </w:rPr>
  </w:style>
  <w:style w:type="paragraph" w:customStyle="1" w:styleId="66">
    <w:name w:val="7"/>
    <w:basedOn w:val="1"/>
    <w:next w:val="1"/>
    <w:qFormat/>
    <w:uiPriority w:val="0"/>
    <w:pPr>
      <w:adjustRightInd/>
      <w:spacing w:line="240" w:lineRule="auto"/>
      <w:jc w:val="both"/>
      <w:textAlignment w:val="auto"/>
    </w:pPr>
    <w:rPr>
      <w:kern w:val="2"/>
      <w:sz w:val="21"/>
      <w:szCs w:val="24"/>
    </w:rPr>
  </w:style>
  <w:style w:type="paragraph" w:customStyle="1" w:styleId="67">
    <w:name w:val="正文文本缩进1"/>
    <w:basedOn w:val="1"/>
    <w:qFormat/>
    <w:uiPriority w:val="0"/>
    <w:pPr>
      <w:snapToGrid w:val="0"/>
      <w:spacing w:line="312" w:lineRule="auto"/>
      <w:ind w:firstLine="480" w:firstLineChars="200"/>
    </w:pPr>
    <w:rPr>
      <w:rFonts w:ascii="宋体" w:hAnsi="宋体"/>
      <w:szCs w:val="24"/>
    </w:rPr>
  </w:style>
  <w:style w:type="paragraph" w:customStyle="1" w:styleId="68">
    <w:name w:val="样式2"/>
    <w:basedOn w:val="1"/>
    <w:qFormat/>
    <w:uiPriority w:val="0"/>
    <w:pPr>
      <w:numPr>
        <w:ilvl w:val="1"/>
        <w:numId w:val="3"/>
      </w:numPr>
      <w:tabs>
        <w:tab w:val="left" w:pos="425"/>
      </w:tabs>
      <w:spacing w:line="240" w:lineRule="auto"/>
      <w:jc w:val="both"/>
    </w:pPr>
    <w:rPr>
      <w:rFonts w:ascii="宋体" w:hAnsi="宋体"/>
      <w:sz w:val="21"/>
      <w:szCs w:val="21"/>
    </w:rPr>
  </w:style>
  <w:style w:type="paragraph" w:customStyle="1" w:styleId="69">
    <w:name w:val="表格"/>
    <w:basedOn w:val="1"/>
    <w:qFormat/>
    <w:uiPriority w:val="0"/>
    <w:pPr>
      <w:adjustRightInd/>
      <w:spacing w:line="240" w:lineRule="auto"/>
      <w:textAlignment w:val="auto"/>
    </w:pPr>
    <w:rPr>
      <w:kern w:val="2"/>
      <w:sz w:val="18"/>
      <w:szCs w:val="24"/>
    </w:rPr>
  </w:style>
  <w:style w:type="paragraph" w:customStyle="1" w:styleId="70">
    <w:name w:val="正文1"/>
    <w:basedOn w:val="1"/>
    <w:qFormat/>
    <w:uiPriority w:val="0"/>
    <w:pPr>
      <w:adjustRightInd/>
      <w:spacing w:before="60" w:after="60" w:line="360" w:lineRule="auto"/>
      <w:ind w:left="1080"/>
      <w:jc w:val="both"/>
      <w:textAlignment w:val="auto"/>
      <w:outlineLvl w:val="6"/>
    </w:pPr>
    <w:rPr>
      <w:kern w:val="2"/>
      <w:szCs w:val="24"/>
    </w:rPr>
  </w:style>
  <w:style w:type="paragraph" w:customStyle="1" w:styleId="71">
    <w:name w:val="样式1"/>
    <w:basedOn w:val="1"/>
    <w:qFormat/>
    <w:uiPriority w:val="0"/>
    <w:pPr>
      <w:numPr>
        <w:ilvl w:val="0"/>
        <w:numId w:val="4"/>
      </w:numPr>
      <w:spacing w:line="240" w:lineRule="auto"/>
      <w:jc w:val="both"/>
    </w:pPr>
    <w:rPr>
      <w:rFonts w:ascii="宋体" w:hAnsi="宋体"/>
      <w:sz w:val="21"/>
      <w:szCs w:val="21"/>
    </w:rPr>
  </w:style>
  <w:style w:type="paragraph" w:customStyle="1" w:styleId="72">
    <w:name w:val="正文3"/>
    <w:basedOn w:val="1"/>
    <w:qFormat/>
    <w:uiPriority w:val="0"/>
    <w:pPr>
      <w:adjustRightInd/>
      <w:spacing w:before="60" w:after="60" w:line="360" w:lineRule="auto"/>
      <w:jc w:val="both"/>
      <w:textAlignment w:val="auto"/>
      <w:outlineLvl w:val="8"/>
    </w:pPr>
    <w:rPr>
      <w:kern w:val="2"/>
      <w:szCs w:val="21"/>
    </w:rPr>
  </w:style>
  <w:style w:type="paragraph" w:customStyle="1" w:styleId="73">
    <w:name w:val="缺省文本"/>
    <w:basedOn w:val="1"/>
    <w:qFormat/>
    <w:uiPriority w:val="0"/>
    <w:pPr>
      <w:widowControl/>
      <w:overflowPunct w:val="0"/>
      <w:autoSpaceDE w:val="0"/>
      <w:autoSpaceDN w:val="0"/>
      <w:spacing w:line="360" w:lineRule="auto"/>
      <w:ind w:firstLine="720"/>
      <w:jc w:val="both"/>
    </w:pPr>
    <w:rPr>
      <w:rFonts w:ascii="宋体" w:eastAsia="仿宋_GB2312"/>
      <w:sz w:val="28"/>
    </w:rPr>
  </w:style>
  <w:style w:type="paragraph" w:customStyle="1" w:styleId="74">
    <w:name w:val="列出段落1"/>
    <w:basedOn w:val="1"/>
    <w:qFormat/>
    <w:uiPriority w:val="34"/>
    <w:pPr>
      <w:ind w:firstLine="200" w:firstLineChars="200"/>
    </w:pPr>
    <w:rPr>
      <w:kern w:val="2"/>
      <w:sz w:val="21"/>
      <w:szCs w:val="21"/>
    </w:rPr>
  </w:style>
  <w:style w:type="paragraph" w:customStyle="1" w:styleId="75">
    <w:name w:val="样式 宋体 五号 行距: 单倍行距"/>
    <w:basedOn w:val="1"/>
    <w:qFormat/>
    <w:uiPriority w:val="0"/>
    <w:pPr>
      <w:spacing w:line="240" w:lineRule="auto"/>
    </w:pPr>
    <w:rPr>
      <w:rFonts w:ascii="宋体" w:hAnsi="宋体" w:cs="宋体"/>
      <w:sz w:val="21"/>
    </w:rPr>
  </w:style>
  <w:style w:type="paragraph" w:customStyle="1" w:styleId="76">
    <w:name w:val="BankNormal"/>
    <w:basedOn w:val="1"/>
    <w:qFormat/>
    <w:uiPriority w:val="0"/>
    <w:pPr>
      <w:adjustRightInd/>
      <w:spacing w:line="312" w:lineRule="atLeast"/>
      <w:jc w:val="both"/>
      <w:textAlignment w:val="auto"/>
    </w:pPr>
    <w:rPr>
      <w:kern w:val="2"/>
      <w:sz w:val="21"/>
      <w:szCs w:val="24"/>
    </w:rPr>
  </w:style>
  <w:style w:type="paragraph" w:customStyle="1" w:styleId="77">
    <w:name w:val="1 Char Char Char Char"/>
    <w:basedOn w:val="1"/>
    <w:qFormat/>
    <w:uiPriority w:val="0"/>
    <w:pPr>
      <w:adjustRightInd/>
      <w:spacing w:line="240" w:lineRule="auto"/>
      <w:jc w:val="both"/>
      <w:textAlignment w:val="auto"/>
    </w:pPr>
    <w:rPr>
      <w:kern w:val="2"/>
      <w:sz w:val="21"/>
    </w:rPr>
  </w:style>
  <w:style w:type="paragraph" w:customStyle="1" w:styleId="78">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79">
    <w:name w:val="Char Char Char"/>
    <w:basedOn w:val="1"/>
    <w:qFormat/>
    <w:uiPriority w:val="0"/>
    <w:pPr>
      <w:adjustRightInd/>
      <w:spacing w:line="240" w:lineRule="auto"/>
      <w:jc w:val="both"/>
      <w:textAlignment w:val="auto"/>
    </w:pPr>
    <w:rPr>
      <w:rFonts w:ascii="Tahoma" w:hAnsi="Tahoma"/>
      <w:kern w:val="2"/>
    </w:rPr>
  </w:style>
  <w:style w:type="paragraph" w:customStyle="1" w:styleId="80">
    <w:name w:val="正文字缩2字"/>
    <w:basedOn w:val="1"/>
    <w:qFormat/>
    <w:uiPriority w:val="0"/>
    <w:pPr>
      <w:adjustRightInd/>
      <w:spacing w:before="60" w:after="60" w:line="360" w:lineRule="auto"/>
      <w:ind w:left="200" w:leftChars="200" w:firstLine="200" w:firstLineChars="200"/>
      <w:jc w:val="both"/>
      <w:textAlignment w:val="auto"/>
    </w:pPr>
    <w:rPr>
      <w:kern w:val="2"/>
      <w:szCs w:val="24"/>
    </w:rPr>
  </w:style>
  <w:style w:type="paragraph" w:customStyle="1" w:styleId="81">
    <w:name w:val="样式 宋体 五号 两端对齐 行距: 单倍行距"/>
    <w:basedOn w:val="1"/>
    <w:qFormat/>
    <w:uiPriority w:val="0"/>
    <w:pPr>
      <w:spacing w:line="240" w:lineRule="auto"/>
      <w:jc w:val="both"/>
    </w:pPr>
    <w:rPr>
      <w:rFonts w:ascii="宋体" w:hAnsi="宋体" w:cs="宋体"/>
      <w:sz w:val="21"/>
    </w:rPr>
  </w:style>
  <w:style w:type="paragraph" w:customStyle="1" w:styleId="82">
    <w:name w:val="Char"/>
    <w:basedOn w:val="1"/>
    <w:qFormat/>
    <w:uiPriority w:val="0"/>
    <w:pPr>
      <w:tabs>
        <w:tab w:val="left" w:pos="432"/>
      </w:tabs>
      <w:spacing w:line="240" w:lineRule="auto"/>
      <w:ind w:left="432" w:hanging="432"/>
    </w:pPr>
    <w:rPr>
      <w:rFonts w:ascii="Tahoma" w:hAnsi="Tahoma"/>
      <w:kern w:val="2"/>
    </w:rPr>
  </w:style>
  <w:style w:type="paragraph" w:customStyle="1" w:styleId="83">
    <w:name w:val="Char Char Char Char Char Char"/>
    <w:basedOn w:val="1"/>
    <w:qFormat/>
    <w:uiPriority w:val="0"/>
    <w:pPr>
      <w:spacing w:line="360" w:lineRule="auto"/>
      <w:jc w:val="both"/>
      <w:textAlignment w:val="auto"/>
    </w:pPr>
    <w:rPr>
      <w:rFonts w:ascii="Calibri" w:hAnsi="Calibri"/>
    </w:rPr>
  </w:style>
  <w:style w:type="paragraph" w:customStyle="1" w:styleId="84">
    <w:name w:val="Default Text"/>
    <w:basedOn w:val="1"/>
    <w:qFormat/>
    <w:uiPriority w:val="0"/>
    <w:pPr>
      <w:widowControl/>
      <w:overflowPunct w:val="0"/>
      <w:autoSpaceDE w:val="0"/>
      <w:autoSpaceDN w:val="0"/>
      <w:spacing w:line="240" w:lineRule="auto"/>
    </w:pPr>
    <w:rPr>
      <w:rFonts w:eastAsia="仿宋_GB2312"/>
    </w:rPr>
  </w:style>
  <w:style w:type="paragraph" w:customStyle="1" w:styleId="85">
    <w:name w:val="样式 样式 标题 5 + 段前: 5 磅 段后: 5 磅 行距: 单倍行距 + 五号"/>
    <w:basedOn w:val="54"/>
    <w:qFormat/>
    <w:uiPriority w:val="0"/>
    <w:rPr>
      <w:sz w:val="21"/>
    </w:rPr>
  </w:style>
  <w:style w:type="paragraph" w:customStyle="1" w:styleId="86">
    <w:name w:val="heade"/>
    <w:basedOn w:val="1"/>
    <w:qFormat/>
    <w:uiPriority w:val="0"/>
    <w:pPr>
      <w:adjustRightInd/>
      <w:spacing w:line="312" w:lineRule="atLeast"/>
      <w:jc w:val="both"/>
      <w:textAlignment w:val="auto"/>
    </w:pPr>
    <w:rPr>
      <w:kern w:val="2"/>
      <w:sz w:val="21"/>
      <w:szCs w:val="24"/>
    </w:rPr>
  </w:style>
  <w:style w:type="paragraph" w:customStyle="1" w:styleId="87">
    <w:name w:val="样式8"/>
    <w:basedOn w:val="1"/>
    <w:next w:val="1"/>
    <w:qFormat/>
    <w:uiPriority w:val="0"/>
    <w:pPr>
      <w:widowControl/>
      <w:numPr>
        <w:ilvl w:val="1"/>
        <w:numId w:val="5"/>
      </w:numPr>
      <w:spacing w:beforeLines="50" w:afterLines="50" w:line="240" w:lineRule="auto"/>
      <w:outlineLvl w:val="1"/>
    </w:pPr>
    <w:rPr>
      <w:b/>
      <w:szCs w:val="24"/>
      <w:lang w:bidi="en-US"/>
    </w:rPr>
  </w:style>
  <w:style w:type="paragraph" w:customStyle="1" w:styleId="88">
    <w:name w:val="PMtextBullet"/>
    <w:basedOn w:val="57"/>
    <w:qFormat/>
    <w:uiPriority w:val="0"/>
    <w:pPr>
      <w:numPr>
        <w:ilvl w:val="0"/>
        <w:numId w:val="6"/>
      </w:numPr>
      <w:tabs>
        <w:tab w:val="left" w:pos="2520"/>
        <w:tab w:val="clear" w:pos="735"/>
      </w:tabs>
      <w:spacing w:after="200"/>
      <w:ind w:left="2520"/>
    </w:pPr>
  </w:style>
  <w:style w:type="paragraph" w:customStyle="1" w:styleId="89">
    <w:name w:val="正文2"/>
    <w:basedOn w:val="1"/>
    <w:qFormat/>
    <w:uiPriority w:val="0"/>
    <w:pPr>
      <w:adjustRightInd/>
      <w:spacing w:before="60" w:after="60" w:line="360" w:lineRule="auto"/>
      <w:jc w:val="both"/>
      <w:textAlignment w:val="auto"/>
      <w:outlineLvl w:val="7"/>
    </w:pPr>
    <w:rPr>
      <w:kern w:val="2"/>
      <w:szCs w:val="24"/>
    </w:rPr>
  </w:style>
  <w:style w:type="paragraph" w:customStyle="1" w:styleId="90">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91">
    <w:name w:val="PMletterTextBullet"/>
    <w:basedOn w:val="64"/>
    <w:qFormat/>
    <w:uiPriority w:val="0"/>
    <w:pPr>
      <w:numPr>
        <w:ilvl w:val="0"/>
        <w:numId w:val="7"/>
      </w:numPr>
      <w:tabs>
        <w:tab w:val="left" w:pos="1800"/>
        <w:tab w:val="clear" w:pos="735"/>
      </w:tabs>
      <w:ind w:left="1800"/>
    </w:pPr>
  </w:style>
  <w:style w:type="paragraph" w:customStyle="1" w:styleId="92">
    <w:name w:val="正文内容"/>
    <w:basedOn w:val="1"/>
    <w:link w:val="116"/>
    <w:qFormat/>
    <w:uiPriority w:val="0"/>
    <w:pPr>
      <w:adjustRightInd/>
      <w:spacing w:line="400" w:lineRule="exact"/>
      <w:ind w:firstLine="420" w:firstLineChars="200"/>
      <w:textAlignment w:val="auto"/>
    </w:pPr>
    <w:rPr>
      <w:kern w:val="2"/>
      <w:sz w:val="21"/>
      <w:szCs w:val="22"/>
    </w:rPr>
  </w:style>
  <w:style w:type="paragraph" w:customStyle="1" w:styleId="93">
    <w:name w:val="TOC 标题1"/>
    <w:basedOn w:val="2"/>
    <w:next w:val="1"/>
    <w:unhideWhenUsed/>
    <w:qFormat/>
    <w:uiPriority w:val="39"/>
    <w:pPr>
      <w:widowControl/>
      <w:numPr>
        <w:numId w:val="0"/>
      </w:numPr>
      <w:adjustRightInd/>
      <w:spacing w:before="240" w:after="0" w:line="259" w:lineRule="auto"/>
      <w:textAlignment w:val="auto"/>
      <w:outlineLvl w:val="9"/>
    </w:pPr>
    <w:rPr>
      <w:rFonts w:ascii="Calibri Light" w:hAnsi="Calibri Light" w:cs="黑体"/>
      <w:b w:val="0"/>
      <w:bCs w:val="0"/>
      <w:color w:val="2D73B3"/>
      <w:kern w:val="0"/>
      <w:sz w:val="32"/>
      <w:szCs w:val="32"/>
    </w:rPr>
  </w:style>
  <w:style w:type="paragraph" w:customStyle="1" w:styleId="94">
    <w:name w:val="列出段落11"/>
    <w:basedOn w:val="1"/>
    <w:qFormat/>
    <w:uiPriority w:val="34"/>
    <w:pPr>
      <w:ind w:firstLine="200" w:firstLineChars="200"/>
    </w:pPr>
    <w:rPr>
      <w:kern w:val="2"/>
      <w:sz w:val="21"/>
      <w:szCs w:val="21"/>
    </w:rPr>
  </w:style>
  <w:style w:type="character" w:customStyle="1" w:styleId="95">
    <w:name w:val="Char Char6"/>
    <w:qFormat/>
    <w:uiPriority w:val="0"/>
    <w:rPr>
      <w:rFonts w:ascii="宋体" w:hAnsi="Courier New" w:eastAsia="宋体"/>
      <w:kern w:val="2"/>
      <w:sz w:val="21"/>
      <w:lang w:val="en-US" w:eastAsia="zh-CN" w:bidi="ar-SA"/>
    </w:rPr>
  </w:style>
  <w:style w:type="character" w:customStyle="1" w:styleId="96">
    <w:name w:val="case31"/>
    <w:qFormat/>
    <w:uiPriority w:val="0"/>
    <w:rPr>
      <w:rFonts w:ascii="ˎ̥" w:hAnsi="ˎ̥" w:eastAsia="宋体"/>
      <w:sz w:val="24"/>
      <w:szCs w:val="24"/>
    </w:rPr>
  </w:style>
  <w:style w:type="character" w:customStyle="1" w:styleId="97">
    <w:name w:val="px_10"/>
    <w:basedOn w:val="39"/>
    <w:qFormat/>
    <w:uiPriority w:val="0"/>
  </w:style>
  <w:style w:type="character" w:customStyle="1" w:styleId="98">
    <w:name w:val="页眉 Char"/>
    <w:link w:val="29"/>
    <w:qFormat/>
    <w:uiPriority w:val="0"/>
    <w:rPr>
      <w:rFonts w:eastAsia="宋体"/>
      <w:sz w:val="18"/>
      <w:lang w:val="en-US" w:eastAsia="zh-CN" w:bidi="ar-SA"/>
    </w:rPr>
  </w:style>
  <w:style w:type="character" w:customStyle="1" w:styleId="99">
    <w:name w:val="style591"/>
    <w:qFormat/>
    <w:uiPriority w:val="0"/>
    <w:rPr>
      <w:rFonts w:hint="default" w:ascii="Arial" w:hAnsi="Arial"/>
      <w:sz w:val="18"/>
      <w:u w:val="none"/>
    </w:rPr>
  </w:style>
  <w:style w:type="character" w:customStyle="1" w:styleId="100">
    <w:name w:val="style551"/>
    <w:qFormat/>
    <w:uiPriority w:val="0"/>
    <w:rPr>
      <w:rFonts w:hint="default" w:ascii="Arial" w:hAnsi="Arial"/>
      <w:color w:val="333333"/>
      <w:sz w:val="18"/>
    </w:rPr>
  </w:style>
  <w:style w:type="character" w:customStyle="1" w:styleId="101">
    <w:name w:val="正文文本 Char Char"/>
    <w:qFormat/>
    <w:uiPriority w:val="0"/>
    <w:rPr>
      <w:rFonts w:eastAsia="宋体"/>
      <w:kern w:val="2"/>
      <w:sz w:val="24"/>
      <w:szCs w:val="24"/>
      <w:lang w:val="en-US" w:eastAsia="zh-CN" w:bidi="ar-SA"/>
    </w:rPr>
  </w:style>
  <w:style w:type="character" w:customStyle="1" w:styleId="102">
    <w:name w:val="标题 1 Char"/>
    <w:link w:val="2"/>
    <w:qFormat/>
    <w:uiPriority w:val="0"/>
    <w:rPr>
      <w:b/>
      <w:bCs/>
      <w:kern w:val="44"/>
      <w:sz w:val="44"/>
      <w:szCs w:val="44"/>
    </w:rPr>
  </w:style>
  <w:style w:type="character" w:customStyle="1" w:styleId="103">
    <w:name w:val="Char Char15"/>
    <w:qFormat/>
    <w:uiPriority w:val="0"/>
    <w:rPr>
      <w:rFonts w:eastAsia="宋体"/>
      <w:sz w:val="18"/>
      <w:lang w:val="en-US" w:eastAsia="zh-CN" w:bidi="ar-SA"/>
    </w:rPr>
  </w:style>
  <w:style w:type="character" w:customStyle="1" w:styleId="104">
    <w:name w:val="文档结构图 Char"/>
    <w:link w:val="18"/>
    <w:qFormat/>
    <w:uiPriority w:val="0"/>
    <w:rPr>
      <w:rFonts w:eastAsia="宋体"/>
      <w:sz w:val="24"/>
      <w:lang w:val="en-US" w:eastAsia="zh-CN" w:bidi="ar-SA"/>
    </w:rPr>
  </w:style>
  <w:style w:type="character" w:customStyle="1" w:styleId="105">
    <w:name w:val="标题 8 Char"/>
    <w:link w:val="9"/>
    <w:qFormat/>
    <w:uiPriority w:val="0"/>
    <w:rPr>
      <w:rFonts w:ascii="Arial" w:hAnsi="Arial" w:eastAsia="黑体"/>
      <w:sz w:val="24"/>
      <w:szCs w:val="24"/>
    </w:rPr>
  </w:style>
  <w:style w:type="character" w:customStyle="1" w:styleId="106">
    <w:name w:val="纯文本 Char"/>
    <w:link w:val="23"/>
    <w:qFormat/>
    <w:uiPriority w:val="0"/>
    <w:rPr>
      <w:rFonts w:ascii="宋体" w:hAnsi="Courier New" w:eastAsia="宋体"/>
      <w:kern w:val="2"/>
      <w:sz w:val="21"/>
      <w:szCs w:val="21"/>
      <w:lang w:val="en-US" w:eastAsia="zh-CN" w:bidi="ar-SA"/>
    </w:rPr>
  </w:style>
  <w:style w:type="character" w:customStyle="1" w:styleId="107">
    <w:name w:val="标题 9 Char"/>
    <w:link w:val="10"/>
    <w:qFormat/>
    <w:uiPriority w:val="0"/>
    <w:rPr>
      <w:rFonts w:ascii="Arial" w:hAnsi="Arial" w:eastAsia="黑体"/>
      <w:sz w:val="21"/>
      <w:szCs w:val="21"/>
    </w:rPr>
  </w:style>
  <w:style w:type="character" w:customStyle="1" w:styleId="108">
    <w:name w:val="标题 6 Char"/>
    <w:link w:val="7"/>
    <w:qFormat/>
    <w:uiPriority w:val="0"/>
    <w:rPr>
      <w:rFonts w:ascii="Arial" w:hAnsi="Arial" w:eastAsia="黑体"/>
      <w:b/>
      <w:bCs/>
      <w:sz w:val="24"/>
      <w:szCs w:val="24"/>
    </w:rPr>
  </w:style>
  <w:style w:type="character" w:customStyle="1" w:styleId="109">
    <w:name w:val="正文首行缩进 Char"/>
    <w:link w:val="14"/>
    <w:qFormat/>
    <w:uiPriority w:val="0"/>
    <w:rPr>
      <w:rFonts w:eastAsia="宋体"/>
      <w:sz w:val="24"/>
      <w:lang w:val="en-US" w:eastAsia="zh-CN" w:bidi="ar-SA"/>
    </w:rPr>
  </w:style>
  <w:style w:type="character" w:customStyle="1" w:styleId="110">
    <w:name w:val="标题 5 Char"/>
    <w:link w:val="6"/>
    <w:qFormat/>
    <w:uiPriority w:val="0"/>
    <w:rPr>
      <w:b/>
      <w:bCs/>
      <w:sz w:val="28"/>
      <w:szCs w:val="28"/>
    </w:rPr>
  </w:style>
  <w:style w:type="character" w:customStyle="1" w:styleId="111">
    <w:name w:val="页脚 Char"/>
    <w:link w:val="28"/>
    <w:qFormat/>
    <w:uiPriority w:val="99"/>
    <w:rPr>
      <w:rFonts w:eastAsia="宋体"/>
      <w:sz w:val="18"/>
      <w:lang w:val="en-US" w:eastAsia="zh-CN" w:bidi="ar-SA"/>
    </w:rPr>
  </w:style>
  <w:style w:type="character" w:customStyle="1" w:styleId="112">
    <w:name w:val="标题 3 Char"/>
    <w:link w:val="4"/>
    <w:qFormat/>
    <w:uiPriority w:val="9"/>
    <w:rPr>
      <w:rFonts w:eastAsia="宋体"/>
      <w:b/>
      <w:bCs/>
      <w:sz w:val="32"/>
      <w:szCs w:val="32"/>
      <w:lang w:val="en-US" w:eastAsia="zh-CN" w:bidi="ar-SA"/>
    </w:rPr>
  </w:style>
  <w:style w:type="character" w:customStyle="1" w:styleId="113">
    <w:name w:val="标题 4 Char"/>
    <w:link w:val="5"/>
    <w:qFormat/>
    <w:uiPriority w:val="9"/>
    <w:rPr>
      <w:rFonts w:ascii="Arial" w:hAnsi="Arial" w:eastAsia="黑体"/>
      <w:b/>
      <w:bCs/>
      <w:sz w:val="28"/>
      <w:szCs w:val="28"/>
      <w:lang w:val="en-US" w:eastAsia="zh-CN" w:bidi="ar-SA"/>
    </w:rPr>
  </w:style>
  <w:style w:type="character" w:customStyle="1" w:styleId="114">
    <w:name w:val="标题 2 Char"/>
    <w:link w:val="3"/>
    <w:qFormat/>
    <w:uiPriority w:val="9"/>
    <w:rPr>
      <w:rFonts w:ascii="Arial" w:hAnsi="Arial" w:eastAsia="黑体"/>
      <w:b/>
      <w:bCs/>
      <w:sz w:val="32"/>
      <w:szCs w:val="32"/>
      <w:lang w:val="en-US" w:eastAsia="zh-CN" w:bidi="ar-SA"/>
    </w:rPr>
  </w:style>
  <w:style w:type="character" w:customStyle="1" w:styleId="115">
    <w:name w:val="标题 7 Char"/>
    <w:link w:val="8"/>
    <w:qFormat/>
    <w:uiPriority w:val="0"/>
    <w:rPr>
      <w:b/>
      <w:bCs/>
      <w:sz w:val="24"/>
      <w:szCs w:val="24"/>
    </w:rPr>
  </w:style>
  <w:style w:type="character" w:customStyle="1" w:styleId="116">
    <w:name w:val="正文内容 Char Char"/>
    <w:link w:val="92"/>
    <w:qFormat/>
    <w:uiPriority w:val="0"/>
    <w:rPr>
      <w:rFonts w:eastAsia="宋体"/>
      <w:kern w:val="2"/>
      <w:sz w:val="21"/>
      <w:szCs w:val="22"/>
    </w:rPr>
  </w:style>
  <w:style w:type="character" w:customStyle="1" w:styleId="117">
    <w:name w:val="批注文字 Char"/>
    <w:link w:val="12"/>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C0775-2156-40A8-A14D-9657E43114D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4996</Words>
  <Characters>28483</Characters>
  <Lines>237</Lines>
  <Paragraphs>66</Paragraphs>
  <ScaleCrop>false</ScaleCrop>
  <LinksUpToDate>false</LinksUpToDate>
  <CharactersWithSpaces>33413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2017-12-19T05:47:00Z</dcterms:created>
  <dc:creator>闫帮峥</dc:creator>
  <cp:lastModifiedBy>闫帮峥</cp:lastModifiedBy>
  <dcterms:modified xsi:type="dcterms:W3CDTF">2018-01-04T10:00:30Z</dcterms:modified>
  <dc:title>招 标 文 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