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adjustRightInd/>
        <w:spacing w:line="240" w:lineRule="auto"/>
        <w:jc w:val="center"/>
        <w:textAlignment w:val="auto"/>
        <w:rPr>
          <w:b/>
          <w:bCs/>
          <w:kern w:val="2"/>
          <w:sz w:val="72"/>
          <w:szCs w:val="72"/>
        </w:rPr>
      </w:pPr>
      <w:r>
        <w:rPr>
          <w:b/>
          <w:bCs/>
          <w:kern w:val="2"/>
          <w:sz w:val="72"/>
          <w:szCs w:val="72"/>
        </w:rPr>
        <w:t>磋商谈判文件</w:t>
      </w:r>
    </w:p>
    <w:p>
      <w:pPr>
        <w:pStyle w:val="91"/>
        <w:rPr>
          <w:rFonts w:ascii="Times New Roman" w:hAnsi="Times New Roman"/>
        </w:rPr>
      </w:pPr>
    </w:p>
    <w:p>
      <w:pPr>
        <w:pStyle w:val="91"/>
        <w:rPr>
          <w:rFonts w:ascii="Times New Roman" w:hAnsi="Times New Roman"/>
        </w:rPr>
      </w:pPr>
    </w:p>
    <w:p>
      <w:pPr>
        <w:pStyle w:val="91"/>
        <w:rPr>
          <w:rFonts w:ascii="Times New Roman" w:hAnsi="Times New Roman"/>
        </w:rPr>
      </w:pPr>
    </w:p>
    <w:p>
      <w:pPr>
        <w:pStyle w:val="91"/>
        <w:rPr>
          <w:rFonts w:ascii="Times New Roman" w:hAnsi="Times New Roman"/>
        </w:rPr>
      </w:pPr>
    </w:p>
    <w:p>
      <w:pPr>
        <w:pStyle w:val="91"/>
        <w:rPr>
          <w:rFonts w:ascii="Times New Roman" w:hAnsi="Times New Roman"/>
        </w:rPr>
      </w:pPr>
    </w:p>
    <w:p>
      <w:pPr>
        <w:pStyle w:val="91"/>
        <w:rPr>
          <w:rFonts w:ascii="Times New Roman" w:hAnsi="Times New Roman"/>
        </w:rPr>
      </w:pPr>
    </w:p>
    <w:p>
      <w:pPr>
        <w:pStyle w:val="91"/>
        <w:ind w:firstLine="480"/>
        <w:rPr>
          <w:rFonts w:ascii="Times New Roman" w:hAnsi="Times New Roman"/>
          <w:sz w:val="24"/>
          <w:szCs w:val="24"/>
        </w:rPr>
      </w:pPr>
      <w:r>
        <w:rPr>
          <w:rFonts w:ascii="Times New Roman" w:hAnsi="Times New Roman"/>
          <w:sz w:val="24"/>
          <w:szCs w:val="24"/>
        </w:rPr>
        <w:t>项目编号：</w:t>
      </w:r>
      <w:bookmarkStart w:id="0" w:name="项目编号"/>
      <w:r>
        <w:rPr>
          <w:rFonts w:ascii="Times New Roman" w:hAnsi="Times New Roman"/>
          <w:sz w:val="24"/>
          <w:szCs w:val="24"/>
        </w:rPr>
        <w:t>JC-20</w:t>
      </w:r>
      <w:bookmarkEnd w:id="0"/>
      <w:r>
        <w:rPr>
          <w:rFonts w:ascii="Times New Roman" w:hAnsi="Times New Roman"/>
          <w:sz w:val="24"/>
          <w:szCs w:val="24"/>
        </w:rPr>
        <w:t>170</w:t>
      </w:r>
      <w:r>
        <w:rPr>
          <w:rFonts w:hint="eastAsia" w:ascii="Times New Roman" w:hAnsi="Times New Roman"/>
          <w:sz w:val="24"/>
          <w:szCs w:val="24"/>
        </w:rPr>
        <w:t>22</w:t>
      </w:r>
    </w:p>
    <w:p>
      <w:pPr>
        <w:pStyle w:val="91"/>
        <w:ind w:firstLine="480"/>
        <w:rPr>
          <w:rFonts w:ascii="Times New Roman" w:hAnsi="Times New Roman"/>
          <w:sz w:val="24"/>
          <w:szCs w:val="24"/>
        </w:rPr>
      </w:pPr>
      <w:r>
        <w:rPr>
          <w:rFonts w:ascii="Times New Roman" w:hAnsi="Times New Roman"/>
          <w:sz w:val="24"/>
          <w:szCs w:val="24"/>
        </w:rPr>
        <w:t>项目名称：</w:t>
      </w:r>
      <w:bookmarkStart w:id="1" w:name="项目名称"/>
      <w:r>
        <w:rPr>
          <w:rFonts w:ascii="Times New Roman" w:hAnsi="Times New Roman"/>
          <w:sz w:val="24"/>
          <w:szCs w:val="24"/>
        </w:rPr>
        <w:t>中央财经大学</w:t>
      </w:r>
      <w:r>
        <w:rPr>
          <w:rFonts w:hint="eastAsia" w:ascii="Times New Roman" w:hAnsi="Times New Roman"/>
          <w:sz w:val="24"/>
          <w:szCs w:val="24"/>
        </w:rPr>
        <w:t>沙河校区</w:t>
      </w:r>
      <w:r>
        <w:rPr>
          <w:rFonts w:ascii="Times New Roman" w:hAnsi="Times New Roman"/>
          <w:sz w:val="24"/>
          <w:szCs w:val="24"/>
        </w:rPr>
        <w:t>图书馆电梯维保服务采购项目</w:t>
      </w:r>
      <w:bookmarkEnd w:id="1"/>
    </w:p>
    <w:p>
      <w:pPr>
        <w:pStyle w:val="91"/>
        <w:rPr>
          <w:rFonts w:ascii="Times New Roman" w:hAnsi="Times New Roman"/>
        </w:rPr>
      </w:pPr>
    </w:p>
    <w:p>
      <w:pPr>
        <w:pStyle w:val="91"/>
        <w:rPr>
          <w:rFonts w:ascii="Times New Roman" w:hAnsi="Times New Roman"/>
        </w:rPr>
      </w:pPr>
    </w:p>
    <w:p>
      <w:pPr>
        <w:pStyle w:val="91"/>
        <w:rPr>
          <w:rFonts w:ascii="Times New Roman" w:hAnsi="Times New Roman"/>
        </w:rPr>
      </w:pPr>
    </w:p>
    <w:p>
      <w:pPr>
        <w:pStyle w:val="91"/>
        <w:rPr>
          <w:rFonts w:ascii="Times New Roman" w:hAnsi="Times New Roman"/>
        </w:rPr>
      </w:pPr>
    </w:p>
    <w:p>
      <w:pPr>
        <w:pStyle w:val="91"/>
        <w:rPr>
          <w:rFonts w:ascii="Times New Roman" w:hAnsi="Times New Roman"/>
        </w:rPr>
      </w:pPr>
    </w:p>
    <w:p>
      <w:pPr>
        <w:pStyle w:val="91"/>
        <w:rPr>
          <w:rFonts w:ascii="Times New Roman" w:hAnsi="Times New Roman"/>
        </w:rPr>
      </w:pPr>
    </w:p>
    <w:p>
      <w:pPr>
        <w:pStyle w:val="91"/>
        <w:rPr>
          <w:rFonts w:ascii="Times New Roman" w:hAnsi="Times New Roman"/>
        </w:rPr>
      </w:pPr>
    </w:p>
    <w:p>
      <w:pPr>
        <w:pStyle w:val="91"/>
        <w:rPr>
          <w:rFonts w:ascii="Times New Roman" w:hAnsi="Times New Roman"/>
        </w:rPr>
      </w:pPr>
    </w:p>
    <w:p>
      <w:pPr>
        <w:pStyle w:val="91"/>
        <w:rPr>
          <w:rFonts w:ascii="Times New Roman" w:hAnsi="Times New Roman"/>
        </w:rPr>
      </w:pPr>
    </w:p>
    <w:p>
      <w:pPr>
        <w:pStyle w:val="91"/>
        <w:rPr>
          <w:rFonts w:ascii="Times New Roman" w:hAnsi="Times New Roman"/>
        </w:rPr>
      </w:pPr>
    </w:p>
    <w:p>
      <w:pPr>
        <w:pStyle w:val="91"/>
        <w:rPr>
          <w:rFonts w:ascii="Times New Roman" w:hAnsi="Times New Roman"/>
        </w:rPr>
      </w:pPr>
    </w:p>
    <w:p>
      <w:pPr>
        <w:pStyle w:val="91"/>
        <w:ind w:firstLine="0" w:firstLineChars="0"/>
        <w:jc w:val="center"/>
        <w:rPr>
          <w:rFonts w:ascii="Times New Roman" w:hAnsi="Times New Roman"/>
        </w:rPr>
      </w:pPr>
      <w:r>
        <w:rPr>
          <w:rFonts w:ascii="Times New Roman" w:hAnsi="Times New Roman"/>
        </w:rPr>
        <w:t>中央财经大学</w:t>
      </w:r>
    </w:p>
    <w:p>
      <w:pPr>
        <w:pStyle w:val="91"/>
        <w:ind w:firstLine="0" w:firstLineChars="0"/>
        <w:jc w:val="center"/>
        <w:rPr>
          <w:rFonts w:ascii="Times New Roman" w:hAnsi="Times New Roman"/>
        </w:rPr>
      </w:pPr>
      <w:r>
        <w:rPr>
          <w:rFonts w:ascii="Times New Roman" w:hAnsi="Times New Roman"/>
        </w:rPr>
        <w:t>招标与采购事务中心</w:t>
      </w:r>
    </w:p>
    <w:p>
      <w:pPr>
        <w:pStyle w:val="91"/>
        <w:ind w:firstLine="0" w:firstLineChars="0"/>
        <w:jc w:val="center"/>
        <w:rPr>
          <w:rFonts w:ascii="Times New Roman" w:hAnsi="Times New Roman"/>
        </w:rPr>
        <w:sectPr>
          <w:headerReference r:id="rId5" w:type="first"/>
          <w:footerReference r:id="rId8" w:type="first"/>
          <w:headerReference r:id="rId3" w:type="default"/>
          <w:footerReference r:id="rId6" w:type="default"/>
          <w:headerReference r:id="rId4" w:type="even"/>
          <w:footerReference r:id="rId7" w:type="even"/>
          <w:type w:val="continuous"/>
          <w:pgSz w:w="11909" w:h="16834"/>
          <w:pgMar w:top="1418" w:right="1418" w:bottom="1418" w:left="1559" w:header="851" w:footer="851" w:gutter="0"/>
          <w:pgNumType w:start="0"/>
          <w:cols w:space="720" w:num="1"/>
          <w:titlePg/>
        </w:sectPr>
      </w:pPr>
      <w:r>
        <w:rPr>
          <w:rFonts w:ascii="Times New Roman" w:hAnsi="Times New Roman"/>
        </w:rPr>
        <w:t>二</w:t>
      </w:r>
      <w:r>
        <w:rPr>
          <w:rFonts w:hint="eastAsia" w:ascii="Times New Roman" w:hAnsi="Times New Roman"/>
        </w:rPr>
        <w:t>〇</w:t>
      </w:r>
      <w:r>
        <w:rPr>
          <w:rFonts w:ascii="Times New Roman" w:hAnsi="Times New Roman"/>
        </w:rPr>
        <w:t>一七年</w:t>
      </w:r>
    </w:p>
    <w:p>
      <w:pPr>
        <w:pStyle w:val="92"/>
        <w:jc w:val="center"/>
        <w:rPr>
          <w:rFonts w:ascii="Times New Roman" w:hAnsi="Times New Roman" w:cs="Times New Roman"/>
          <w:color w:val="auto"/>
          <w:kern w:val="2"/>
          <w:lang w:val="zh-CN"/>
        </w:rPr>
      </w:pPr>
      <w:bookmarkStart w:id="2" w:name="_Toc118717296"/>
      <w:bookmarkStart w:id="3" w:name="_Toc118599100"/>
      <w:bookmarkStart w:id="4" w:name="_Toc119738559"/>
      <w:r>
        <w:rPr>
          <w:rFonts w:ascii="Times New Roman" w:hAnsi="Times New Roman" w:cs="Times New Roman"/>
          <w:color w:val="auto"/>
          <w:kern w:val="2"/>
          <w:lang w:val="zh-CN"/>
        </w:rPr>
        <w:t>目  录</w:t>
      </w:r>
    </w:p>
    <w:p>
      <w:pPr>
        <w:pStyle w:val="32"/>
        <w:tabs>
          <w:tab w:val="right" w:leader="dot" w:pos="8922"/>
        </w:tabs>
        <w:ind w:left="480"/>
        <w:rPr>
          <w:rFonts w:ascii="Calibri" w:hAnsi="Calibri"/>
          <w:kern w:val="2"/>
          <w:sz w:val="21"/>
          <w:szCs w:val="22"/>
        </w:rPr>
      </w:pPr>
      <w:r>
        <w:fldChar w:fldCharType="begin"/>
      </w:r>
      <w:r>
        <w:instrText xml:space="preserve"> TOC \o "1-3" \h \z \u </w:instrText>
      </w:r>
      <w:r>
        <w:fldChar w:fldCharType="separate"/>
      </w:r>
      <w:r>
        <w:fldChar w:fldCharType="begin"/>
      </w:r>
      <w:r>
        <w:instrText xml:space="preserve"> HYPERLINK \l "_Toc486583471" </w:instrText>
      </w:r>
      <w:r>
        <w:fldChar w:fldCharType="separate"/>
      </w:r>
      <w:r>
        <w:rPr>
          <w:rStyle w:val="40"/>
          <w:rFonts w:hint="eastAsia"/>
        </w:rPr>
        <w:t>第一部分</w:t>
      </w:r>
      <w:r>
        <w:rPr>
          <w:rStyle w:val="40"/>
        </w:rPr>
        <w:t xml:space="preserve">  </w:t>
      </w:r>
      <w:r>
        <w:rPr>
          <w:rStyle w:val="40"/>
          <w:rFonts w:hint="eastAsia"/>
        </w:rPr>
        <w:t>响应邀请</w:t>
      </w:r>
      <w:r>
        <w:tab/>
      </w:r>
      <w:r>
        <w:fldChar w:fldCharType="begin"/>
      </w:r>
      <w:r>
        <w:instrText xml:space="preserve"> PAGEREF _Toc486583471 \h </w:instrText>
      </w:r>
      <w:r>
        <w:fldChar w:fldCharType="separate"/>
      </w:r>
      <w:r>
        <w:t>1</w:t>
      </w:r>
      <w:r>
        <w:fldChar w:fldCharType="end"/>
      </w:r>
      <w:r>
        <w:fldChar w:fldCharType="end"/>
      </w:r>
    </w:p>
    <w:p>
      <w:pPr>
        <w:pStyle w:val="32"/>
        <w:tabs>
          <w:tab w:val="right" w:leader="dot" w:pos="8922"/>
        </w:tabs>
        <w:ind w:left="480"/>
        <w:rPr>
          <w:rFonts w:ascii="Calibri" w:hAnsi="Calibri"/>
          <w:kern w:val="2"/>
          <w:sz w:val="21"/>
          <w:szCs w:val="22"/>
        </w:rPr>
      </w:pPr>
      <w:r>
        <w:fldChar w:fldCharType="begin"/>
      </w:r>
      <w:r>
        <w:instrText xml:space="preserve"> HYPERLINK \l "_Toc486583472" </w:instrText>
      </w:r>
      <w:r>
        <w:fldChar w:fldCharType="separate"/>
      </w:r>
      <w:r>
        <w:rPr>
          <w:rStyle w:val="40"/>
          <w:rFonts w:hint="eastAsia"/>
        </w:rPr>
        <w:t>第二部分</w:t>
      </w:r>
      <w:r>
        <w:rPr>
          <w:rStyle w:val="40"/>
        </w:rPr>
        <w:t xml:space="preserve">  </w:t>
      </w:r>
      <w:r>
        <w:rPr>
          <w:rStyle w:val="40"/>
          <w:rFonts w:hint="eastAsia"/>
        </w:rPr>
        <w:t>响应人须知前附表</w:t>
      </w:r>
      <w:r>
        <w:tab/>
      </w:r>
      <w:r>
        <w:fldChar w:fldCharType="begin"/>
      </w:r>
      <w:r>
        <w:instrText xml:space="preserve"> PAGEREF _Toc486583472 \h </w:instrText>
      </w:r>
      <w:r>
        <w:fldChar w:fldCharType="separate"/>
      </w:r>
      <w:r>
        <w:t>3</w:t>
      </w:r>
      <w:r>
        <w:fldChar w:fldCharType="end"/>
      </w:r>
      <w:r>
        <w:fldChar w:fldCharType="end"/>
      </w:r>
    </w:p>
    <w:p>
      <w:pPr>
        <w:pStyle w:val="32"/>
        <w:tabs>
          <w:tab w:val="right" w:leader="dot" w:pos="8922"/>
        </w:tabs>
        <w:ind w:left="480"/>
        <w:rPr>
          <w:rFonts w:ascii="Calibri" w:hAnsi="Calibri"/>
          <w:kern w:val="2"/>
          <w:sz w:val="21"/>
          <w:szCs w:val="22"/>
        </w:rPr>
      </w:pPr>
      <w:r>
        <w:fldChar w:fldCharType="begin"/>
      </w:r>
      <w:r>
        <w:instrText xml:space="preserve"> HYPERLINK \l "_Toc486583473" </w:instrText>
      </w:r>
      <w:r>
        <w:fldChar w:fldCharType="separate"/>
      </w:r>
      <w:r>
        <w:rPr>
          <w:rStyle w:val="40"/>
          <w:rFonts w:hint="eastAsia"/>
        </w:rPr>
        <w:t>第三部分</w:t>
      </w:r>
      <w:r>
        <w:rPr>
          <w:rStyle w:val="40"/>
        </w:rPr>
        <w:t xml:space="preserve">  </w:t>
      </w:r>
      <w:r>
        <w:rPr>
          <w:rStyle w:val="40"/>
          <w:rFonts w:hint="eastAsia"/>
        </w:rPr>
        <w:t>响应人须知</w:t>
      </w:r>
      <w:r>
        <w:tab/>
      </w:r>
      <w:r>
        <w:fldChar w:fldCharType="begin"/>
      </w:r>
      <w:r>
        <w:instrText xml:space="preserve"> PAGEREF _Toc486583473 \h </w:instrText>
      </w:r>
      <w:r>
        <w:fldChar w:fldCharType="separate"/>
      </w:r>
      <w:r>
        <w:t>7</w:t>
      </w:r>
      <w:r>
        <w:fldChar w:fldCharType="end"/>
      </w:r>
      <w:r>
        <w:fldChar w:fldCharType="end"/>
      </w:r>
    </w:p>
    <w:p>
      <w:pPr>
        <w:pStyle w:val="19"/>
        <w:tabs>
          <w:tab w:val="left" w:pos="1260"/>
          <w:tab w:val="right" w:leader="dot" w:pos="8922"/>
        </w:tabs>
        <w:rPr>
          <w:rFonts w:ascii="Calibri" w:hAnsi="Calibri"/>
          <w:i w:val="0"/>
          <w:iCs w:val="0"/>
          <w:szCs w:val="22"/>
        </w:rPr>
      </w:pPr>
      <w:r>
        <w:fldChar w:fldCharType="begin"/>
      </w:r>
      <w:r>
        <w:instrText xml:space="preserve"> HYPERLINK \l "_Toc486583474" </w:instrText>
      </w:r>
      <w:r>
        <w:fldChar w:fldCharType="separate"/>
      </w:r>
      <w:r>
        <w:rPr>
          <w:rStyle w:val="40"/>
          <w:rFonts w:hint="eastAsia"/>
        </w:rPr>
        <w:t>一、</w:t>
      </w:r>
      <w:r>
        <w:rPr>
          <w:rFonts w:ascii="Calibri" w:hAnsi="Calibri"/>
          <w:i w:val="0"/>
          <w:iCs w:val="0"/>
          <w:szCs w:val="22"/>
        </w:rPr>
        <w:tab/>
      </w:r>
      <w:r>
        <w:rPr>
          <w:rStyle w:val="40"/>
          <w:rFonts w:hint="eastAsia"/>
        </w:rPr>
        <w:t>总</w:t>
      </w:r>
      <w:r>
        <w:rPr>
          <w:rStyle w:val="40"/>
        </w:rPr>
        <w:t xml:space="preserve">  </w:t>
      </w:r>
      <w:r>
        <w:rPr>
          <w:rStyle w:val="40"/>
          <w:rFonts w:hint="eastAsia"/>
        </w:rPr>
        <w:t>则</w:t>
      </w:r>
      <w:r>
        <w:tab/>
      </w:r>
      <w:r>
        <w:fldChar w:fldCharType="begin"/>
      </w:r>
      <w:r>
        <w:instrText xml:space="preserve"> PAGEREF _Toc486583474 \h </w:instrText>
      </w:r>
      <w:r>
        <w:fldChar w:fldCharType="separate"/>
      </w:r>
      <w:r>
        <w:t>7</w:t>
      </w:r>
      <w:r>
        <w:fldChar w:fldCharType="end"/>
      </w:r>
      <w:r>
        <w:fldChar w:fldCharType="end"/>
      </w:r>
    </w:p>
    <w:p>
      <w:pPr>
        <w:pStyle w:val="19"/>
        <w:tabs>
          <w:tab w:val="left" w:pos="1260"/>
          <w:tab w:val="right" w:leader="dot" w:pos="8922"/>
        </w:tabs>
        <w:rPr>
          <w:rFonts w:ascii="Calibri" w:hAnsi="Calibri"/>
          <w:i w:val="0"/>
          <w:iCs w:val="0"/>
          <w:szCs w:val="22"/>
        </w:rPr>
      </w:pPr>
      <w:r>
        <w:fldChar w:fldCharType="begin"/>
      </w:r>
      <w:r>
        <w:instrText xml:space="preserve"> HYPERLINK \l "_Toc486583475" </w:instrText>
      </w:r>
      <w:r>
        <w:fldChar w:fldCharType="separate"/>
      </w:r>
      <w:r>
        <w:rPr>
          <w:rStyle w:val="40"/>
          <w:rFonts w:hint="eastAsia"/>
        </w:rPr>
        <w:t>二、</w:t>
      </w:r>
      <w:r>
        <w:rPr>
          <w:rFonts w:ascii="Calibri" w:hAnsi="Calibri"/>
          <w:i w:val="0"/>
          <w:iCs w:val="0"/>
          <w:szCs w:val="22"/>
        </w:rPr>
        <w:tab/>
      </w:r>
      <w:r>
        <w:rPr>
          <w:rStyle w:val="40"/>
          <w:rFonts w:hint="eastAsia"/>
        </w:rPr>
        <w:t>磋商文件</w:t>
      </w:r>
      <w:r>
        <w:tab/>
      </w:r>
      <w:r>
        <w:fldChar w:fldCharType="begin"/>
      </w:r>
      <w:r>
        <w:instrText xml:space="preserve"> PAGEREF _Toc486583475 \h </w:instrText>
      </w:r>
      <w:r>
        <w:fldChar w:fldCharType="separate"/>
      </w:r>
      <w:r>
        <w:t>10</w:t>
      </w:r>
      <w:r>
        <w:fldChar w:fldCharType="end"/>
      </w:r>
      <w:r>
        <w:fldChar w:fldCharType="end"/>
      </w:r>
    </w:p>
    <w:p>
      <w:pPr>
        <w:pStyle w:val="19"/>
        <w:tabs>
          <w:tab w:val="left" w:pos="1260"/>
          <w:tab w:val="right" w:leader="dot" w:pos="8922"/>
        </w:tabs>
        <w:rPr>
          <w:rFonts w:ascii="Calibri" w:hAnsi="Calibri"/>
          <w:i w:val="0"/>
          <w:iCs w:val="0"/>
          <w:szCs w:val="22"/>
        </w:rPr>
      </w:pPr>
      <w:r>
        <w:fldChar w:fldCharType="begin"/>
      </w:r>
      <w:r>
        <w:instrText xml:space="preserve"> HYPERLINK \l "_Toc486583476" </w:instrText>
      </w:r>
      <w:r>
        <w:fldChar w:fldCharType="separate"/>
      </w:r>
      <w:r>
        <w:rPr>
          <w:rStyle w:val="40"/>
          <w:rFonts w:hint="eastAsia"/>
        </w:rPr>
        <w:t>三、</w:t>
      </w:r>
      <w:r>
        <w:rPr>
          <w:rFonts w:ascii="Calibri" w:hAnsi="Calibri"/>
          <w:i w:val="0"/>
          <w:iCs w:val="0"/>
          <w:szCs w:val="22"/>
        </w:rPr>
        <w:tab/>
      </w:r>
      <w:r>
        <w:rPr>
          <w:rStyle w:val="40"/>
          <w:rFonts w:hint="eastAsia"/>
        </w:rPr>
        <w:t>响应文件</w:t>
      </w:r>
      <w:r>
        <w:tab/>
      </w:r>
      <w:r>
        <w:fldChar w:fldCharType="begin"/>
      </w:r>
      <w:r>
        <w:instrText xml:space="preserve"> PAGEREF _Toc486583476 \h </w:instrText>
      </w:r>
      <w:r>
        <w:fldChar w:fldCharType="separate"/>
      </w:r>
      <w:r>
        <w:t>11</w:t>
      </w:r>
      <w:r>
        <w:fldChar w:fldCharType="end"/>
      </w:r>
      <w:r>
        <w:fldChar w:fldCharType="end"/>
      </w:r>
    </w:p>
    <w:p>
      <w:pPr>
        <w:pStyle w:val="19"/>
        <w:tabs>
          <w:tab w:val="left" w:pos="1260"/>
          <w:tab w:val="right" w:leader="dot" w:pos="8922"/>
        </w:tabs>
        <w:rPr>
          <w:rFonts w:ascii="Calibri" w:hAnsi="Calibri"/>
          <w:i w:val="0"/>
          <w:iCs w:val="0"/>
          <w:szCs w:val="22"/>
        </w:rPr>
      </w:pPr>
      <w:r>
        <w:fldChar w:fldCharType="begin"/>
      </w:r>
      <w:r>
        <w:instrText xml:space="preserve"> HYPERLINK \l "_Toc486583477" </w:instrText>
      </w:r>
      <w:r>
        <w:fldChar w:fldCharType="separate"/>
      </w:r>
      <w:r>
        <w:rPr>
          <w:rStyle w:val="40"/>
          <w:rFonts w:hint="eastAsia"/>
        </w:rPr>
        <w:t>四、</w:t>
      </w:r>
      <w:r>
        <w:rPr>
          <w:rFonts w:ascii="Calibri" w:hAnsi="Calibri"/>
          <w:i w:val="0"/>
          <w:iCs w:val="0"/>
          <w:szCs w:val="22"/>
        </w:rPr>
        <w:tab/>
      </w:r>
      <w:r>
        <w:rPr>
          <w:rStyle w:val="40"/>
          <w:rFonts w:hint="eastAsia"/>
        </w:rPr>
        <w:t>响应文件的递交</w:t>
      </w:r>
      <w:r>
        <w:tab/>
      </w:r>
      <w:r>
        <w:fldChar w:fldCharType="begin"/>
      </w:r>
      <w:r>
        <w:instrText xml:space="preserve"> PAGEREF _Toc486583477 \h </w:instrText>
      </w:r>
      <w:r>
        <w:fldChar w:fldCharType="separate"/>
      </w:r>
      <w:r>
        <w:t>14</w:t>
      </w:r>
      <w:r>
        <w:fldChar w:fldCharType="end"/>
      </w:r>
      <w:r>
        <w:fldChar w:fldCharType="end"/>
      </w:r>
    </w:p>
    <w:p>
      <w:pPr>
        <w:pStyle w:val="19"/>
        <w:tabs>
          <w:tab w:val="left" w:pos="1260"/>
          <w:tab w:val="right" w:leader="dot" w:pos="8922"/>
        </w:tabs>
        <w:rPr>
          <w:rFonts w:ascii="Calibri" w:hAnsi="Calibri"/>
          <w:i w:val="0"/>
          <w:iCs w:val="0"/>
          <w:szCs w:val="22"/>
        </w:rPr>
      </w:pPr>
      <w:r>
        <w:fldChar w:fldCharType="begin"/>
      </w:r>
      <w:r>
        <w:instrText xml:space="preserve"> HYPERLINK \l "_Toc486583478" </w:instrText>
      </w:r>
      <w:r>
        <w:fldChar w:fldCharType="separate"/>
      </w:r>
      <w:r>
        <w:rPr>
          <w:rStyle w:val="40"/>
          <w:rFonts w:hint="eastAsia"/>
        </w:rPr>
        <w:t>五、</w:t>
      </w:r>
      <w:r>
        <w:rPr>
          <w:rFonts w:ascii="Calibri" w:hAnsi="Calibri"/>
          <w:i w:val="0"/>
          <w:iCs w:val="0"/>
          <w:szCs w:val="22"/>
        </w:rPr>
        <w:tab/>
      </w:r>
      <w:r>
        <w:rPr>
          <w:rStyle w:val="40"/>
          <w:rFonts w:hint="eastAsia"/>
        </w:rPr>
        <w:t>磋商步骤和要求</w:t>
      </w:r>
      <w:r>
        <w:tab/>
      </w:r>
      <w:r>
        <w:fldChar w:fldCharType="begin"/>
      </w:r>
      <w:r>
        <w:instrText xml:space="preserve"> PAGEREF _Toc486583478 \h </w:instrText>
      </w:r>
      <w:r>
        <w:fldChar w:fldCharType="separate"/>
      </w:r>
      <w:r>
        <w:t>15</w:t>
      </w:r>
      <w:r>
        <w:fldChar w:fldCharType="end"/>
      </w:r>
      <w:r>
        <w:fldChar w:fldCharType="end"/>
      </w:r>
    </w:p>
    <w:p>
      <w:pPr>
        <w:pStyle w:val="19"/>
        <w:tabs>
          <w:tab w:val="left" w:pos="1260"/>
          <w:tab w:val="right" w:leader="dot" w:pos="8922"/>
        </w:tabs>
        <w:rPr>
          <w:rFonts w:ascii="Calibri" w:hAnsi="Calibri"/>
          <w:i w:val="0"/>
          <w:iCs w:val="0"/>
          <w:szCs w:val="22"/>
        </w:rPr>
      </w:pPr>
      <w:r>
        <w:fldChar w:fldCharType="begin"/>
      </w:r>
      <w:r>
        <w:instrText xml:space="preserve"> HYPERLINK \l "_Toc486583479" </w:instrText>
      </w:r>
      <w:r>
        <w:fldChar w:fldCharType="separate"/>
      </w:r>
      <w:r>
        <w:rPr>
          <w:rStyle w:val="40"/>
          <w:rFonts w:hint="eastAsia"/>
        </w:rPr>
        <w:t>六、</w:t>
      </w:r>
      <w:r>
        <w:rPr>
          <w:rFonts w:ascii="Calibri" w:hAnsi="Calibri"/>
          <w:i w:val="0"/>
          <w:iCs w:val="0"/>
          <w:szCs w:val="22"/>
        </w:rPr>
        <w:tab/>
      </w:r>
      <w:r>
        <w:rPr>
          <w:rStyle w:val="40"/>
          <w:rFonts w:hint="eastAsia"/>
        </w:rPr>
        <w:t>签订合同</w:t>
      </w:r>
      <w:r>
        <w:tab/>
      </w:r>
      <w:r>
        <w:fldChar w:fldCharType="begin"/>
      </w:r>
      <w:r>
        <w:instrText xml:space="preserve"> PAGEREF _Toc486583479 \h </w:instrText>
      </w:r>
      <w:r>
        <w:fldChar w:fldCharType="separate"/>
      </w:r>
      <w:r>
        <w:t>19</w:t>
      </w:r>
      <w:r>
        <w:fldChar w:fldCharType="end"/>
      </w:r>
      <w:r>
        <w:fldChar w:fldCharType="end"/>
      </w:r>
    </w:p>
    <w:p>
      <w:pPr>
        <w:pStyle w:val="19"/>
        <w:tabs>
          <w:tab w:val="left" w:pos="1260"/>
          <w:tab w:val="right" w:leader="dot" w:pos="8922"/>
        </w:tabs>
        <w:rPr>
          <w:rFonts w:ascii="Calibri" w:hAnsi="Calibri"/>
          <w:i w:val="0"/>
          <w:iCs w:val="0"/>
          <w:szCs w:val="22"/>
        </w:rPr>
      </w:pPr>
      <w:r>
        <w:fldChar w:fldCharType="begin"/>
      </w:r>
      <w:r>
        <w:instrText xml:space="preserve"> HYPERLINK \l "_Toc486583480" </w:instrText>
      </w:r>
      <w:r>
        <w:fldChar w:fldCharType="separate"/>
      </w:r>
      <w:r>
        <w:rPr>
          <w:rStyle w:val="40"/>
          <w:rFonts w:hint="eastAsia"/>
        </w:rPr>
        <w:t>七、</w:t>
      </w:r>
      <w:r>
        <w:rPr>
          <w:rFonts w:ascii="Calibri" w:hAnsi="Calibri"/>
          <w:i w:val="0"/>
          <w:iCs w:val="0"/>
          <w:szCs w:val="22"/>
        </w:rPr>
        <w:tab/>
      </w:r>
      <w:r>
        <w:rPr>
          <w:rStyle w:val="40"/>
          <w:rFonts w:hint="eastAsia"/>
        </w:rPr>
        <w:t>成交服务费</w:t>
      </w:r>
      <w:r>
        <w:tab/>
      </w:r>
      <w:r>
        <w:fldChar w:fldCharType="begin"/>
      </w:r>
      <w:r>
        <w:instrText xml:space="preserve"> PAGEREF _Toc486583480 \h </w:instrText>
      </w:r>
      <w:r>
        <w:fldChar w:fldCharType="separate"/>
      </w:r>
      <w:r>
        <w:t>20</w:t>
      </w:r>
      <w:r>
        <w:fldChar w:fldCharType="end"/>
      </w:r>
      <w:r>
        <w:fldChar w:fldCharType="end"/>
      </w:r>
    </w:p>
    <w:p>
      <w:pPr>
        <w:pStyle w:val="19"/>
        <w:tabs>
          <w:tab w:val="left" w:pos="1260"/>
          <w:tab w:val="right" w:leader="dot" w:pos="8922"/>
        </w:tabs>
        <w:rPr>
          <w:rFonts w:ascii="Calibri" w:hAnsi="Calibri"/>
          <w:i w:val="0"/>
          <w:iCs w:val="0"/>
          <w:szCs w:val="22"/>
        </w:rPr>
      </w:pPr>
      <w:r>
        <w:fldChar w:fldCharType="begin"/>
      </w:r>
      <w:r>
        <w:instrText xml:space="preserve"> HYPERLINK \l "_Toc486583481" </w:instrText>
      </w:r>
      <w:r>
        <w:fldChar w:fldCharType="separate"/>
      </w:r>
      <w:r>
        <w:rPr>
          <w:rStyle w:val="40"/>
          <w:rFonts w:hint="eastAsia"/>
        </w:rPr>
        <w:t>八、</w:t>
      </w:r>
      <w:r>
        <w:rPr>
          <w:rFonts w:ascii="Calibri" w:hAnsi="Calibri"/>
          <w:i w:val="0"/>
          <w:iCs w:val="0"/>
          <w:szCs w:val="22"/>
        </w:rPr>
        <w:tab/>
      </w:r>
      <w:r>
        <w:rPr>
          <w:rStyle w:val="40"/>
          <w:rFonts w:hint="eastAsia"/>
        </w:rPr>
        <w:t>处罚、询问和质疑</w:t>
      </w:r>
      <w:r>
        <w:tab/>
      </w:r>
      <w:r>
        <w:fldChar w:fldCharType="begin"/>
      </w:r>
      <w:r>
        <w:instrText xml:space="preserve"> PAGEREF _Toc486583481 \h </w:instrText>
      </w:r>
      <w:r>
        <w:fldChar w:fldCharType="separate"/>
      </w:r>
      <w:r>
        <w:t>20</w:t>
      </w:r>
      <w:r>
        <w:fldChar w:fldCharType="end"/>
      </w:r>
      <w:r>
        <w:fldChar w:fldCharType="end"/>
      </w:r>
    </w:p>
    <w:p>
      <w:pPr>
        <w:pStyle w:val="19"/>
        <w:tabs>
          <w:tab w:val="left" w:pos="1260"/>
          <w:tab w:val="right" w:leader="dot" w:pos="8922"/>
        </w:tabs>
        <w:rPr>
          <w:rFonts w:ascii="Calibri" w:hAnsi="Calibri"/>
          <w:i w:val="0"/>
          <w:iCs w:val="0"/>
          <w:szCs w:val="22"/>
        </w:rPr>
      </w:pPr>
      <w:r>
        <w:fldChar w:fldCharType="begin"/>
      </w:r>
      <w:r>
        <w:instrText xml:space="preserve"> HYPERLINK \l "_Toc486583482" </w:instrText>
      </w:r>
      <w:r>
        <w:fldChar w:fldCharType="separate"/>
      </w:r>
      <w:r>
        <w:rPr>
          <w:rStyle w:val="40"/>
          <w:rFonts w:hint="eastAsia"/>
        </w:rPr>
        <w:t>九、</w:t>
      </w:r>
      <w:r>
        <w:rPr>
          <w:rFonts w:ascii="Calibri" w:hAnsi="Calibri"/>
          <w:i w:val="0"/>
          <w:iCs w:val="0"/>
          <w:szCs w:val="22"/>
        </w:rPr>
        <w:tab/>
      </w:r>
      <w:r>
        <w:rPr>
          <w:rStyle w:val="40"/>
          <w:rFonts w:hint="eastAsia"/>
        </w:rPr>
        <w:t>保密和披露</w:t>
      </w:r>
      <w:r>
        <w:tab/>
      </w:r>
      <w:r>
        <w:fldChar w:fldCharType="begin"/>
      </w:r>
      <w:r>
        <w:instrText xml:space="preserve"> PAGEREF _Toc486583482 \h </w:instrText>
      </w:r>
      <w:r>
        <w:fldChar w:fldCharType="separate"/>
      </w:r>
      <w:r>
        <w:t>21</w:t>
      </w:r>
      <w:r>
        <w:fldChar w:fldCharType="end"/>
      </w:r>
      <w:r>
        <w:fldChar w:fldCharType="end"/>
      </w:r>
    </w:p>
    <w:p>
      <w:pPr>
        <w:pStyle w:val="32"/>
        <w:tabs>
          <w:tab w:val="right" w:leader="dot" w:pos="8922"/>
        </w:tabs>
        <w:ind w:left="480"/>
        <w:rPr>
          <w:rFonts w:ascii="Calibri" w:hAnsi="Calibri"/>
          <w:kern w:val="2"/>
          <w:sz w:val="21"/>
          <w:szCs w:val="22"/>
        </w:rPr>
      </w:pPr>
      <w:r>
        <w:fldChar w:fldCharType="begin"/>
      </w:r>
      <w:r>
        <w:instrText xml:space="preserve"> HYPERLINK \l "_Toc486583483" </w:instrText>
      </w:r>
      <w:r>
        <w:fldChar w:fldCharType="separate"/>
      </w:r>
      <w:r>
        <w:rPr>
          <w:rStyle w:val="40"/>
          <w:rFonts w:hint="eastAsia"/>
        </w:rPr>
        <w:t>第四部分</w:t>
      </w:r>
      <w:r>
        <w:rPr>
          <w:rStyle w:val="40"/>
        </w:rPr>
        <w:t xml:space="preserve">  </w:t>
      </w:r>
      <w:r>
        <w:rPr>
          <w:rStyle w:val="40"/>
          <w:rFonts w:hint="eastAsia"/>
        </w:rPr>
        <w:t>评标标准和评标办法</w:t>
      </w:r>
      <w:r>
        <w:tab/>
      </w:r>
      <w:r>
        <w:fldChar w:fldCharType="begin"/>
      </w:r>
      <w:r>
        <w:instrText xml:space="preserve"> PAGEREF _Toc486583483 \h </w:instrText>
      </w:r>
      <w:r>
        <w:fldChar w:fldCharType="separate"/>
      </w:r>
      <w:r>
        <w:t>23</w:t>
      </w:r>
      <w:r>
        <w:fldChar w:fldCharType="end"/>
      </w:r>
      <w:r>
        <w:fldChar w:fldCharType="end"/>
      </w:r>
    </w:p>
    <w:p>
      <w:pPr>
        <w:pStyle w:val="32"/>
        <w:tabs>
          <w:tab w:val="right" w:leader="dot" w:pos="8922"/>
        </w:tabs>
        <w:ind w:left="480"/>
        <w:rPr>
          <w:rFonts w:ascii="Calibri" w:hAnsi="Calibri"/>
          <w:kern w:val="2"/>
          <w:sz w:val="21"/>
          <w:szCs w:val="22"/>
        </w:rPr>
      </w:pPr>
      <w:r>
        <w:fldChar w:fldCharType="begin"/>
      </w:r>
      <w:r>
        <w:instrText xml:space="preserve"> HYPERLINK \l "_Toc486583484" </w:instrText>
      </w:r>
      <w:r>
        <w:fldChar w:fldCharType="separate"/>
      </w:r>
      <w:r>
        <w:rPr>
          <w:rStyle w:val="40"/>
          <w:rFonts w:hint="eastAsia"/>
        </w:rPr>
        <w:t>第五部分</w:t>
      </w:r>
      <w:r>
        <w:rPr>
          <w:rStyle w:val="40"/>
        </w:rPr>
        <w:t xml:space="preserve">  </w:t>
      </w:r>
      <w:r>
        <w:rPr>
          <w:rStyle w:val="40"/>
          <w:rFonts w:hint="eastAsia"/>
        </w:rPr>
        <w:t>磋商货物、服务的具体需求</w:t>
      </w:r>
      <w:r>
        <w:tab/>
      </w:r>
      <w:r>
        <w:fldChar w:fldCharType="begin"/>
      </w:r>
      <w:r>
        <w:instrText xml:space="preserve"> PAGEREF _Toc486583484 \h </w:instrText>
      </w:r>
      <w:r>
        <w:fldChar w:fldCharType="separate"/>
      </w:r>
      <w:r>
        <w:t>25</w:t>
      </w:r>
      <w:r>
        <w:fldChar w:fldCharType="end"/>
      </w:r>
      <w:r>
        <w:fldChar w:fldCharType="end"/>
      </w:r>
    </w:p>
    <w:p>
      <w:pPr>
        <w:pStyle w:val="32"/>
        <w:tabs>
          <w:tab w:val="right" w:leader="dot" w:pos="8922"/>
        </w:tabs>
        <w:ind w:left="480"/>
        <w:rPr>
          <w:rFonts w:ascii="Calibri" w:hAnsi="Calibri"/>
          <w:kern w:val="2"/>
          <w:sz w:val="21"/>
          <w:szCs w:val="22"/>
        </w:rPr>
      </w:pPr>
      <w:r>
        <w:fldChar w:fldCharType="begin"/>
      </w:r>
      <w:r>
        <w:instrText xml:space="preserve"> HYPERLINK \l "_Toc486583485" </w:instrText>
      </w:r>
      <w:r>
        <w:fldChar w:fldCharType="separate"/>
      </w:r>
      <w:r>
        <w:rPr>
          <w:rStyle w:val="40"/>
          <w:rFonts w:hint="eastAsia"/>
        </w:rPr>
        <w:t>第六部分</w:t>
      </w:r>
      <w:r>
        <w:rPr>
          <w:rStyle w:val="40"/>
        </w:rPr>
        <w:t xml:space="preserve">  </w:t>
      </w:r>
      <w:r>
        <w:rPr>
          <w:rStyle w:val="40"/>
          <w:rFonts w:hint="eastAsia"/>
        </w:rPr>
        <w:t>响应文件格式</w:t>
      </w:r>
      <w:r>
        <w:tab/>
      </w:r>
      <w:r>
        <w:fldChar w:fldCharType="begin"/>
      </w:r>
      <w:r>
        <w:instrText xml:space="preserve"> PAGEREF _Toc486583485 \h </w:instrText>
      </w:r>
      <w:r>
        <w:fldChar w:fldCharType="separate"/>
      </w:r>
      <w:r>
        <w:t>27</w:t>
      </w:r>
      <w:r>
        <w:fldChar w:fldCharType="end"/>
      </w:r>
      <w:r>
        <w:fldChar w:fldCharType="end"/>
      </w:r>
    </w:p>
    <w:p>
      <w:pPr>
        <w:pStyle w:val="19"/>
        <w:tabs>
          <w:tab w:val="left" w:pos="1260"/>
          <w:tab w:val="right" w:leader="dot" w:pos="8922"/>
        </w:tabs>
        <w:rPr>
          <w:rFonts w:ascii="Calibri" w:hAnsi="Calibri"/>
          <w:i w:val="0"/>
          <w:iCs w:val="0"/>
          <w:szCs w:val="22"/>
        </w:rPr>
      </w:pPr>
      <w:r>
        <w:fldChar w:fldCharType="begin"/>
      </w:r>
      <w:r>
        <w:instrText xml:space="preserve"> HYPERLINK \l "_Toc486583486" </w:instrText>
      </w:r>
      <w:r>
        <w:fldChar w:fldCharType="separate"/>
      </w:r>
      <w:r>
        <w:rPr>
          <w:rStyle w:val="40"/>
          <w:rFonts w:hint="eastAsia"/>
        </w:rPr>
        <w:t>一、</w:t>
      </w:r>
      <w:r>
        <w:rPr>
          <w:rFonts w:ascii="Calibri" w:hAnsi="Calibri"/>
          <w:i w:val="0"/>
          <w:iCs w:val="0"/>
          <w:szCs w:val="22"/>
        </w:rPr>
        <w:tab/>
      </w:r>
      <w:r>
        <w:rPr>
          <w:rStyle w:val="40"/>
          <w:rFonts w:hint="eastAsia"/>
        </w:rPr>
        <w:t>响应人提交文件须知</w:t>
      </w:r>
      <w:r>
        <w:tab/>
      </w:r>
      <w:r>
        <w:fldChar w:fldCharType="begin"/>
      </w:r>
      <w:r>
        <w:instrText xml:space="preserve"> PAGEREF _Toc486583486 \h </w:instrText>
      </w:r>
      <w:r>
        <w:fldChar w:fldCharType="separate"/>
      </w:r>
      <w:r>
        <w:t>27</w:t>
      </w:r>
      <w:r>
        <w:fldChar w:fldCharType="end"/>
      </w:r>
      <w:r>
        <w:fldChar w:fldCharType="end"/>
      </w:r>
    </w:p>
    <w:p>
      <w:pPr>
        <w:pStyle w:val="19"/>
        <w:tabs>
          <w:tab w:val="left" w:pos="1260"/>
          <w:tab w:val="right" w:leader="dot" w:pos="8922"/>
        </w:tabs>
        <w:rPr>
          <w:rFonts w:ascii="Calibri" w:hAnsi="Calibri"/>
          <w:i w:val="0"/>
          <w:iCs w:val="0"/>
          <w:szCs w:val="22"/>
        </w:rPr>
      </w:pPr>
      <w:r>
        <w:fldChar w:fldCharType="begin"/>
      </w:r>
      <w:r>
        <w:instrText xml:space="preserve"> HYPERLINK \l "_Toc486583487" </w:instrText>
      </w:r>
      <w:r>
        <w:fldChar w:fldCharType="separate"/>
      </w:r>
      <w:r>
        <w:rPr>
          <w:rStyle w:val="40"/>
          <w:rFonts w:hint="eastAsia"/>
        </w:rPr>
        <w:t>二、</w:t>
      </w:r>
      <w:r>
        <w:rPr>
          <w:rFonts w:ascii="Calibri" w:hAnsi="Calibri"/>
          <w:i w:val="0"/>
          <w:iCs w:val="0"/>
          <w:szCs w:val="22"/>
        </w:rPr>
        <w:tab/>
      </w:r>
      <w:r>
        <w:rPr>
          <w:rStyle w:val="40"/>
          <w:rFonts w:hint="eastAsia"/>
        </w:rPr>
        <w:t>响应文件顺序</w:t>
      </w:r>
      <w:r>
        <w:tab/>
      </w:r>
      <w:r>
        <w:fldChar w:fldCharType="begin"/>
      </w:r>
      <w:r>
        <w:instrText xml:space="preserve"> PAGEREF _Toc486583487 \h </w:instrText>
      </w:r>
      <w:r>
        <w:fldChar w:fldCharType="separate"/>
      </w:r>
      <w:r>
        <w:t>28</w:t>
      </w:r>
      <w:r>
        <w:fldChar w:fldCharType="end"/>
      </w:r>
      <w:r>
        <w:fldChar w:fldCharType="end"/>
      </w:r>
    </w:p>
    <w:p>
      <w:pPr>
        <w:pStyle w:val="19"/>
        <w:tabs>
          <w:tab w:val="left" w:pos="1470"/>
          <w:tab w:val="right" w:leader="dot" w:pos="8922"/>
        </w:tabs>
        <w:rPr>
          <w:rFonts w:ascii="Calibri" w:hAnsi="Calibri"/>
          <w:i w:val="0"/>
          <w:iCs w:val="0"/>
          <w:szCs w:val="22"/>
        </w:rPr>
      </w:pPr>
      <w:r>
        <w:fldChar w:fldCharType="begin"/>
      </w:r>
      <w:r>
        <w:instrText xml:space="preserve"> HYPERLINK \l "_Toc486583488" </w:instrText>
      </w:r>
      <w:r>
        <w:fldChar w:fldCharType="separate"/>
      </w:r>
      <w:r>
        <w:rPr>
          <w:rStyle w:val="40"/>
          <w:rFonts w:hint="eastAsia"/>
        </w:rPr>
        <w:t>附件1</w:t>
      </w:r>
      <w:r>
        <w:rPr>
          <w:rFonts w:ascii="Calibri" w:hAnsi="Calibri"/>
          <w:i w:val="0"/>
          <w:iCs w:val="0"/>
          <w:szCs w:val="22"/>
        </w:rPr>
        <w:tab/>
      </w:r>
      <w:r>
        <w:rPr>
          <w:rStyle w:val="40"/>
          <w:rFonts w:hint="eastAsia"/>
        </w:rPr>
        <w:t>响应确认函</w:t>
      </w:r>
      <w:r>
        <w:tab/>
      </w:r>
      <w:r>
        <w:fldChar w:fldCharType="begin"/>
      </w:r>
      <w:r>
        <w:instrText xml:space="preserve"> PAGEREF _Toc486583488 \h </w:instrText>
      </w:r>
      <w:r>
        <w:fldChar w:fldCharType="separate"/>
      </w:r>
      <w:r>
        <w:t>29</w:t>
      </w:r>
      <w:r>
        <w:fldChar w:fldCharType="end"/>
      </w:r>
      <w:r>
        <w:fldChar w:fldCharType="end"/>
      </w:r>
    </w:p>
    <w:p>
      <w:pPr>
        <w:pStyle w:val="19"/>
        <w:tabs>
          <w:tab w:val="left" w:pos="1470"/>
          <w:tab w:val="right" w:leader="dot" w:pos="8922"/>
        </w:tabs>
        <w:rPr>
          <w:rFonts w:ascii="Calibri" w:hAnsi="Calibri"/>
          <w:i w:val="0"/>
          <w:iCs w:val="0"/>
          <w:szCs w:val="22"/>
        </w:rPr>
      </w:pPr>
      <w:r>
        <w:fldChar w:fldCharType="begin"/>
      </w:r>
      <w:r>
        <w:instrText xml:space="preserve"> HYPERLINK \l "_Toc486583489" </w:instrText>
      </w:r>
      <w:r>
        <w:fldChar w:fldCharType="separate"/>
      </w:r>
      <w:r>
        <w:rPr>
          <w:rStyle w:val="40"/>
          <w:rFonts w:hint="eastAsia"/>
        </w:rPr>
        <w:t>附件2</w:t>
      </w:r>
      <w:r>
        <w:rPr>
          <w:rFonts w:ascii="Calibri" w:hAnsi="Calibri"/>
          <w:i w:val="0"/>
          <w:iCs w:val="0"/>
          <w:szCs w:val="22"/>
        </w:rPr>
        <w:tab/>
      </w:r>
      <w:r>
        <w:rPr>
          <w:rStyle w:val="40"/>
          <w:rFonts w:hint="eastAsia"/>
        </w:rPr>
        <w:t>响应函</w:t>
      </w:r>
      <w:r>
        <w:tab/>
      </w:r>
      <w:r>
        <w:fldChar w:fldCharType="begin"/>
      </w:r>
      <w:r>
        <w:instrText xml:space="preserve"> PAGEREF _Toc486583489 \h </w:instrText>
      </w:r>
      <w:r>
        <w:fldChar w:fldCharType="separate"/>
      </w:r>
      <w:r>
        <w:t>30</w:t>
      </w:r>
      <w:r>
        <w:fldChar w:fldCharType="end"/>
      </w:r>
      <w:r>
        <w:fldChar w:fldCharType="end"/>
      </w:r>
    </w:p>
    <w:p>
      <w:pPr>
        <w:pStyle w:val="19"/>
        <w:tabs>
          <w:tab w:val="left" w:pos="1470"/>
          <w:tab w:val="right" w:leader="dot" w:pos="8922"/>
        </w:tabs>
        <w:rPr>
          <w:rFonts w:ascii="Calibri" w:hAnsi="Calibri"/>
          <w:i w:val="0"/>
          <w:iCs w:val="0"/>
          <w:szCs w:val="22"/>
        </w:rPr>
      </w:pPr>
      <w:r>
        <w:fldChar w:fldCharType="begin"/>
      </w:r>
      <w:r>
        <w:instrText xml:space="preserve"> HYPERLINK \l "_Toc486583490" </w:instrText>
      </w:r>
      <w:r>
        <w:fldChar w:fldCharType="separate"/>
      </w:r>
      <w:r>
        <w:rPr>
          <w:rStyle w:val="40"/>
          <w:rFonts w:hint="eastAsia"/>
        </w:rPr>
        <w:t>附件3</w:t>
      </w:r>
      <w:r>
        <w:rPr>
          <w:rFonts w:ascii="Calibri" w:hAnsi="Calibri"/>
          <w:i w:val="0"/>
          <w:iCs w:val="0"/>
          <w:szCs w:val="22"/>
        </w:rPr>
        <w:tab/>
      </w:r>
      <w:r>
        <w:rPr>
          <w:rStyle w:val="40"/>
          <w:rFonts w:hint="eastAsia"/>
        </w:rPr>
        <w:t>法定代表人授权委托书</w:t>
      </w:r>
      <w:r>
        <w:tab/>
      </w:r>
      <w:r>
        <w:fldChar w:fldCharType="begin"/>
      </w:r>
      <w:r>
        <w:instrText xml:space="preserve"> PAGEREF _Toc486583490 \h </w:instrText>
      </w:r>
      <w:r>
        <w:fldChar w:fldCharType="separate"/>
      </w:r>
      <w:r>
        <w:t>32</w:t>
      </w:r>
      <w:r>
        <w:fldChar w:fldCharType="end"/>
      </w:r>
      <w:r>
        <w:fldChar w:fldCharType="end"/>
      </w:r>
    </w:p>
    <w:p>
      <w:pPr>
        <w:pStyle w:val="19"/>
        <w:tabs>
          <w:tab w:val="left" w:pos="1470"/>
          <w:tab w:val="right" w:leader="dot" w:pos="8922"/>
        </w:tabs>
        <w:rPr>
          <w:rFonts w:ascii="Calibri" w:hAnsi="Calibri"/>
          <w:i w:val="0"/>
          <w:iCs w:val="0"/>
          <w:szCs w:val="22"/>
        </w:rPr>
      </w:pPr>
      <w:r>
        <w:fldChar w:fldCharType="begin"/>
      </w:r>
      <w:r>
        <w:instrText xml:space="preserve"> HYPERLINK \l "_Toc486583491" </w:instrText>
      </w:r>
      <w:r>
        <w:fldChar w:fldCharType="separate"/>
      </w:r>
      <w:r>
        <w:rPr>
          <w:rStyle w:val="40"/>
          <w:rFonts w:hint="eastAsia"/>
        </w:rPr>
        <w:t>附件4</w:t>
      </w:r>
      <w:r>
        <w:rPr>
          <w:rFonts w:ascii="Calibri" w:hAnsi="Calibri"/>
          <w:i w:val="0"/>
          <w:iCs w:val="0"/>
          <w:szCs w:val="22"/>
        </w:rPr>
        <w:tab/>
      </w:r>
      <w:r>
        <w:rPr>
          <w:rStyle w:val="40"/>
          <w:rFonts w:hint="eastAsia"/>
        </w:rPr>
        <w:t>商务条款偏离表</w:t>
      </w:r>
      <w:r>
        <w:tab/>
      </w:r>
      <w:r>
        <w:fldChar w:fldCharType="begin"/>
      </w:r>
      <w:r>
        <w:instrText xml:space="preserve"> PAGEREF _Toc486583491 \h </w:instrText>
      </w:r>
      <w:r>
        <w:fldChar w:fldCharType="separate"/>
      </w:r>
      <w:r>
        <w:t>33</w:t>
      </w:r>
      <w:r>
        <w:fldChar w:fldCharType="end"/>
      </w:r>
      <w:r>
        <w:fldChar w:fldCharType="end"/>
      </w:r>
    </w:p>
    <w:p>
      <w:pPr>
        <w:pStyle w:val="19"/>
        <w:tabs>
          <w:tab w:val="left" w:pos="1260"/>
          <w:tab w:val="right" w:leader="dot" w:pos="8922"/>
        </w:tabs>
        <w:rPr>
          <w:rFonts w:ascii="Calibri" w:hAnsi="Calibri"/>
          <w:i w:val="0"/>
          <w:iCs w:val="0"/>
          <w:szCs w:val="22"/>
        </w:rPr>
      </w:pPr>
      <w:r>
        <w:fldChar w:fldCharType="begin"/>
      </w:r>
      <w:r>
        <w:instrText xml:space="preserve"> HYPERLINK \l "_Toc486583492" </w:instrText>
      </w:r>
      <w:r>
        <w:fldChar w:fldCharType="separate"/>
      </w:r>
      <w:r>
        <w:rPr>
          <w:rStyle w:val="40"/>
          <w:rFonts w:hint="eastAsia"/>
        </w:rPr>
        <w:t>附件5</w:t>
      </w:r>
      <w:r>
        <w:rPr>
          <w:rFonts w:ascii="Calibri" w:hAnsi="Calibri"/>
          <w:i w:val="0"/>
          <w:iCs w:val="0"/>
          <w:szCs w:val="22"/>
        </w:rPr>
        <w:tab/>
      </w:r>
      <w:r>
        <w:rPr>
          <w:rStyle w:val="40"/>
        </w:rPr>
        <w:t xml:space="preserve">  </w:t>
      </w:r>
      <w:r>
        <w:rPr>
          <w:rStyle w:val="40"/>
          <w:rFonts w:hint="eastAsia"/>
        </w:rPr>
        <w:t>报价一览表</w:t>
      </w:r>
      <w:r>
        <w:tab/>
      </w:r>
      <w:r>
        <w:fldChar w:fldCharType="begin"/>
      </w:r>
      <w:r>
        <w:instrText xml:space="preserve"> PAGEREF _Toc486583492 \h </w:instrText>
      </w:r>
      <w:r>
        <w:fldChar w:fldCharType="separate"/>
      </w:r>
      <w:r>
        <w:t>34</w:t>
      </w:r>
      <w:r>
        <w:fldChar w:fldCharType="end"/>
      </w:r>
      <w:r>
        <w:fldChar w:fldCharType="end"/>
      </w:r>
    </w:p>
    <w:p>
      <w:pPr>
        <w:pStyle w:val="19"/>
        <w:tabs>
          <w:tab w:val="left" w:pos="1470"/>
          <w:tab w:val="right" w:leader="dot" w:pos="8922"/>
        </w:tabs>
        <w:rPr>
          <w:rFonts w:ascii="Calibri" w:hAnsi="Calibri"/>
          <w:i w:val="0"/>
          <w:iCs w:val="0"/>
          <w:szCs w:val="22"/>
        </w:rPr>
      </w:pPr>
      <w:r>
        <w:fldChar w:fldCharType="begin"/>
      </w:r>
      <w:r>
        <w:instrText xml:space="preserve"> HYPERLINK \l "_Toc486583493" </w:instrText>
      </w:r>
      <w:r>
        <w:fldChar w:fldCharType="separate"/>
      </w:r>
      <w:r>
        <w:rPr>
          <w:rStyle w:val="40"/>
          <w:rFonts w:hint="eastAsia"/>
        </w:rPr>
        <w:t>附件6</w:t>
      </w:r>
      <w:r>
        <w:rPr>
          <w:rFonts w:ascii="Calibri" w:hAnsi="Calibri"/>
          <w:i w:val="0"/>
          <w:iCs w:val="0"/>
          <w:szCs w:val="22"/>
        </w:rPr>
        <w:tab/>
      </w:r>
      <w:r>
        <w:rPr>
          <w:rStyle w:val="40"/>
          <w:rFonts w:hint="eastAsia"/>
        </w:rPr>
        <w:t>响应人货物、服务项目偏离表</w:t>
      </w:r>
      <w:r>
        <w:tab/>
      </w:r>
      <w:r>
        <w:fldChar w:fldCharType="begin"/>
      </w:r>
      <w:r>
        <w:instrText xml:space="preserve"> PAGEREF _Toc486583493 \h </w:instrText>
      </w:r>
      <w:r>
        <w:fldChar w:fldCharType="separate"/>
      </w:r>
      <w:r>
        <w:t>35</w:t>
      </w:r>
      <w:r>
        <w:fldChar w:fldCharType="end"/>
      </w:r>
      <w:r>
        <w:fldChar w:fldCharType="end"/>
      </w:r>
    </w:p>
    <w:p>
      <w:r>
        <w:rPr>
          <w:b/>
          <w:bCs/>
          <w:lang w:val="zh-CN"/>
        </w:rPr>
        <w:fldChar w:fldCharType="end"/>
      </w:r>
    </w:p>
    <w:p>
      <w:pPr>
        <w:pStyle w:val="43"/>
        <w:adjustRightInd/>
        <w:spacing w:line="415" w:lineRule="auto"/>
        <w:ind w:left="420" w:hanging="420"/>
        <w:jc w:val="center"/>
        <w:textAlignment w:val="auto"/>
        <w:rPr>
          <w:rFonts w:ascii="Times New Roman" w:hAnsi="Times New Roman" w:eastAsia="宋体"/>
          <w:kern w:val="2"/>
        </w:rPr>
        <w:sectPr>
          <w:footerReference r:id="rId9" w:type="default"/>
          <w:type w:val="continuous"/>
          <w:pgSz w:w="11909" w:h="16834"/>
          <w:pgMar w:top="1418" w:right="1418" w:bottom="1418" w:left="1559" w:header="851" w:footer="851" w:gutter="0"/>
          <w:cols w:space="720" w:num="1"/>
          <w:titlePg/>
        </w:sectPr>
      </w:pPr>
      <w:bookmarkStart w:id="5" w:name="_Toc477456197"/>
    </w:p>
    <w:p>
      <w:pPr>
        <w:pStyle w:val="43"/>
        <w:adjustRightInd/>
        <w:spacing w:line="415" w:lineRule="auto"/>
        <w:ind w:left="420" w:hanging="420"/>
        <w:jc w:val="center"/>
        <w:textAlignment w:val="auto"/>
        <w:rPr>
          <w:rFonts w:ascii="Times New Roman" w:hAnsi="Times New Roman" w:eastAsia="宋体"/>
          <w:kern w:val="2"/>
        </w:rPr>
      </w:pPr>
      <w:bookmarkStart w:id="6" w:name="_Toc486583471"/>
      <w:r>
        <w:rPr>
          <w:rFonts w:hint="eastAsia" w:ascii="Times New Roman" w:hAnsi="Times New Roman" w:eastAsia="宋体"/>
          <w:kern w:val="2"/>
        </w:rPr>
        <w:t>第一部分</w:t>
      </w:r>
      <w:r>
        <w:rPr>
          <w:rFonts w:ascii="Times New Roman" w:hAnsi="Times New Roman" w:eastAsia="宋体"/>
          <w:kern w:val="2"/>
        </w:rPr>
        <w:t xml:space="preserve">  </w:t>
      </w:r>
      <w:bookmarkStart w:id="7" w:name="响应邀请"/>
      <w:r>
        <w:rPr>
          <w:rFonts w:hint="eastAsia" w:ascii="Times New Roman" w:hAnsi="Times New Roman" w:eastAsia="宋体"/>
          <w:kern w:val="2"/>
        </w:rPr>
        <w:t>响应邀请</w:t>
      </w:r>
      <w:bookmarkEnd w:id="2"/>
      <w:bookmarkEnd w:id="3"/>
      <w:bookmarkEnd w:id="4"/>
      <w:bookmarkEnd w:id="5"/>
      <w:bookmarkEnd w:id="6"/>
      <w:bookmarkEnd w:id="7"/>
    </w:p>
    <w:p>
      <w:pPr>
        <w:autoSpaceDE w:val="0"/>
        <w:autoSpaceDN w:val="0"/>
        <w:spacing w:line="400" w:lineRule="exact"/>
        <w:ind w:firstLine="420" w:firstLineChars="200"/>
        <w:rPr>
          <w:sz w:val="21"/>
          <w:szCs w:val="21"/>
        </w:rPr>
      </w:pPr>
      <w:r>
        <w:rPr>
          <w:rFonts w:hint="eastAsia"/>
          <w:sz w:val="21"/>
          <w:szCs w:val="21"/>
        </w:rPr>
        <w:t>中央财经大学招标与采购事务中心就以下所述项目</w:t>
      </w:r>
      <w:r>
        <w:rPr>
          <w:rFonts w:hint="eastAsia"/>
          <w:bCs/>
          <w:sz w:val="21"/>
          <w:szCs w:val="21"/>
        </w:rPr>
        <w:t>相</w:t>
      </w:r>
      <w:r>
        <w:rPr>
          <w:rFonts w:hint="eastAsia"/>
          <w:sz w:val="21"/>
          <w:szCs w:val="21"/>
        </w:rPr>
        <w:t>关服务进行国内磋商谈判，现邀请有供应能力的供应商前来响应。</w:t>
      </w:r>
    </w:p>
    <w:p>
      <w:pPr>
        <w:pStyle w:val="91"/>
        <w:numPr>
          <w:ilvl w:val="0"/>
          <w:numId w:val="8"/>
        </w:numPr>
        <w:ind w:left="420" w:firstLineChars="0"/>
        <w:rPr>
          <w:rFonts w:ascii="Times New Roman" w:hAnsi="Times New Roman"/>
        </w:rPr>
      </w:pPr>
      <w:r>
        <w:rPr>
          <w:rFonts w:hint="eastAsia" w:ascii="Times New Roman" w:hAnsi="Times New Roman"/>
        </w:rPr>
        <w:t>磋商内容：</w:t>
      </w:r>
    </w:p>
    <w:p>
      <w:pPr>
        <w:pStyle w:val="91"/>
        <w:numPr>
          <w:ilvl w:val="0"/>
          <w:numId w:val="9"/>
        </w:numPr>
        <w:ind w:firstLineChars="0"/>
        <w:rPr>
          <w:rFonts w:ascii="Times New Roman" w:hAnsi="Times New Roman"/>
        </w:rPr>
      </w:pPr>
      <w:r>
        <w:rPr>
          <w:rFonts w:hint="eastAsia" w:ascii="Times New Roman" w:hAnsi="Times New Roman"/>
        </w:rPr>
        <w:t>采购项目名称：</w:t>
      </w:r>
      <w:r>
        <w:fldChar w:fldCharType="begin"/>
      </w:r>
      <w:r>
        <w:instrText xml:space="preserve"> REF 项目名称 \h  \* MERGEFORMAT </w:instrText>
      </w:r>
      <w:r>
        <w:fldChar w:fldCharType="separate"/>
      </w:r>
      <w:r>
        <w:rPr>
          <w:rFonts w:ascii="Times New Roman" w:hAnsi="Times New Roman"/>
        </w:rPr>
        <w:t>中央财经大学</w:t>
      </w:r>
      <w:r>
        <w:rPr>
          <w:rFonts w:hint="eastAsia" w:ascii="Times New Roman" w:hAnsi="Times New Roman"/>
        </w:rPr>
        <w:t>沙河校区图书馆</w:t>
      </w:r>
      <w:r>
        <w:rPr>
          <w:rFonts w:ascii="Times New Roman" w:hAnsi="Times New Roman"/>
        </w:rPr>
        <w:t>电梯维保服务采购项目</w:t>
      </w:r>
      <w:r>
        <w:fldChar w:fldCharType="end"/>
      </w:r>
    </w:p>
    <w:p>
      <w:pPr>
        <w:pStyle w:val="91"/>
        <w:numPr>
          <w:ilvl w:val="0"/>
          <w:numId w:val="9"/>
        </w:numPr>
        <w:ind w:firstLineChars="0"/>
        <w:rPr>
          <w:rFonts w:ascii="Times New Roman" w:hAnsi="Times New Roman"/>
        </w:rPr>
      </w:pPr>
      <w:r>
        <w:rPr>
          <w:rFonts w:hint="eastAsia" w:ascii="Times New Roman" w:hAnsi="Times New Roman"/>
        </w:rPr>
        <w:t>采购项目编号：</w:t>
      </w:r>
      <w:r>
        <w:rPr>
          <w:rFonts w:hint="eastAsia" w:ascii="Times New Roman" w:hAnsi="Times New Roman"/>
          <w:lang w:val="en-US" w:eastAsia="zh-CN"/>
        </w:rPr>
        <w:t>JC-2017022</w:t>
      </w:r>
    </w:p>
    <w:p>
      <w:pPr>
        <w:pStyle w:val="91"/>
        <w:numPr>
          <w:ilvl w:val="0"/>
          <w:numId w:val="9"/>
        </w:numPr>
        <w:ind w:firstLineChars="0"/>
        <w:rPr>
          <w:rFonts w:ascii="Times New Roman" w:hAnsi="Times New Roman"/>
        </w:rPr>
      </w:pPr>
      <w:r>
        <w:rPr>
          <w:rFonts w:hint="eastAsia" w:ascii="Times New Roman" w:hAnsi="Times New Roman"/>
        </w:rPr>
        <w:t>采购项目性质：</w:t>
      </w:r>
      <w:r>
        <w:rPr>
          <w:rFonts w:hint="eastAsia" w:ascii="Times New Roman" w:hAnsi="Times New Roman"/>
          <w:lang w:eastAsia="zh-CN"/>
        </w:rPr>
        <w:t>竞争性磋商</w:t>
      </w:r>
    </w:p>
    <w:p>
      <w:pPr>
        <w:pStyle w:val="91"/>
        <w:numPr>
          <w:ilvl w:val="0"/>
          <w:numId w:val="9"/>
        </w:numPr>
        <w:ind w:firstLineChars="0"/>
        <w:rPr>
          <w:rFonts w:ascii="Times New Roman" w:hAnsi="Times New Roman"/>
        </w:rPr>
      </w:pPr>
      <w:r>
        <w:rPr>
          <w:rFonts w:hint="eastAsia" w:ascii="Times New Roman" w:hAnsi="Times New Roman"/>
        </w:rPr>
        <w:t>简要规格描述或项目基本情况介绍</w:t>
      </w:r>
    </w:p>
    <w:p>
      <w:pPr>
        <w:pStyle w:val="91"/>
        <w:rPr>
          <w:rFonts w:ascii="Times New Roman" w:hAnsi="Times New Roman"/>
        </w:rPr>
      </w:pPr>
      <w:r>
        <w:rPr>
          <w:rFonts w:hint="eastAsia" w:ascii="Times New Roman" w:hAnsi="Times New Roman"/>
        </w:rPr>
        <w:t>具体采购范围及所应达到的具体要求，以本采购文件中商务、技术和服务的相应规定为准。响应人的响应文件必须满足本次采购的实质目的，完全实现所应有的全部要求。响应人若存在任何理解上无法正确确定之处，均应当按照磋商文件所规定的响应前的澄清等程序提出，否则，可能导致的任何不利后果均应当由响应人自行承担。</w:t>
      </w:r>
    </w:p>
    <w:p>
      <w:pPr>
        <w:pStyle w:val="91"/>
        <w:rPr>
          <w:rFonts w:ascii="Times New Roman" w:hAnsi="Times New Roman"/>
        </w:rPr>
      </w:pPr>
      <w:r>
        <w:rPr>
          <w:rFonts w:hint="eastAsia" w:ascii="Times New Roman" w:hAnsi="Times New Roman"/>
        </w:rPr>
        <w:t>履约时间：合同签订生效日起</w:t>
      </w:r>
      <w:r>
        <w:rPr>
          <w:rFonts w:ascii="Times New Roman" w:hAnsi="Times New Roman"/>
        </w:rPr>
        <w:t>1</w:t>
      </w:r>
      <w:r>
        <w:rPr>
          <w:rFonts w:hint="eastAsia" w:ascii="Times New Roman" w:hAnsi="Times New Roman"/>
        </w:rPr>
        <w:t>年。</w:t>
      </w:r>
      <w:r>
        <w:rPr>
          <w:rFonts w:ascii="Times New Roman" w:hAnsi="Times New Roman"/>
        </w:rPr>
        <w:t xml:space="preserve">                  </w:t>
      </w:r>
      <w:r>
        <w:rPr>
          <w:rFonts w:hint="eastAsia" w:ascii="Times New Roman" w:hAnsi="Times New Roman"/>
        </w:rPr>
        <w:t>。</w:t>
      </w:r>
    </w:p>
    <w:p>
      <w:pPr>
        <w:pStyle w:val="91"/>
        <w:rPr>
          <w:rFonts w:ascii="Times New Roman" w:hAnsi="Times New Roman"/>
        </w:rPr>
      </w:pPr>
      <w:r>
        <w:rPr>
          <w:rFonts w:hint="eastAsia" w:ascii="Times New Roman" w:hAnsi="Times New Roman"/>
        </w:rPr>
        <w:t>履约地点：中央财经大学沙河校区图书馆。</w:t>
      </w:r>
    </w:p>
    <w:p>
      <w:pPr>
        <w:pStyle w:val="91"/>
        <w:numPr>
          <w:ilvl w:val="0"/>
          <w:numId w:val="9"/>
        </w:numPr>
        <w:ind w:firstLineChars="0"/>
        <w:rPr>
          <w:rFonts w:ascii="Times New Roman" w:hAnsi="Times New Roman"/>
        </w:rPr>
      </w:pPr>
      <w:r>
        <w:rPr>
          <w:rFonts w:hint="eastAsia" w:ascii="Times New Roman" w:hAnsi="Times New Roman"/>
        </w:rPr>
        <w:t>需要落实的政府采购政策</w:t>
      </w:r>
    </w:p>
    <w:p>
      <w:pPr>
        <w:pStyle w:val="91"/>
        <w:rPr>
          <w:rFonts w:ascii="Times New Roman" w:hAnsi="Times New Roman"/>
        </w:rPr>
      </w:pPr>
      <w:r>
        <w:rPr>
          <w:rFonts w:hint="eastAsia" w:ascii="Times New Roman" w:hAnsi="Times New Roman"/>
        </w:rPr>
        <w:t>详见《</w:t>
      </w:r>
      <w:r>
        <w:fldChar w:fldCharType="begin"/>
      </w:r>
      <w:r>
        <w:instrText xml:space="preserve"> REF 项目名称 \h  \* MERGEFORMAT </w:instrText>
      </w:r>
      <w:r>
        <w:fldChar w:fldCharType="separate"/>
      </w:r>
      <w:r>
        <w:rPr>
          <w:rFonts w:ascii="Times New Roman" w:hAnsi="Times New Roman"/>
        </w:rPr>
        <w:t>中央财经大学</w:t>
      </w:r>
      <w:r>
        <w:rPr>
          <w:rFonts w:hint="eastAsia" w:ascii="Times New Roman" w:hAnsi="Times New Roman"/>
        </w:rPr>
        <w:t>沙河校区</w:t>
      </w:r>
      <w:r>
        <w:rPr>
          <w:rFonts w:ascii="Times New Roman" w:hAnsi="Times New Roman"/>
        </w:rPr>
        <w:t>图书馆电梯维保服务采购项目</w:t>
      </w:r>
      <w:r>
        <w:fldChar w:fldCharType="end"/>
      </w:r>
      <w:r>
        <w:rPr>
          <w:rFonts w:hint="eastAsia" w:ascii="Times New Roman" w:hAnsi="Times New Roman"/>
        </w:rPr>
        <w:t>磋商谈判文件》。</w:t>
      </w:r>
    </w:p>
    <w:p>
      <w:pPr>
        <w:pStyle w:val="91"/>
        <w:numPr>
          <w:ilvl w:val="0"/>
          <w:numId w:val="8"/>
        </w:numPr>
        <w:ind w:left="420" w:firstLineChars="0"/>
        <w:rPr>
          <w:rFonts w:ascii="Times New Roman" w:hAnsi="Times New Roman"/>
          <w:color w:val="FF0000"/>
        </w:rPr>
      </w:pPr>
      <w:r>
        <w:rPr>
          <w:rFonts w:hint="eastAsia" w:ascii="Times New Roman" w:hAnsi="Times New Roman"/>
        </w:rPr>
        <w:t>项目预算金额：</w:t>
      </w:r>
      <w:bookmarkStart w:id="8" w:name="预算"/>
      <w:r>
        <w:rPr>
          <w:rFonts w:hint="eastAsia" w:ascii="Times New Roman" w:hAnsi="Times New Roman"/>
          <w:color w:val="auto"/>
        </w:rPr>
        <w:t>22</w:t>
      </w:r>
      <w:r>
        <w:rPr>
          <w:rFonts w:ascii="Times New Roman" w:hAnsi="Times New Roman"/>
          <w:color w:val="auto"/>
        </w:rPr>
        <w:t>0000</w:t>
      </w:r>
      <w:r>
        <w:rPr>
          <w:rFonts w:hint="eastAsia" w:ascii="Times New Roman" w:hAnsi="Times New Roman"/>
          <w:color w:val="auto"/>
        </w:rPr>
        <w:t>元</w:t>
      </w:r>
      <w:bookmarkEnd w:id="8"/>
    </w:p>
    <w:p>
      <w:pPr>
        <w:pStyle w:val="91"/>
        <w:numPr>
          <w:ilvl w:val="0"/>
          <w:numId w:val="8"/>
        </w:numPr>
        <w:ind w:left="420" w:firstLineChars="0"/>
        <w:rPr>
          <w:rFonts w:ascii="Times New Roman" w:hAnsi="Times New Roman"/>
        </w:rPr>
      </w:pPr>
      <w:r>
        <w:rPr>
          <w:rFonts w:hint="eastAsia" w:ascii="Times New Roman" w:hAnsi="Times New Roman"/>
        </w:rPr>
        <w:t>响应人资格要求：</w:t>
      </w:r>
    </w:p>
    <w:p>
      <w:pPr>
        <w:pStyle w:val="91"/>
        <w:rPr>
          <w:rFonts w:ascii="Times New Roman" w:hAnsi="Times New Roman"/>
        </w:rPr>
      </w:pPr>
      <w:r>
        <w:rPr>
          <w:rFonts w:hint="eastAsia" w:ascii="Times New Roman" w:hAnsi="Times New Roman"/>
        </w:rPr>
        <w:t>见本文件第</w:t>
      </w:r>
      <w:r>
        <w:fldChar w:fldCharType="begin"/>
      </w:r>
      <w:r>
        <w:instrText xml:space="preserve"> REF 二 \h  \* MERGEFORMAT </w:instrText>
      </w:r>
      <w:r>
        <w:fldChar w:fldCharType="separate"/>
      </w:r>
      <w:r>
        <w:rPr>
          <w:rFonts w:hint="eastAsia"/>
        </w:rPr>
        <w:t>二</w:t>
      </w:r>
      <w:r>
        <w:fldChar w:fldCharType="end"/>
      </w:r>
      <w:r>
        <w:rPr>
          <w:rFonts w:hint="eastAsia" w:ascii="Times New Roman" w:hAnsi="Times New Roman"/>
        </w:rPr>
        <w:t>部分</w:t>
      </w:r>
      <w:r>
        <w:rPr>
          <w:rFonts w:ascii="Times New Roman" w:hAnsi="Times New Roman"/>
        </w:rPr>
        <w:t>“</w:t>
      </w:r>
      <w:r>
        <w:fldChar w:fldCharType="begin"/>
      </w:r>
      <w:r>
        <w:instrText xml:space="preserve"> REF 响应人须知前附表 \h  \* MERGEFORMAT </w:instrText>
      </w:r>
      <w:r>
        <w:fldChar w:fldCharType="separate"/>
      </w:r>
      <w:r>
        <w:rPr>
          <w:rFonts w:hint="eastAsia" w:ascii="Times New Roman" w:hAnsi="Times New Roman"/>
        </w:rPr>
        <w:t>响应人须知前附表</w:t>
      </w:r>
      <w:r>
        <w:fldChar w:fldCharType="end"/>
      </w:r>
      <w:r>
        <w:rPr>
          <w:rFonts w:ascii="Times New Roman" w:hAnsi="Times New Roman"/>
        </w:rPr>
        <w:t>”</w:t>
      </w:r>
      <w:r>
        <w:rPr>
          <w:rFonts w:hint="eastAsia" w:ascii="Times New Roman" w:hAnsi="Times New Roman"/>
        </w:rPr>
        <w:t>中的</w:t>
      </w:r>
      <w:r>
        <w:rPr>
          <w:rFonts w:ascii="Times New Roman" w:hAnsi="Times New Roman"/>
        </w:rPr>
        <w:t>“</w:t>
      </w:r>
      <w:r>
        <w:fldChar w:fldCharType="begin"/>
      </w:r>
      <w:r>
        <w:instrText xml:space="preserve"> REF 响应人（或响应产品）资质要求 \h  \* MERGEFORMAT </w:instrText>
      </w:r>
      <w:r>
        <w:fldChar w:fldCharType="separate"/>
      </w:r>
      <w:r>
        <w:rPr>
          <w:rFonts w:hint="eastAsia" w:ascii="Times New Roman" w:hAnsi="Times New Roman"/>
        </w:rPr>
        <w:t>响应人（或响应产品）资质要求</w:t>
      </w:r>
      <w:r>
        <w:fldChar w:fldCharType="end"/>
      </w:r>
      <w:r>
        <w:rPr>
          <w:rFonts w:ascii="Times New Roman" w:hAnsi="Times New Roman"/>
        </w:rPr>
        <w:t>”</w:t>
      </w:r>
      <w:r>
        <w:rPr>
          <w:rFonts w:hint="eastAsia" w:ascii="Times New Roman" w:hAnsi="Times New Roman"/>
        </w:rPr>
        <w:t>。</w:t>
      </w:r>
    </w:p>
    <w:p>
      <w:pPr>
        <w:pStyle w:val="91"/>
        <w:numPr>
          <w:ilvl w:val="0"/>
          <w:numId w:val="8"/>
        </w:numPr>
        <w:ind w:left="420" w:firstLineChars="0"/>
        <w:rPr>
          <w:rFonts w:ascii="Times New Roman" w:hAnsi="Times New Roman"/>
        </w:rPr>
      </w:pPr>
      <w:bookmarkStart w:id="9" w:name="_Toc116879910"/>
      <w:r>
        <w:rPr>
          <w:rFonts w:hint="eastAsia" w:ascii="Times New Roman" w:hAnsi="Times New Roman"/>
        </w:rPr>
        <w:t>磋商文件领取时间、地点和办法</w:t>
      </w:r>
      <w:bookmarkEnd w:id="9"/>
    </w:p>
    <w:p>
      <w:pPr>
        <w:pStyle w:val="79"/>
        <w:spacing w:before="0" w:after="0" w:line="400" w:lineRule="exact"/>
        <w:ind w:left="0" w:leftChars="0" w:firstLine="420"/>
        <w:rPr>
          <w:sz w:val="21"/>
          <w:szCs w:val="21"/>
        </w:rPr>
      </w:pPr>
      <w:r>
        <w:rPr>
          <w:rFonts w:hint="eastAsia"/>
          <w:sz w:val="21"/>
          <w:szCs w:val="21"/>
        </w:rPr>
        <w:t>即日起五日内</w:t>
      </w:r>
      <w:r>
        <w:rPr>
          <w:sz w:val="21"/>
          <w:szCs w:val="21"/>
        </w:rPr>
        <w:t>“</w:t>
      </w:r>
      <w:r>
        <w:rPr>
          <w:rFonts w:hint="eastAsia"/>
          <w:sz w:val="21"/>
          <w:szCs w:val="21"/>
        </w:rPr>
        <w:t>中国政府采购网</w:t>
      </w:r>
      <w:r>
        <w:rPr>
          <w:sz w:val="21"/>
          <w:szCs w:val="21"/>
        </w:rPr>
        <w:t>”</w:t>
      </w:r>
      <w:r>
        <w:rPr>
          <w:rFonts w:hint="eastAsia"/>
          <w:sz w:val="21"/>
          <w:szCs w:val="21"/>
        </w:rPr>
        <w:t>、</w:t>
      </w:r>
      <w:r>
        <w:rPr>
          <w:sz w:val="21"/>
          <w:szCs w:val="21"/>
        </w:rPr>
        <w:t>“</w:t>
      </w:r>
      <w:r>
        <w:rPr>
          <w:rFonts w:hint="eastAsia"/>
          <w:sz w:val="21"/>
          <w:szCs w:val="21"/>
        </w:rPr>
        <w:t>中国教育装备网</w:t>
      </w:r>
      <w:r>
        <w:rPr>
          <w:sz w:val="21"/>
          <w:szCs w:val="21"/>
        </w:rPr>
        <w:t>”</w:t>
      </w:r>
      <w:r>
        <w:rPr>
          <w:rFonts w:hint="eastAsia"/>
          <w:sz w:val="21"/>
          <w:szCs w:val="21"/>
        </w:rPr>
        <w:t>、</w:t>
      </w:r>
      <w:r>
        <w:rPr>
          <w:sz w:val="21"/>
          <w:szCs w:val="21"/>
        </w:rPr>
        <w:t>“</w:t>
      </w:r>
      <w:r>
        <w:rPr>
          <w:rFonts w:hint="eastAsia"/>
          <w:sz w:val="21"/>
          <w:szCs w:val="21"/>
        </w:rPr>
        <w:t>中央财经大学官网</w:t>
      </w:r>
      <w:r>
        <w:rPr>
          <w:sz w:val="21"/>
          <w:szCs w:val="21"/>
        </w:rPr>
        <w:t>”</w:t>
      </w:r>
      <w:r>
        <w:rPr>
          <w:rFonts w:hint="eastAsia"/>
          <w:sz w:val="21"/>
          <w:szCs w:val="21"/>
        </w:rPr>
        <w:t>等公告信息发布页面免费下载。</w:t>
      </w:r>
    </w:p>
    <w:p>
      <w:pPr>
        <w:pStyle w:val="91"/>
        <w:numPr>
          <w:ilvl w:val="0"/>
          <w:numId w:val="8"/>
        </w:numPr>
        <w:ind w:left="420" w:firstLineChars="0"/>
        <w:rPr>
          <w:rFonts w:ascii="Times New Roman" w:hAnsi="Times New Roman"/>
        </w:rPr>
      </w:pPr>
      <w:r>
        <w:rPr>
          <w:rFonts w:hint="eastAsia" w:ascii="Times New Roman" w:hAnsi="Times New Roman"/>
        </w:rPr>
        <w:t>磋商文件接收时间及地点</w:t>
      </w:r>
    </w:p>
    <w:p>
      <w:pPr>
        <w:pStyle w:val="79"/>
        <w:spacing w:before="0" w:after="0" w:line="400" w:lineRule="exact"/>
        <w:ind w:left="0" w:leftChars="0" w:firstLine="420"/>
        <w:rPr>
          <w:sz w:val="21"/>
          <w:szCs w:val="21"/>
        </w:rPr>
      </w:pPr>
      <w:bookmarkStart w:id="10" w:name="磋商时间"/>
      <w:r>
        <w:rPr>
          <w:rFonts w:hint="eastAsia"/>
          <w:sz w:val="21"/>
          <w:szCs w:val="21"/>
        </w:rPr>
        <w:t>2017年9月25日</w:t>
      </w:r>
      <w:bookmarkEnd w:id="10"/>
      <w:r>
        <w:rPr>
          <w:rFonts w:hint="eastAsia"/>
          <w:sz w:val="21"/>
          <w:szCs w:val="21"/>
        </w:rPr>
        <w:t>下午14</w:t>
      </w:r>
      <w:r>
        <w:rPr>
          <w:sz w:val="21"/>
          <w:szCs w:val="21"/>
        </w:rPr>
        <w:t>:00</w:t>
      </w:r>
      <w:r>
        <w:rPr>
          <w:rFonts w:hint="eastAsia"/>
          <w:sz w:val="21"/>
          <w:szCs w:val="21"/>
        </w:rPr>
        <w:t>至14</w:t>
      </w:r>
      <w:r>
        <w:rPr>
          <w:sz w:val="21"/>
          <w:szCs w:val="21"/>
        </w:rPr>
        <w:t>:</w:t>
      </w:r>
      <w:r>
        <w:rPr>
          <w:rFonts w:hint="eastAsia"/>
          <w:sz w:val="21"/>
          <w:szCs w:val="21"/>
        </w:rPr>
        <w:t>2</w:t>
      </w:r>
      <w:r>
        <w:rPr>
          <w:sz w:val="21"/>
          <w:szCs w:val="21"/>
        </w:rPr>
        <w:t>0</w:t>
      </w:r>
    </w:p>
    <w:p>
      <w:pPr>
        <w:pStyle w:val="79"/>
        <w:spacing w:before="0" w:after="0" w:line="400" w:lineRule="exact"/>
        <w:ind w:left="0" w:leftChars="0" w:firstLine="420"/>
        <w:rPr>
          <w:sz w:val="21"/>
          <w:szCs w:val="21"/>
        </w:rPr>
      </w:pPr>
      <w:r>
        <w:rPr>
          <w:rFonts w:hint="eastAsia"/>
          <w:sz w:val="21"/>
          <w:szCs w:val="21"/>
        </w:rPr>
        <w:t>北京海淀区学院南路</w:t>
      </w:r>
      <w:r>
        <w:rPr>
          <w:sz w:val="21"/>
          <w:szCs w:val="21"/>
        </w:rPr>
        <w:t>39</w:t>
      </w:r>
      <w:r>
        <w:rPr>
          <w:rFonts w:hint="eastAsia"/>
          <w:sz w:val="21"/>
          <w:szCs w:val="21"/>
        </w:rPr>
        <w:t>号中央财经大学办公楼</w:t>
      </w:r>
      <w:r>
        <w:rPr>
          <w:sz w:val="21"/>
          <w:szCs w:val="21"/>
        </w:rPr>
        <w:t>309</w:t>
      </w:r>
      <w:r>
        <w:rPr>
          <w:rFonts w:hint="eastAsia"/>
          <w:sz w:val="21"/>
          <w:szCs w:val="21"/>
        </w:rPr>
        <w:t>室。</w:t>
      </w:r>
    </w:p>
    <w:p>
      <w:pPr>
        <w:pStyle w:val="91"/>
        <w:numPr>
          <w:ilvl w:val="0"/>
          <w:numId w:val="8"/>
        </w:numPr>
        <w:ind w:left="420" w:firstLineChars="0"/>
        <w:rPr>
          <w:rFonts w:ascii="Times New Roman" w:hAnsi="Times New Roman"/>
        </w:rPr>
      </w:pPr>
      <w:r>
        <w:rPr>
          <w:rFonts w:hint="eastAsia" w:ascii="Times New Roman" w:hAnsi="Times New Roman"/>
        </w:rPr>
        <w:t>磋商文件开启时间及地点</w:t>
      </w:r>
    </w:p>
    <w:p>
      <w:pPr>
        <w:pStyle w:val="79"/>
        <w:spacing w:before="0" w:after="0" w:line="400" w:lineRule="exact"/>
        <w:ind w:left="0" w:leftChars="0" w:firstLine="480"/>
        <w:rPr>
          <w:sz w:val="21"/>
          <w:szCs w:val="21"/>
        </w:rPr>
      </w:pPr>
      <w:r>
        <w:fldChar w:fldCharType="begin"/>
      </w:r>
      <w:r>
        <w:instrText xml:space="preserve"> REF </w:instrText>
      </w:r>
      <w:r>
        <w:rPr>
          <w:rFonts w:hint="eastAsia"/>
        </w:rPr>
        <w:instrText xml:space="preserve">磋商时间</w:instrText>
      </w:r>
      <w:r>
        <w:instrText xml:space="preserve"> \h  \* MERGEFORMAT </w:instrText>
      </w:r>
      <w:r>
        <w:fldChar w:fldCharType="separate"/>
      </w:r>
      <w:r>
        <w:rPr>
          <w:rFonts w:hint="eastAsia"/>
          <w:sz w:val="21"/>
          <w:szCs w:val="21"/>
        </w:rPr>
        <w:t>2017年9月25日</w:t>
      </w:r>
      <w:r>
        <w:fldChar w:fldCharType="end"/>
      </w:r>
      <w:r>
        <w:rPr>
          <w:rFonts w:hint="eastAsia"/>
          <w:sz w:val="21"/>
          <w:szCs w:val="21"/>
        </w:rPr>
        <w:t>下午14</w:t>
      </w:r>
      <w:r>
        <w:rPr>
          <w:sz w:val="21"/>
          <w:szCs w:val="21"/>
        </w:rPr>
        <w:t>:</w:t>
      </w:r>
      <w:r>
        <w:rPr>
          <w:rFonts w:hint="eastAsia"/>
          <w:sz w:val="21"/>
          <w:szCs w:val="21"/>
        </w:rPr>
        <w:t>3</w:t>
      </w:r>
      <w:r>
        <w:rPr>
          <w:sz w:val="21"/>
          <w:szCs w:val="21"/>
        </w:rPr>
        <w:t>0</w:t>
      </w:r>
    </w:p>
    <w:p>
      <w:pPr>
        <w:pStyle w:val="79"/>
        <w:spacing w:before="0" w:after="0" w:line="400" w:lineRule="exact"/>
        <w:ind w:left="0" w:leftChars="0" w:firstLine="420"/>
        <w:rPr>
          <w:sz w:val="21"/>
          <w:szCs w:val="21"/>
        </w:rPr>
      </w:pPr>
      <w:r>
        <w:rPr>
          <w:rFonts w:hint="eastAsia"/>
          <w:sz w:val="21"/>
          <w:szCs w:val="21"/>
        </w:rPr>
        <w:t>北京海淀区学院南路</w:t>
      </w:r>
      <w:r>
        <w:rPr>
          <w:sz w:val="21"/>
          <w:szCs w:val="21"/>
        </w:rPr>
        <w:t>39</w:t>
      </w:r>
      <w:r>
        <w:rPr>
          <w:rFonts w:hint="eastAsia"/>
          <w:sz w:val="21"/>
          <w:szCs w:val="21"/>
        </w:rPr>
        <w:t>号中央财经大学</w:t>
      </w:r>
      <w:r>
        <w:rPr>
          <w:rFonts w:hint="eastAsia"/>
          <w:sz w:val="21"/>
          <w:szCs w:val="21"/>
          <w:lang w:eastAsia="zh-CN"/>
        </w:rPr>
        <w:t>学六楼</w:t>
      </w:r>
      <w:r>
        <w:rPr>
          <w:rFonts w:hint="eastAsia"/>
          <w:sz w:val="21"/>
          <w:szCs w:val="21"/>
          <w:lang w:val="en-US" w:eastAsia="zh-CN"/>
        </w:rPr>
        <w:t>201</w:t>
      </w:r>
      <w:bookmarkStart w:id="101" w:name="_GoBack"/>
      <w:bookmarkEnd w:id="101"/>
      <w:r>
        <w:rPr>
          <w:rFonts w:hint="eastAsia"/>
          <w:sz w:val="21"/>
          <w:szCs w:val="21"/>
        </w:rPr>
        <w:t>。</w:t>
      </w:r>
    </w:p>
    <w:p>
      <w:pPr>
        <w:pStyle w:val="91"/>
        <w:numPr>
          <w:ilvl w:val="0"/>
          <w:numId w:val="8"/>
        </w:numPr>
        <w:ind w:left="420" w:firstLineChars="0"/>
        <w:rPr>
          <w:rFonts w:ascii="Times New Roman" w:hAnsi="Times New Roman"/>
        </w:rPr>
      </w:pPr>
      <w:r>
        <w:rPr>
          <w:rFonts w:hint="eastAsia" w:ascii="Times New Roman" w:hAnsi="Times New Roman"/>
        </w:rPr>
        <w:t>磋商确认函截止时间</w:t>
      </w:r>
    </w:p>
    <w:p>
      <w:pPr>
        <w:pStyle w:val="91"/>
        <w:rPr>
          <w:rFonts w:ascii="Times New Roman" w:hAnsi="Times New Roman"/>
          <w:szCs w:val="21"/>
        </w:rPr>
      </w:pPr>
      <w:bookmarkStart w:id="11" w:name="确认函说明"/>
      <w:r>
        <w:rPr>
          <w:rFonts w:hint="eastAsia" w:ascii="Times New Roman" w:hAnsi="Times New Roman"/>
        </w:rPr>
        <w:t>请确认参加磋商的供应商于2017年9月22 日</w:t>
      </w:r>
      <w:r>
        <w:rPr>
          <w:rFonts w:ascii="Times New Roman" w:hAnsi="Times New Roman"/>
        </w:rPr>
        <w:t>15:00</w:t>
      </w:r>
      <w:r>
        <w:rPr>
          <w:rFonts w:hint="eastAsia" w:ascii="Times New Roman" w:hAnsi="Times New Roman"/>
        </w:rPr>
        <w:t>前传真至我单位，同时将盖章扫描件发送至邮箱：</w:t>
      </w:r>
      <w:bookmarkStart w:id="12" w:name="邮箱"/>
      <w:r>
        <w:rPr>
          <w:rFonts w:ascii="Times New Roman" w:hAnsi="Times New Roman"/>
        </w:rPr>
        <w:t>cgzx@cufe.edu.cn</w:t>
      </w:r>
      <w:bookmarkEnd w:id="12"/>
      <w:r>
        <w:rPr>
          <w:rFonts w:hint="eastAsia" w:ascii="Times New Roman" w:hAnsi="Times New Roman"/>
        </w:rPr>
        <w:t>，邮件主题为</w:t>
      </w:r>
      <w:r>
        <w:rPr>
          <w:rFonts w:ascii="Times New Roman" w:hAnsi="Times New Roman"/>
        </w:rPr>
        <w:t>“</w:t>
      </w:r>
      <w:r>
        <w:rPr>
          <w:rFonts w:hint="eastAsia" w:ascii="Times New Roman" w:hAnsi="Times New Roman"/>
        </w:rPr>
        <w:t>磋商确认函</w:t>
      </w:r>
      <w:r>
        <w:rPr>
          <w:rFonts w:ascii="Times New Roman" w:hAnsi="Times New Roman"/>
        </w:rPr>
        <w:t>+</w:t>
      </w:r>
      <w:r>
        <w:rPr>
          <w:rFonts w:hint="eastAsia" w:ascii="Times New Roman" w:hAnsi="Times New Roman"/>
        </w:rPr>
        <w:t>公司简称</w:t>
      </w:r>
      <w:r>
        <w:rPr>
          <w:rFonts w:ascii="Times New Roman" w:hAnsi="Times New Roman"/>
        </w:rPr>
        <w:t>+</w:t>
      </w:r>
      <w:r>
        <w:rPr>
          <w:rFonts w:hint="eastAsia" w:ascii="Times New Roman" w:hAnsi="Times New Roman"/>
        </w:rPr>
        <w:t>项目名称</w:t>
      </w:r>
      <w:r>
        <w:rPr>
          <w:rFonts w:ascii="Times New Roman" w:hAnsi="Times New Roman"/>
        </w:rPr>
        <w:t>+</w:t>
      </w:r>
      <w:r>
        <w:rPr>
          <w:rFonts w:hint="eastAsia" w:ascii="Times New Roman" w:hAnsi="Times New Roman"/>
        </w:rPr>
        <w:t>项目编号</w:t>
      </w:r>
      <w:r>
        <w:rPr>
          <w:rFonts w:ascii="Times New Roman" w:hAnsi="Times New Roman"/>
        </w:rPr>
        <w:t>”</w:t>
      </w:r>
      <w:r>
        <w:rPr>
          <w:rFonts w:hint="eastAsia" w:ascii="Times New Roman" w:hAnsi="Times New Roman"/>
        </w:rPr>
        <w:t>。</w:t>
      </w:r>
    </w:p>
    <w:bookmarkEnd w:id="11"/>
    <w:p>
      <w:pPr>
        <w:pStyle w:val="91"/>
        <w:numPr>
          <w:ilvl w:val="0"/>
          <w:numId w:val="8"/>
        </w:numPr>
        <w:ind w:left="420" w:firstLineChars="0"/>
        <w:rPr>
          <w:rFonts w:ascii="Times New Roman" w:hAnsi="Times New Roman"/>
        </w:rPr>
      </w:pPr>
      <w:r>
        <w:rPr>
          <w:rFonts w:hint="eastAsia" w:ascii="Times New Roman" w:hAnsi="Times New Roman"/>
        </w:rPr>
        <w:t>项目联系人</w:t>
      </w:r>
    </w:p>
    <w:p>
      <w:pPr>
        <w:pStyle w:val="79"/>
        <w:spacing w:before="0" w:after="0" w:line="400" w:lineRule="exact"/>
        <w:ind w:left="0" w:leftChars="0" w:firstLine="420"/>
        <w:rPr>
          <w:sz w:val="21"/>
          <w:szCs w:val="21"/>
        </w:rPr>
      </w:pPr>
      <w:bookmarkStart w:id="13" w:name="项目联系信息"/>
      <w:r>
        <w:rPr>
          <w:rFonts w:hint="eastAsia"/>
          <w:sz w:val="21"/>
          <w:szCs w:val="21"/>
        </w:rPr>
        <w:t>联系人：闫老师，王老师</w:t>
      </w:r>
    </w:p>
    <w:p>
      <w:pPr>
        <w:pStyle w:val="79"/>
        <w:spacing w:before="0" w:after="0" w:line="400" w:lineRule="exact"/>
        <w:ind w:left="0" w:leftChars="0" w:firstLine="420"/>
        <w:rPr>
          <w:sz w:val="21"/>
          <w:szCs w:val="21"/>
        </w:rPr>
      </w:pPr>
      <w:r>
        <w:rPr>
          <w:rFonts w:hint="eastAsia"/>
          <w:sz w:val="21"/>
          <w:szCs w:val="21"/>
        </w:rPr>
        <w:t>联系电话：</w:t>
      </w:r>
      <w:r>
        <w:rPr>
          <w:sz w:val="21"/>
          <w:szCs w:val="21"/>
        </w:rPr>
        <w:t>010-62289113</w:t>
      </w:r>
      <w:r>
        <w:rPr>
          <w:rFonts w:hint="eastAsia"/>
          <w:sz w:val="21"/>
          <w:szCs w:val="21"/>
        </w:rPr>
        <w:t>，</w:t>
      </w:r>
      <w:r>
        <w:rPr>
          <w:sz w:val="21"/>
          <w:szCs w:val="21"/>
        </w:rPr>
        <w:t>010-62288705</w:t>
      </w:r>
    </w:p>
    <w:p>
      <w:pPr>
        <w:pStyle w:val="79"/>
        <w:spacing w:before="0" w:after="0" w:line="400" w:lineRule="exact"/>
        <w:ind w:left="0" w:leftChars="0" w:firstLine="420"/>
        <w:rPr>
          <w:sz w:val="21"/>
          <w:szCs w:val="21"/>
        </w:rPr>
      </w:pPr>
      <w:r>
        <w:rPr>
          <w:rFonts w:hint="eastAsia"/>
          <w:sz w:val="21"/>
          <w:szCs w:val="21"/>
        </w:rPr>
        <w:t>传真电话：</w:t>
      </w:r>
      <w:r>
        <w:rPr>
          <w:sz w:val="21"/>
          <w:szCs w:val="21"/>
        </w:rPr>
        <w:t>010-62288705</w:t>
      </w:r>
      <w:r>
        <w:rPr>
          <w:rFonts w:hint="eastAsia"/>
          <w:sz w:val="21"/>
          <w:szCs w:val="21"/>
        </w:rPr>
        <w:t>（可自动接收传真）</w:t>
      </w:r>
    </w:p>
    <w:p>
      <w:pPr>
        <w:pStyle w:val="79"/>
        <w:spacing w:before="0" w:after="0" w:line="400" w:lineRule="exact"/>
        <w:ind w:left="0" w:leftChars="0" w:firstLine="420"/>
        <w:rPr>
          <w:sz w:val="21"/>
          <w:szCs w:val="21"/>
        </w:rPr>
      </w:pPr>
      <w:r>
        <w:rPr>
          <w:rFonts w:hint="eastAsia"/>
          <w:sz w:val="21"/>
          <w:szCs w:val="21"/>
        </w:rPr>
        <w:t>联系邮箱：</w:t>
      </w:r>
      <w:r>
        <w:fldChar w:fldCharType="begin"/>
      </w:r>
      <w:r>
        <w:instrText xml:space="preserve"> REF 邮箱 \h  \* MERGEFORMAT </w:instrText>
      </w:r>
      <w:r>
        <w:fldChar w:fldCharType="separate"/>
      </w:r>
      <w:r>
        <w:t>cgzx@cufe.edu.cn</w:t>
      </w:r>
      <w:r>
        <w:fldChar w:fldCharType="end"/>
      </w:r>
      <w:r>
        <w:rPr>
          <w:sz w:val="21"/>
          <w:szCs w:val="21"/>
        </w:rPr>
        <w:t xml:space="preserve"> </w:t>
      </w:r>
    </w:p>
    <w:bookmarkEnd w:id="13"/>
    <w:p>
      <w:pPr>
        <w:pStyle w:val="91"/>
        <w:numPr>
          <w:ilvl w:val="0"/>
          <w:numId w:val="8"/>
        </w:numPr>
        <w:ind w:left="420" w:firstLineChars="0"/>
        <w:rPr>
          <w:rFonts w:ascii="Times New Roman" w:hAnsi="Times New Roman"/>
        </w:rPr>
      </w:pPr>
      <w:r>
        <w:rPr>
          <w:rFonts w:hint="eastAsia" w:ascii="Times New Roman" w:hAnsi="Times New Roman"/>
        </w:rPr>
        <w:t>其他</w:t>
      </w:r>
    </w:p>
    <w:p>
      <w:pPr>
        <w:pStyle w:val="79"/>
        <w:spacing w:before="0" w:after="0" w:line="400" w:lineRule="exact"/>
        <w:ind w:left="0" w:leftChars="0" w:firstLine="420"/>
        <w:rPr>
          <w:sz w:val="21"/>
          <w:szCs w:val="21"/>
        </w:rPr>
      </w:pPr>
      <w:r>
        <w:rPr>
          <w:rFonts w:hint="eastAsia"/>
          <w:sz w:val="21"/>
          <w:szCs w:val="21"/>
        </w:rPr>
        <w:t>本项目其余信息均在</w:t>
      </w:r>
      <w:r>
        <w:rPr>
          <w:sz w:val="21"/>
          <w:szCs w:val="21"/>
        </w:rPr>
        <w:t>“</w:t>
      </w:r>
      <w:r>
        <w:rPr>
          <w:rFonts w:hint="eastAsia"/>
          <w:sz w:val="21"/>
          <w:szCs w:val="21"/>
        </w:rPr>
        <w:t>中国政府采购网</w:t>
      </w:r>
      <w:r>
        <w:rPr>
          <w:sz w:val="21"/>
          <w:szCs w:val="21"/>
        </w:rPr>
        <w:t>”</w:t>
      </w:r>
      <w:r>
        <w:rPr>
          <w:rFonts w:hint="eastAsia"/>
          <w:sz w:val="21"/>
          <w:szCs w:val="21"/>
        </w:rPr>
        <w:t>、</w:t>
      </w:r>
      <w:r>
        <w:rPr>
          <w:sz w:val="21"/>
          <w:szCs w:val="21"/>
        </w:rPr>
        <w:t>“</w:t>
      </w:r>
      <w:r>
        <w:rPr>
          <w:rFonts w:hint="eastAsia"/>
          <w:sz w:val="21"/>
          <w:szCs w:val="21"/>
        </w:rPr>
        <w:t>中国教育装备网</w:t>
      </w:r>
      <w:r>
        <w:rPr>
          <w:sz w:val="21"/>
          <w:szCs w:val="21"/>
        </w:rPr>
        <w:t>”</w:t>
      </w:r>
      <w:r>
        <w:rPr>
          <w:rFonts w:hint="eastAsia"/>
          <w:sz w:val="21"/>
          <w:szCs w:val="21"/>
        </w:rPr>
        <w:t>、</w:t>
      </w:r>
      <w:r>
        <w:rPr>
          <w:sz w:val="21"/>
          <w:szCs w:val="21"/>
        </w:rPr>
        <w:t>“</w:t>
      </w:r>
      <w:r>
        <w:rPr>
          <w:rFonts w:hint="eastAsia"/>
          <w:sz w:val="21"/>
          <w:szCs w:val="21"/>
        </w:rPr>
        <w:t>中央财经大学官网</w:t>
      </w:r>
      <w:r>
        <w:rPr>
          <w:sz w:val="21"/>
          <w:szCs w:val="21"/>
        </w:rPr>
        <w:t>”</w:t>
      </w:r>
      <w:r>
        <w:rPr>
          <w:rFonts w:hint="eastAsia"/>
          <w:sz w:val="21"/>
          <w:szCs w:val="21"/>
        </w:rPr>
        <w:t>等媒体发布。</w:t>
      </w:r>
    </w:p>
    <w:p>
      <w:pPr>
        <w:widowControl/>
        <w:adjustRightInd/>
        <w:spacing w:line="240" w:lineRule="auto"/>
        <w:textAlignment w:val="auto"/>
        <w:rPr>
          <w:kern w:val="2"/>
          <w:sz w:val="21"/>
          <w:szCs w:val="21"/>
        </w:rPr>
      </w:pPr>
      <w:r>
        <w:rPr>
          <w:sz w:val="21"/>
          <w:szCs w:val="21"/>
        </w:rPr>
        <w:br w:type="page"/>
      </w:r>
    </w:p>
    <w:p>
      <w:pPr>
        <w:pStyle w:val="43"/>
        <w:adjustRightInd/>
        <w:spacing w:line="415" w:lineRule="auto"/>
        <w:ind w:left="420" w:hanging="420"/>
        <w:jc w:val="center"/>
        <w:textAlignment w:val="auto"/>
        <w:rPr>
          <w:rFonts w:ascii="Times New Roman" w:hAnsi="Times New Roman" w:eastAsia="宋体"/>
          <w:kern w:val="2"/>
        </w:rPr>
      </w:pPr>
      <w:bookmarkStart w:id="14" w:name="_Toc486583472"/>
      <w:bookmarkStart w:id="15" w:name="_Toc477456198"/>
      <w:r>
        <w:rPr>
          <w:rFonts w:hint="eastAsia" w:ascii="Times New Roman" w:hAnsi="Times New Roman" w:eastAsia="宋体"/>
          <w:kern w:val="2"/>
        </w:rPr>
        <w:t>第</w:t>
      </w:r>
      <w:bookmarkStart w:id="16" w:name="二"/>
      <w:r>
        <w:rPr>
          <w:rFonts w:hint="eastAsia" w:ascii="Times New Roman" w:hAnsi="Times New Roman" w:eastAsia="宋体"/>
          <w:kern w:val="2"/>
        </w:rPr>
        <w:t>二</w:t>
      </w:r>
      <w:bookmarkEnd w:id="16"/>
      <w:r>
        <w:rPr>
          <w:rFonts w:hint="eastAsia" w:ascii="Times New Roman" w:hAnsi="Times New Roman" w:eastAsia="宋体"/>
          <w:kern w:val="2"/>
        </w:rPr>
        <w:t>部分</w:t>
      </w:r>
      <w:r>
        <w:rPr>
          <w:rFonts w:ascii="Times New Roman" w:hAnsi="Times New Roman" w:eastAsia="宋体"/>
          <w:kern w:val="2"/>
        </w:rPr>
        <w:t xml:space="preserve">  </w:t>
      </w:r>
      <w:bookmarkStart w:id="17" w:name="响应人须知前附表"/>
      <w:r>
        <w:rPr>
          <w:rFonts w:hint="eastAsia" w:ascii="Times New Roman" w:hAnsi="Times New Roman" w:eastAsia="宋体"/>
          <w:kern w:val="2"/>
        </w:rPr>
        <w:t>响应人须知前附表</w:t>
      </w:r>
      <w:bookmarkEnd w:id="14"/>
      <w:bookmarkEnd w:id="15"/>
      <w:bookmarkEnd w:id="17"/>
    </w:p>
    <w:tbl>
      <w:tblPr>
        <w:tblStyle w:val="42"/>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404"/>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4" w:type="dxa"/>
            <w:vAlign w:val="center"/>
          </w:tcPr>
          <w:p>
            <w:pPr>
              <w:spacing w:line="400" w:lineRule="exact"/>
              <w:jc w:val="center"/>
              <w:rPr>
                <w:sz w:val="21"/>
                <w:szCs w:val="21"/>
              </w:rPr>
            </w:pPr>
            <w:r>
              <w:rPr>
                <w:rFonts w:hint="eastAsia"/>
                <w:sz w:val="21"/>
                <w:szCs w:val="21"/>
              </w:rPr>
              <w:t>序号</w:t>
            </w:r>
          </w:p>
        </w:tc>
        <w:tc>
          <w:tcPr>
            <w:tcW w:w="2404" w:type="dxa"/>
            <w:vAlign w:val="center"/>
          </w:tcPr>
          <w:p>
            <w:pPr>
              <w:spacing w:line="400" w:lineRule="exact"/>
              <w:jc w:val="center"/>
              <w:rPr>
                <w:sz w:val="21"/>
                <w:szCs w:val="21"/>
              </w:rPr>
            </w:pPr>
            <w:r>
              <w:rPr>
                <w:rFonts w:hint="eastAsia"/>
                <w:sz w:val="21"/>
                <w:szCs w:val="21"/>
              </w:rPr>
              <w:t>内容</w:t>
            </w:r>
          </w:p>
        </w:tc>
        <w:tc>
          <w:tcPr>
            <w:tcW w:w="5880" w:type="dxa"/>
            <w:vAlign w:val="center"/>
          </w:tcPr>
          <w:p>
            <w:pPr>
              <w:spacing w:line="400" w:lineRule="exact"/>
              <w:jc w:val="center"/>
              <w:rPr>
                <w:sz w:val="21"/>
                <w:szCs w:val="21"/>
              </w:rPr>
            </w:pPr>
            <w:r>
              <w:rPr>
                <w:rFonts w:hint="eastAsia"/>
                <w:sz w:val="21"/>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704" w:type="dxa"/>
            <w:vAlign w:val="center"/>
          </w:tcPr>
          <w:p>
            <w:pPr>
              <w:pStyle w:val="73"/>
              <w:numPr>
                <w:ilvl w:val="0"/>
                <w:numId w:val="10"/>
              </w:numPr>
              <w:spacing w:line="400" w:lineRule="exact"/>
              <w:ind w:firstLineChars="0"/>
              <w:jc w:val="center"/>
            </w:pPr>
            <w:bookmarkStart w:id="18" w:name="_Ref477961867"/>
          </w:p>
          <w:bookmarkEnd w:id="18"/>
        </w:tc>
        <w:tc>
          <w:tcPr>
            <w:tcW w:w="2404" w:type="dxa"/>
            <w:vAlign w:val="center"/>
          </w:tcPr>
          <w:p>
            <w:pPr>
              <w:pStyle w:val="50"/>
              <w:spacing w:before="0" w:after="0" w:line="400" w:lineRule="exact"/>
              <w:jc w:val="both"/>
              <w:rPr>
                <w:rFonts w:ascii="Times New Roman" w:hAnsi="Times New Roman" w:eastAsia="宋体" w:cs="Times New Roman"/>
                <w:b w:val="0"/>
                <w:bCs w:val="0"/>
                <w:sz w:val="21"/>
                <w:szCs w:val="21"/>
              </w:rPr>
            </w:pPr>
            <w:r>
              <w:rPr>
                <w:rFonts w:hint="eastAsia" w:ascii="Times New Roman" w:hAnsi="Times New Roman" w:eastAsia="宋体" w:cs="Times New Roman"/>
                <w:b w:val="0"/>
                <w:bCs w:val="0"/>
                <w:sz w:val="21"/>
                <w:szCs w:val="21"/>
              </w:rPr>
              <w:t>采购人名称</w:t>
            </w:r>
          </w:p>
        </w:tc>
        <w:tc>
          <w:tcPr>
            <w:tcW w:w="5880" w:type="dxa"/>
            <w:vAlign w:val="center"/>
          </w:tcPr>
          <w:p>
            <w:pPr>
              <w:spacing w:line="400" w:lineRule="exact"/>
              <w:ind w:firstLine="420" w:firstLineChars="200"/>
              <w:jc w:val="both"/>
              <w:rPr>
                <w:sz w:val="21"/>
                <w:szCs w:val="21"/>
              </w:rPr>
            </w:pPr>
            <w:r>
              <w:rPr>
                <w:rFonts w:hint="eastAsia"/>
                <w:sz w:val="21"/>
                <w:szCs w:val="21"/>
              </w:rPr>
              <w:t>中央财经大学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0" w:hRule="atLeast"/>
        </w:trPr>
        <w:tc>
          <w:tcPr>
            <w:tcW w:w="704" w:type="dxa"/>
            <w:vAlign w:val="center"/>
          </w:tcPr>
          <w:p>
            <w:pPr>
              <w:pStyle w:val="73"/>
              <w:numPr>
                <w:ilvl w:val="0"/>
                <w:numId w:val="10"/>
              </w:numPr>
              <w:spacing w:line="400" w:lineRule="exact"/>
              <w:ind w:firstLineChars="0"/>
              <w:jc w:val="center"/>
            </w:pPr>
            <w:bookmarkStart w:id="19" w:name="_Ref477459456"/>
          </w:p>
          <w:bookmarkEnd w:id="19"/>
        </w:tc>
        <w:tc>
          <w:tcPr>
            <w:tcW w:w="2404" w:type="dxa"/>
            <w:vAlign w:val="center"/>
          </w:tcPr>
          <w:p>
            <w:pPr>
              <w:pStyle w:val="50"/>
              <w:spacing w:before="120" w:beforeLines="50" w:after="120" w:afterLines="50" w:line="400" w:lineRule="exact"/>
              <w:jc w:val="both"/>
              <w:rPr>
                <w:rFonts w:ascii="Times New Roman" w:hAnsi="Times New Roman" w:eastAsia="宋体" w:cs="Times New Roman"/>
                <w:b w:val="0"/>
                <w:bCs w:val="0"/>
                <w:sz w:val="21"/>
                <w:szCs w:val="21"/>
              </w:rPr>
            </w:pPr>
            <w:bookmarkStart w:id="20" w:name="响应人（或响应产品）资质要求"/>
            <w:r>
              <w:rPr>
                <w:rFonts w:hint="eastAsia" w:ascii="Times New Roman" w:hAnsi="Times New Roman" w:eastAsia="宋体" w:cs="Times New Roman"/>
                <w:b w:val="0"/>
                <w:bCs w:val="0"/>
                <w:sz w:val="21"/>
                <w:szCs w:val="21"/>
              </w:rPr>
              <w:t>响应人（或响应产品）资质要求</w:t>
            </w:r>
            <w:bookmarkEnd w:id="20"/>
          </w:p>
        </w:tc>
        <w:tc>
          <w:tcPr>
            <w:tcW w:w="5880" w:type="dxa"/>
            <w:vAlign w:val="center"/>
          </w:tcPr>
          <w:p>
            <w:pPr>
              <w:spacing w:line="400" w:lineRule="exact"/>
              <w:rPr>
                <w:rFonts w:ascii="宋体" w:hAnsi="宋体"/>
                <w:color w:val="auto"/>
                <w:sz w:val="21"/>
                <w:szCs w:val="21"/>
              </w:rPr>
            </w:pPr>
            <w:r>
              <w:rPr>
                <w:rFonts w:ascii="宋体" w:hAnsi="宋体"/>
                <w:color w:val="auto"/>
                <w:sz w:val="21"/>
                <w:szCs w:val="21"/>
              </w:rPr>
              <w:t xml:space="preserve">*1. </w:t>
            </w:r>
            <w:r>
              <w:rPr>
                <w:rFonts w:hint="eastAsia" w:ascii="宋体" w:hAnsi="宋体"/>
                <w:color w:val="auto"/>
                <w:sz w:val="21"/>
                <w:szCs w:val="21"/>
              </w:rPr>
              <w:t>投标单位在中国国内注册，营业执照经营范围包含电梯维护保养项目；</w:t>
            </w:r>
          </w:p>
          <w:p>
            <w:pPr>
              <w:spacing w:line="400" w:lineRule="exact"/>
              <w:rPr>
                <w:rFonts w:ascii="宋体" w:hAnsi="宋体"/>
                <w:color w:val="auto"/>
                <w:sz w:val="21"/>
                <w:szCs w:val="21"/>
              </w:rPr>
            </w:pPr>
            <w:r>
              <w:rPr>
                <w:rFonts w:ascii="宋体" w:hAnsi="宋体"/>
                <w:color w:val="auto"/>
                <w:sz w:val="21"/>
                <w:szCs w:val="21"/>
              </w:rPr>
              <w:t xml:space="preserve">*2. </w:t>
            </w:r>
            <w:r>
              <w:rPr>
                <w:rFonts w:hint="eastAsia" w:ascii="宋体" w:hAnsi="宋体"/>
                <w:color w:val="auto"/>
                <w:sz w:val="21"/>
                <w:szCs w:val="21"/>
              </w:rPr>
              <w:t>投标单位具备中华人民共和国特种设备安装维修许可：乘用电梯、载货电梯</w:t>
            </w:r>
            <w:r>
              <w:rPr>
                <w:rFonts w:ascii="宋体" w:hAnsi="宋体"/>
                <w:color w:val="auto"/>
                <w:sz w:val="21"/>
                <w:szCs w:val="21"/>
              </w:rPr>
              <w:t>A级资质；</w:t>
            </w:r>
          </w:p>
          <w:p>
            <w:pPr>
              <w:spacing w:line="400" w:lineRule="exact"/>
              <w:rPr>
                <w:rFonts w:ascii="宋体" w:hAnsi="宋体"/>
                <w:sz w:val="21"/>
                <w:szCs w:val="21"/>
              </w:rPr>
            </w:pPr>
            <w:r>
              <w:rPr>
                <w:rFonts w:ascii="宋体" w:hAnsi="宋体"/>
                <w:sz w:val="21"/>
                <w:szCs w:val="21"/>
              </w:rPr>
              <w:t>*以上</w:t>
            </w:r>
            <w:r>
              <w:rPr>
                <w:rFonts w:hint="eastAsia" w:ascii="宋体" w:hAnsi="宋体"/>
                <w:sz w:val="21"/>
                <w:szCs w:val="21"/>
              </w:rPr>
              <w:t>资质文件要求须在有效期内加盖单位公章</w:t>
            </w:r>
          </w:p>
          <w:p>
            <w:pPr>
              <w:spacing w:line="400" w:lineRule="exact"/>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4" w:type="dxa"/>
            <w:vAlign w:val="center"/>
          </w:tcPr>
          <w:p>
            <w:pPr>
              <w:pStyle w:val="73"/>
              <w:numPr>
                <w:ilvl w:val="0"/>
                <w:numId w:val="10"/>
              </w:numPr>
              <w:spacing w:line="400" w:lineRule="exact"/>
              <w:ind w:firstLineChars="0"/>
              <w:jc w:val="center"/>
            </w:pPr>
          </w:p>
        </w:tc>
        <w:tc>
          <w:tcPr>
            <w:tcW w:w="2404" w:type="dxa"/>
            <w:vAlign w:val="center"/>
          </w:tcPr>
          <w:p>
            <w:pPr>
              <w:spacing w:line="400" w:lineRule="exact"/>
              <w:jc w:val="both"/>
              <w:rPr>
                <w:sz w:val="21"/>
                <w:szCs w:val="21"/>
              </w:rPr>
            </w:pPr>
            <w:bookmarkStart w:id="21" w:name="是否允许代理商响应"/>
            <w:r>
              <w:rPr>
                <w:rFonts w:hint="eastAsia"/>
                <w:sz w:val="21"/>
                <w:szCs w:val="21"/>
              </w:rPr>
              <w:t>是否允许代理商响应</w:t>
            </w:r>
            <w:bookmarkEnd w:id="21"/>
          </w:p>
        </w:tc>
        <w:tc>
          <w:tcPr>
            <w:tcW w:w="5880" w:type="dxa"/>
            <w:vAlign w:val="center"/>
          </w:tcPr>
          <w:p>
            <w:pPr>
              <w:spacing w:line="400" w:lineRule="exact"/>
              <w:ind w:firstLine="420" w:firstLineChars="200"/>
              <w:jc w:val="both"/>
              <w:rPr>
                <w:sz w:val="21"/>
                <w:szCs w:val="21"/>
              </w:rPr>
            </w:pPr>
            <w:bookmarkStart w:id="22" w:name="_Toc477456266"/>
            <w:bookmarkStart w:id="23" w:name="_Toc477456199"/>
            <w:r>
              <w:rPr>
                <w:rFonts w:hint="eastAsia"/>
                <w:sz w:val="21"/>
                <w:szCs w:val="21"/>
              </w:rPr>
              <w:t>否</w:t>
            </w:r>
            <w:bookmarkEnd w:id="22"/>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0" w:hRule="atLeast"/>
        </w:trPr>
        <w:tc>
          <w:tcPr>
            <w:tcW w:w="704" w:type="dxa"/>
            <w:vAlign w:val="center"/>
          </w:tcPr>
          <w:p>
            <w:pPr>
              <w:pStyle w:val="73"/>
              <w:numPr>
                <w:ilvl w:val="0"/>
                <w:numId w:val="10"/>
              </w:numPr>
              <w:spacing w:line="400" w:lineRule="exact"/>
              <w:ind w:firstLineChars="0"/>
              <w:jc w:val="center"/>
            </w:pPr>
          </w:p>
        </w:tc>
        <w:tc>
          <w:tcPr>
            <w:tcW w:w="2404" w:type="dxa"/>
            <w:vAlign w:val="center"/>
          </w:tcPr>
          <w:p>
            <w:pPr>
              <w:spacing w:line="400" w:lineRule="exact"/>
              <w:jc w:val="both"/>
              <w:rPr>
                <w:sz w:val="21"/>
                <w:szCs w:val="21"/>
              </w:rPr>
            </w:pPr>
            <w:bookmarkStart w:id="24" w:name="代理商应提交的材料"/>
            <w:r>
              <w:rPr>
                <w:rFonts w:hint="eastAsia"/>
                <w:sz w:val="21"/>
                <w:szCs w:val="21"/>
              </w:rPr>
              <w:t>代理商应提交资料</w:t>
            </w:r>
            <w:bookmarkEnd w:id="24"/>
          </w:p>
        </w:tc>
        <w:tc>
          <w:tcPr>
            <w:tcW w:w="5880" w:type="dxa"/>
            <w:vAlign w:val="center"/>
          </w:tcPr>
          <w:p>
            <w:pPr>
              <w:spacing w:line="400" w:lineRule="exact"/>
              <w:ind w:firstLine="420" w:firstLineChars="200"/>
              <w:jc w:val="both"/>
              <w:rPr>
                <w:sz w:val="21"/>
                <w:szCs w:val="21"/>
              </w:rPr>
            </w:pPr>
            <w:r>
              <w:rPr>
                <w:rFonts w:hint="eastAsia"/>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04" w:type="dxa"/>
            <w:vAlign w:val="center"/>
          </w:tcPr>
          <w:p>
            <w:pPr>
              <w:pStyle w:val="73"/>
              <w:numPr>
                <w:ilvl w:val="0"/>
                <w:numId w:val="10"/>
              </w:numPr>
              <w:spacing w:line="400" w:lineRule="exact"/>
              <w:ind w:firstLineChars="0"/>
              <w:jc w:val="center"/>
            </w:pPr>
          </w:p>
        </w:tc>
        <w:tc>
          <w:tcPr>
            <w:tcW w:w="2404" w:type="dxa"/>
            <w:vAlign w:val="center"/>
          </w:tcPr>
          <w:p>
            <w:pPr>
              <w:spacing w:line="400" w:lineRule="exact"/>
              <w:jc w:val="both"/>
              <w:rPr>
                <w:sz w:val="21"/>
                <w:szCs w:val="21"/>
              </w:rPr>
            </w:pPr>
            <w:bookmarkStart w:id="25" w:name="本次采购是否需要提供厂家授权的产品或服务清单"/>
            <w:r>
              <w:rPr>
                <w:rFonts w:hint="eastAsia"/>
                <w:sz w:val="21"/>
                <w:szCs w:val="21"/>
              </w:rPr>
              <w:t>本次采购是否需要提供厂家授权的产品或服务清单</w:t>
            </w:r>
            <w:bookmarkEnd w:id="25"/>
          </w:p>
        </w:tc>
        <w:tc>
          <w:tcPr>
            <w:tcW w:w="5880" w:type="dxa"/>
            <w:vAlign w:val="center"/>
          </w:tcPr>
          <w:p>
            <w:pPr>
              <w:spacing w:line="400" w:lineRule="exact"/>
              <w:ind w:firstLine="420" w:firstLineChars="200"/>
              <w:jc w:val="both"/>
              <w:rPr>
                <w:sz w:val="21"/>
                <w:szCs w:val="21"/>
              </w:rPr>
            </w:pPr>
            <w:r>
              <w:rPr>
                <w:rFonts w:hint="eastAsia"/>
                <w:color w:val="auto"/>
                <w:sz w:val="21"/>
                <w:szCs w:val="21"/>
              </w:rPr>
              <w:t>承诺中标后提供原厂家授权备品备件保证或电梯配件公司与原厂家供货协议。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04" w:type="dxa"/>
            <w:vAlign w:val="center"/>
          </w:tcPr>
          <w:p>
            <w:pPr>
              <w:pStyle w:val="73"/>
              <w:numPr>
                <w:ilvl w:val="0"/>
                <w:numId w:val="10"/>
              </w:numPr>
              <w:spacing w:line="400" w:lineRule="exact"/>
              <w:ind w:firstLineChars="0"/>
              <w:jc w:val="center"/>
            </w:pPr>
          </w:p>
        </w:tc>
        <w:tc>
          <w:tcPr>
            <w:tcW w:w="2404" w:type="dxa"/>
            <w:vAlign w:val="center"/>
          </w:tcPr>
          <w:p>
            <w:pPr>
              <w:spacing w:line="400" w:lineRule="exact"/>
              <w:jc w:val="both"/>
              <w:rPr>
                <w:sz w:val="21"/>
                <w:szCs w:val="21"/>
              </w:rPr>
            </w:pPr>
            <w:bookmarkStart w:id="26" w:name="是否允许联合体响应"/>
            <w:r>
              <w:rPr>
                <w:rFonts w:hint="eastAsia"/>
                <w:sz w:val="21"/>
                <w:szCs w:val="21"/>
              </w:rPr>
              <w:t>是否允许联合体响应</w:t>
            </w:r>
            <w:bookmarkEnd w:id="26"/>
          </w:p>
        </w:tc>
        <w:tc>
          <w:tcPr>
            <w:tcW w:w="5880" w:type="dxa"/>
            <w:vAlign w:val="center"/>
          </w:tcPr>
          <w:p>
            <w:pPr>
              <w:spacing w:line="400" w:lineRule="exact"/>
              <w:ind w:firstLine="420" w:firstLineChars="200"/>
              <w:jc w:val="both"/>
              <w:rPr>
                <w:sz w:val="21"/>
                <w:szCs w:val="21"/>
              </w:rPr>
            </w:pPr>
            <w:r>
              <w:rPr>
                <w:rFonts w:hint="eastAsia"/>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704" w:type="dxa"/>
            <w:vAlign w:val="center"/>
          </w:tcPr>
          <w:p>
            <w:pPr>
              <w:pStyle w:val="73"/>
              <w:numPr>
                <w:ilvl w:val="0"/>
                <w:numId w:val="10"/>
              </w:numPr>
              <w:spacing w:line="400" w:lineRule="exact"/>
              <w:ind w:firstLineChars="0"/>
              <w:jc w:val="center"/>
            </w:pPr>
          </w:p>
        </w:tc>
        <w:tc>
          <w:tcPr>
            <w:tcW w:w="2404" w:type="dxa"/>
            <w:vAlign w:val="center"/>
          </w:tcPr>
          <w:p>
            <w:pPr>
              <w:spacing w:line="400" w:lineRule="exact"/>
              <w:jc w:val="both"/>
              <w:rPr>
                <w:sz w:val="21"/>
                <w:szCs w:val="21"/>
              </w:rPr>
            </w:pPr>
            <w:bookmarkStart w:id="27" w:name="响应人应提交的商务文件"/>
            <w:r>
              <w:rPr>
                <w:rFonts w:hint="eastAsia"/>
                <w:sz w:val="21"/>
                <w:szCs w:val="21"/>
              </w:rPr>
              <w:t>响应人应提交的商务文件</w:t>
            </w:r>
            <w:bookmarkEnd w:id="27"/>
          </w:p>
        </w:tc>
        <w:tc>
          <w:tcPr>
            <w:tcW w:w="5880" w:type="dxa"/>
            <w:vAlign w:val="center"/>
          </w:tcPr>
          <w:p>
            <w:pPr>
              <w:pStyle w:val="91"/>
              <w:numPr>
                <w:ilvl w:val="0"/>
                <w:numId w:val="11"/>
              </w:numPr>
              <w:ind w:firstLineChars="0"/>
              <w:rPr>
                <w:rFonts w:ascii="Times New Roman" w:hAnsi="Times New Roman"/>
              </w:rPr>
            </w:pPr>
            <w:r>
              <w:rPr>
                <w:rFonts w:ascii="Times New Roman" w:hAnsi="Times New Roman"/>
              </w:rPr>
              <w:t xml:space="preserve">* </w:t>
            </w:r>
            <w:r>
              <w:rPr>
                <w:rFonts w:hint="eastAsia" w:ascii="Times New Roman" w:hAnsi="Times New Roman"/>
              </w:rPr>
              <w:t>响应函；</w:t>
            </w:r>
          </w:p>
          <w:p>
            <w:pPr>
              <w:pStyle w:val="91"/>
              <w:numPr>
                <w:ilvl w:val="0"/>
                <w:numId w:val="11"/>
              </w:numPr>
              <w:ind w:firstLineChars="0"/>
              <w:rPr>
                <w:rFonts w:ascii="Times New Roman" w:hAnsi="Times New Roman"/>
              </w:rPr>
            </w:pPr>
            <w:r>
              <w:rPr>
                <w:rFonts w:ascii="Times New Roman" w:hAnsi="Times New Roman"/>
              </w:rPr>
              <w:t xml:space="preserve">* </w:t>
            </w:r>
            <w:r>
              <w:rPr>
                <w:rFonts w:hint="eastAsia" w:ascii="Times New Roman" w:hAnsi="Times New Roman"/>
              </w:rPr>
              <w:t>法定代表人授权委托书；被授权人身份证原件及复印件（复印件须加盖响应人公章）；</w:t>
            </w:r>
          </w:p>
          <w:p>
            <w:pPr>
              <w:pStyle w:val="91"/>
              <w:numPr>
                <w:ilvl w:val="0"/>
                <w:numId w:val="11"/>
              </w:numPr>
              <w:ind w:firstLineChars="0"/>
              <w:rPr>
                <w:rFonts w:ascii="Times New Roman" w:hAnsi="Times New Roman"/>
              </w:rPr>
            </w:pPr>
            <w:r>
              <w:rPr>
                <w:rFonts w:ascii="Times New Roman" w:hAnsi="Times New Roman"/>
              </w:rPr>
              <w:t xml:space="preserve">* </w:t>
            </w:r>
            <w:r>
              <w:rPr>
                <w:rFonts w:hint="eastAsia" w:ascii="Times New Roman" w:hAnsi="Times New Roman"/>
              </w:rPr>
              <w:t>有效的企业法人营业执照或事业单位法人证书、组织机构代码、税务登记证（副本复印件并加盖响应人公章；按规定需要年检的，年检章要清楚）；</w:t>
            </w:r>
          </w:p>
          <w:p>
            <w:pPr>
              <w:pStyle w:val="91"/>
              <w:numPr>
                <w:ilvl w:val="0"/>
                <w:numId w:val="11"/>
              </w:numPr>
              <w:ind w:firstLineChars="0"/>
              <w:rPr>
                <w:rFonts w:cs="黑体"/>
              </w:rPr>
            </w:pPr>
            <w:r>
              <w:rPr>
                <w:rFonts w:ascii="Times New Roman" w:hAnsi="Times New Roman"/>
              </w:rPr>
              <w:t>*</w:t>
            </w:r>
            <w:r>
              <w:rPr>
                <w:rFonts w:cs="黑体"/>
              </w:rPr>
              <w:t xml:space="preserve">* </w:t>
            </w:r>
            <w:r>
              <w:rPr>
                <w:rFonts w:hint="eastAsia" w:cs="黑体"/>
              </w:rPr>
              <w:t>提交参与采购活动前三年内在经营活动中没有重大违法记录的书面声明函；</w:t>
            </w:r>
          </w:p>
          <w:p>
            <w:pPr>
              <w:pStyle w:val="91"/>
              <w:numPr>
                <w:ilvl w:val="0"/>
                <w:numId w:val="11"/>
              </w:numPr>
              <w:ind w:firstLineChars="0"/>
              <w:rPr>
                <w:rFonts w:cs="黑体"/>
              </w:rPr>
            </w:pPr>
            <w:r>
              <w:rPr>
                <w:rFonts w:cs="黑体"/>
              </w:rPr>
              <w:t xml:space="preserve">* </w:t>
            </w:r>
            <w:r>
              <w:rPr>
                <w:rFonts w:hint="eastAsia" w:cs="黑体"/>
              </w:rPr>
              <w:t>近三年度任意一年经会计师事务所审计的财务审计报告（资产负债表、损益表（利润表）和现金流量表，复印件加盖报价人公章，部分其他组织和自然人及开业不满一年的没有经审计的财务报告，可以提供银行出具的资信证明）；</w:t>
            </w:r>
          </w:p>
          <w:p>
            <w:pPr>
              <w:pStyle w:val="91"/>
              <w:numPr>
                <w:ilvl w:val="0"/>
                <w:numId w:val="11"/>
              </w:numPr>
              <w:ind w:firstLineChars="0"/>
              <w:rPr>
                <w:rFonts w:cs="黑体"/>
              </w:rPr>
            </w:pPr>
            <w:r>
              <w:rPr>
                <w:rFonts w:cs="黑体"/>
              </w:rPr>
              <w:t xml:space="preserve">* </w:t>
            </w:r>
            <w:r>
              <w:rPr>
                <w:rFonts w:hint="eastAsia" w:cs="黑体"/>
                <w:szCs w:val="21"/>
              </w:rPr>
              <w:t>磋商</w:t>
            </w:r>
            <w:r>
              <w:rPr>
                <w:rFonts w:cs="黑体"/>
                <w:szCs w:val="21"/>
              </w:rPr>
              <w:t>响应</w:t>
            </w:r>
            <w:r>
              <w:rPr>
                <w:rFonts w:hint="eastAsia" w:cs="黑体"/>
              </w:rPr>
              <w:t>日前半年内不少于</w:t>
            </w:r>
            <w:r>
              <w:rPr>
                <w:rFonts w:hint="eastAsia" w:cs="黑体"/>
                <w:lang w:eastAsia="zh-CN"/>
              </w:rPr>
              <w:t>一</w:t>
            </w:r>
            <w:r>
              <w:rPr>
                <w:rFonts w:hint="eastAsia" w:cs="黑体"/>
              </w:rPr>
              <w:t>个月缴纳税收及</w:t>
            </w:r>
            <w:r>
              <w:rPr>
                <w:rFonts w:hint="eastAsia" w:cs="黑体"/>
                <w:lang w:eastAsia="zh-CN"/>
              </w:rPr>
              <w:t>三个月</w:t>
            </w:r>
            <w:r>
              <w:rPr>
                <w:rFonts w:hint="eastAsia" w:cs="黑体"/>
              </w:rPr>
              <w:t>社会保障资金的证明材料（缴纳凭证复印件或税务部门及社保中心开具的缴纳证明扫描件）；</w:t>
            </w:r>
          </w:p>
          <w:p>
            <w:pPr>
              <w:pStyle w:val="91"/>
              <w:numPr>
                <w:ilvl w:val="0"/>
                <w:numId w:val="11"/>
              </w:numPr>
              <w:ind w:firstLineChars="0"/>
              <w:rPr>
                <w:rFonts w:ascii="Times New Roman" w:hAnsi="Times New Roman"/>
              </w:rPr>
            </w:pPr>
            <w:r>
              <w:rPr>
                <w:rFonts w:ascii="Times New Roman" w:hAnsi="Times New Roman"/>
              </w:rPr>
              <w:t xml:space="preserve">* </w:t>
            </w:r>
            <w:r>
              <w:rPr>
                <w:rFonts w:hint="eastAsia" w:ascii="Times New Roman" w:hAnsi="Times New Roman"/>
              </w:rPr>
              <w:t>按照“</w:t>
            </w:r>
            <w:r>
              <w:rPr>
                <w:rFonts w:cs="黑体"/>
              </w:rPr>
              <w:fldChar w:fldCharType="begin"/>
            </w:r>
            <w:r>
              <w:rPr>
                <w:rFonts w:cs="黑体"/>
              </w:rPr>
              <w:instrText xml:space="preserve"> REF 响应人（或响应产品）资质要求 \h  \* MERGEFORMAT </w:instrText>
            </w:r>
            <w:r>
              <w:rPr>
                <w:rFonts w:cs="黑体"/>
              </w:rPr>
              <w:fldChar w:fldCharType="separate"/>
            </w:r>
            <w:r>
              <w:rPr>
                <w:rFonts w:hint="eastAsia" w:ascii="Times New Roman" w:hAnsi="Times New Roman"/>
              </w:rPr>
              <w:t>响应人（或响应产品）资质要求</w:t>
            </w:r>
            <w:r>
              <w:rPr>
                <w:rFonts w:cs="黑体"/>
              </w:rPr>
              <w:fldChar w:fldCharType="end"/>
            </w:r>
            <w:r>
              <w:rPr>
                <w:rFonts w:hint="eastAsia" w:ascii="Times New Roman" w:hAnsi="Times New Roman"/>
              </w:rPr>
              <w:t>”规定提交的相关证明文件；</w:t>
            </w:r>
          </w:p>
          <w:p>
            <w:pPr>
              <w:pStyle w:val="91"/>
              <w:numPr>
                <w:ilvl w:val="0"/>
                <w:numId w:val="11"/>
              </w:numPr>
              <w:ind w:firstLineChars="0"/>
              <w:rPr>
                <w:rFonts w:ascii="Times New Roman" w:hAnsi="Times New Roman"/>
              </w:rPr>
            </w:pPr>
            <w:r>
              <w:rPr>
                <w:rFonts w:ascii="Times New Roman" w:hAnsi="Times New Roman"/>
              </w:rPr>
              <w:t xml:space="preserve">* </w:t>
            </w:r>
            <w:r>
              <w:rPr>
                <w:rFonts w:hint="eastAsia" w:ascii="Times New Roman" w:hAnsi="Times New Roman"/>
              </w:rPr>
              <w:t>按照</w:t>
            </w:r>
            <w:r>
              <w:rPr>
                <w:rFonts w:ascii="Times New Roman" w:hAnsi="Times New Roman"/>
              </w:rPr>
              <w:t>“</w:t>
            </w:r>
            <w:r>
              <w:rPr>
                <w:rFonts w:cs="黑体"/>
              </w:rPr>
              <w:fldChar w:fldCharType="begin"/>
            </w:r>
            <w:r>
              <w:rPr>
                <w:rFonts w:cs="黑体"/>
              </w:rPr>
              <w:instrText xml:space="preserve"> REF 代理商应提交的材料 \h  \* MERGEFORMAT </w:instrText>
            </w:r>
            <w:r>
              <w:rPr>
                <w:rFonts w:cs="黑体"/>
              </w:rPr>
              <w:fldChar w:fldCharType="separate"/>
            </w:r>
            <w:r>
              <w:rPr>
                <w:rFonts w:hint="eastAsia" w:ascii="Times New Roman" w:hAnsi="Times New Roman"/>
                <w:szCs w:val="21"/>
              </w:rPr>
              <w:t>代理商应提交资料</w:t>
            </w:r>
            <w:r>
              <w:rPr>
                <w:rFonts w:cs="黑体"/>
              </w:rPr>
              <w:fldChar w:fldCharType="end"/>
            </w:r>
            <w:r>
              <w:rPr>
                <w:rFonts w:ascii="Times New Roman" w:hAnsi="Times New Roman"/>
              </w:rPr>
              <w:t>”</w:t>
            </w:r>
            <w:r>
              <w:rPr>
                <w:rFonts w:hint="eastAsia" w:ascii="Times New Roman" w:hAnsi="Times New Roman"/>
              </w:rPr>
              <w:t>规定提交的相关证明文件；</w:t>
            </w:r>
          </w:p>
          <w:p>
            <w:pPr>
              <w:pStyle w:val="91"/>
              <w:numPr>
                <w:ilvl w:val="0"/>
                <w:numId w:val="11"/>
              </w:numPr>
              <w:ind w:firstLineChars="0"/>
              <w:rPr>
                <w:rFonts w:ascii="Times New Roman" w:hAnsi="Times New Roman"/>
              </w:rPr>
            </w:pPr>
            <w:r>
              <w:rPr>
                <w:rFonts w:ascii="Times New Roman" w:hAnsi="Times New Roman"/>
                <w:kern w:val="0"/>
                <w:szCs w:val="21"/>
              </w:rPr>
              <w:t>*</w:t>
            </w:r>
            <w:r>
              <w:rPr>
                <w:rFonts w:hint="eastAsia" w:ascii="Times New Roman" w:hAnsi="Times New Roman"/>
                <w:kern w:val="0"/>
                <w:szCs w:val="21"/>
              </w:rPr>
              <w:t>投标单位为招标项目提供服务的维保人员必须具备特种设备（电梯类）作业人员资格证书；</w:t>
            </w:r>
          </w:p>
          <w:p>
            <w:pPr>
              <w:pStyle w:val="91"/>
              <w:numPr>
                <w:ilvl w:val="0"/>
                <w:numId w:val="11"/>
              </w:numPr>
              <w:ind w:firstLineChars="0"/>
              <w:rPr>
                <w:rFonts w:ascii="Times New Roman" w:hAnsi="Times New Roman"/>
              </w:rPr>
            </w:pPr>
            <w:r>
              <w:rPr>
                <w:rFonts w:cs="黑体"/>
              </w:rPr>
              <w:t xml:space="preserve">* </w:t>
            </w:r>
            <w:r>
              <w:rPr>
                <w:rFonts w:hint="eastAsia" w:cs="黑体"/>
              </w:rPr>
              <w:t>根据财政部《关于在政府采购活动中查询及使用信用记录有关问题的通知》（财库（</w:t>
            </w:r>
            <w:r>
              <w:rPr>
                <w:rFonts w:cs="黑体"/>
              </w:rPr>
              <w:t>2016）125号）文件要求，响应人在开标前应通过“信用中国”网站（www.creditchina.gov.cn）、中国政府采购网（www.ccgp.gov.cn）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p>
          <w:p>
            <w:pPr>
              <w:pStyle w:val="91"/>
              <w:numPr>
                <w:ilvl w:val="0"/>
                <w:numId w:val="11"/>
              </w:numPr>
              <w:ind w:firstLineChars="0"/>
              <w:rPr>
                <w:rFonts w:ascii="Times New Roman" w:hAnsi="Times New Roman"/>
              </w:rPr>
            </w:pPr>
            <w:r>
              <w:rPr>
                <w:rFonts w:hint="eastAsia" w:ascii="Times New Roman" w:hAnsi="Times New Roman"/>
              </w:rPr>
              <w:t>商务条款偏离表；</w:t>
            </w:r>
          </w:p>
          <w:p>
            <w:pPr>
              <w:pStyle w:val="91"/>
              <w:numPr>
                <w:ilvl w:val="0"/>
                <w:numId w:val="11"/>
              </w:numPr>
              <w:ind w:firstLineChars="0"/>
              <w:rPr>
                <w:rFonts w:ascii="Times New Roman" w:hAnsi="Times New Roman"/>
                <w:kern w:val="0"/>
                <w:szCs w:val="21"/>
              </w:rPr>
            </w:pPr>
            <w:r>
              <w:rPr>
                <w:rFonts w:hint="eastAsia" w:ascii="Times New Roman" w:hAnsi="Times New Roman"/>
              </w:rPr>
              <w:t>响应人认为需要提供的其他商务资料。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pStyle w:val="73"/>
              <w:numPr>
                <w:ilvl w:val="0"/>
                <w:numId w:val="10"/>
              </w:numPr>
              <w:spacing w:line="400" w:lineRule="exact"/>
              <w:ind w:firstLineChars="0"/>
              <w:jc w:val="center"/>
            </w:pPr>
          </w:p>
        </w:tc>
        <w:tc>
          <w:tcPr>
            <w:tcW w:w="2404" w:type="dxa"/>
            <w:vAlign w:val="center"/>
          </w:tcPr>
          <w:p>
            <w:pPr>
              <w:spacing w:line="400" w:lineRule="exact"/>
              <w:jc w:val="both"/>
              <w:rPr>
                <w:sz w:val="21"/>
                <w:szCs w:val="21"/>
              </w:rPr>
            </w:pPr>
            <w:bookmarkStart w:id="28" w:name="响应人应提交的技术文件"/>
            <w:r>
              <w:rPr>
                <w:rFonts w:hint="eastAsia"/>
                <w:sz w:val="21"/>
                <w:szCs w:val="21"/>
              </w:rPr>
              <w:t>响应人应提交的技术文件</w:t>
            </w:r>
            <w:bookmarkEnd w:id="28"/>
          </w:p>
        </w:tc>
        <w:tc>
          <w:tcPr>
            <w:tcW w:w="5880" w:type="dxa"/>
            <w:vAlign w:val="center"/>
          </w:tcPr>
          <w:p>
            <w:pPr>
              <w:pStyle w:val="91"/>
              <w:numPr>
                <w:ilvl w:val="0"/>
                <w:numId w:val="12"/>
              </w:numPr>
              <w:ind w:firstLineChars="0"/>
              <w:rPr>
                <w:rFonts w:ascii="Times New Roman" w:hAnsi="Times New Roman"/>
              </w:rPr>
            </w:pPr>
            <w:r>
              <w:rPr>
                <w:rFonts w:ascii="Times New Roman" w:hAnsi="Times New Roman"/>
              </w:rPr>
              <w:t xml:space="preserve">* </w:t>
            </w:r>
            <w:r>
              <w:rPr>
                <w:rFonts w:hint="eastAsia" w:ascii="Times New Roman" w:hAnsi="Times New Roman"/>
              </w:rPr>
              <w:t>报价一览表；</w:t>
            </w:r>
            <w:r>
              <w:rPr>
                <w:rFonts w:ascii="Times New Roman" w:hAnsi="Times New Roman"/>
              </w:rPr>
              <w:t xml:space="preserve"> </w:t>
            </w:r>
          </w:p>
          <w:p>
            <w:pPr>
              <w:pStyle w:val="91"/>
              <w:numPr>
                <w:ilvl w:val="0"/>
                <w:numId w:val="12"/>
              </w:numPr>
              <w:ind w:firstLineChars="0"/>
              <w:rPr>
                <w:rFonts w:ascii="Times New Roman" w:hAnsi="Times New Roman"/>
              </w:rPr>
            </w:pPr>
            <w:r>
              <w:rPr>
                <w:rFonts w:hint="eastAsia" w:ascii="Times New Roman" w:hAnsi="Times New Roman"/>
              </w:rPr>
              <w:t>针对本项目的服务团队表；</w:t>
            </w:r>
          </w:p>
          <w:p>
            <w:pPr>
              <w:pStyle w:val="91"/>
              <w:numPr>
                <w:ilvl w:val="0"/>
                <w:numId w:val="12"/>
              </w:numPr>
              <w:ind w:firstLineChars="0"/>
              <w:rPr>
                <w:rFonts w:ascii="Times New Roman" w:hAnsi="Times New Roman"/>
              </w:rPr>
            </w:pPr>
            <w:r>
              <w:rPr>
                <w:rFonts w:hint="eastAsia" w:ascii="Times New Roman" w:hAnsi="Times New Roman"/>
              </w:rPr>
              <w:t>针对本项目的服务方案；</w:t>
            </w:r>
          </w:p>
          <w:p>
            <w:pPr>
              <w:pStyle w:val="91"/>
              <w:numPr>
                <w:ilvl w:val="0"/>
                <w:numId w:val="12"/>
              </w:numPr>
              <w:ind w:firstLineChars="0"/>
              <w:rPr>
                <w:rFonts w:ascii="Times New Roman" w:hAnsi="Times New Roman"/>
              </w:rPr>
            </w:pPr>
            <w:r>
              <w:rPr>
                <w:rFonts w:hint="eastAsia" w:ascii="Times New Roman" w:hAnsi="Times New Roman"/>
              </w:rPr>
              <w:t>特殊紧急情况应急预案；</w:t>
            </w:r>
          </w:p>
          <w:p>
            <w:pPr>
              <w:pStyle w:val="91"/>
              <w:numPr>
                <w:ilvl w:val="0"/>
                <w:numId w:val="12"/>
              </w:numPr>
              <w:ind w:firstLineChars="0"/>
              <w:rPr>
                <w:rFonts w:ascii="Times New Roman" w:hAnsi="Times New Roman"/>
              </w:rPr>
            </w:pPr>
            <w:r>
              <w:rPr>
                <w:rFonts w:hint="eastAsia" w:ascii="Times New Roman" w:hAnsi="Times New Roman"/>
              </w:rPr>
              <w:t>业绩证明材料；</w:t>
            </w:r>
          </w:p>
          <w:p>
            <w:pPr>
              <w:pStyle w:val="91"/>
              <w:numPr>
                <w:ilvl w:val="0"/>
                <w:numId w:val="12"/>
              </w:numPr>
              <w:ind w:firstLineChars="0"/>
              <w:rPr>
                <w:rFonts w:ascii="Times New Roman" w:hAnsi="Times New Roman"/>
              </w:rPr>
            </w:pPr>
            <w:r>
              <w:rPr>
                <w:rFonts w:hint="eastAsia" w:ascii="Times New Roman" w:hAnsi="Times New Roman"/>
              </w:rPr>
              <w:t>响应人服务偏离表；</w:t>
            </w:r>
          </w:p>
          <w:p>
            <w:pPr>
              <w:pStyle w:val="91"/>
              <w:numPr>
                <w:ilvl w:val="0"/>
                <w:numId w:val="12"/>
              </w:numPr>
              <w:ind w:firstLineChars="0"/>
              <w:rPr>
                <w:rFonts w:ascii="Times New Roman" w:hAnsi="Times New Roman"/>
                <w:szCs w:val="21"/>
              </w:rPr>
            </w:pPr>
            <w:r>
              <w:rPr>
                <w:rFonts w:hint="eastAsia" w:ascii="Times New Roman" w:hAnsi="Times New Roman"/>
              </w:rPr>
              <w:t>响应人认为需要提供的其它说明和资料。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pStyle w:val="73"/>
              <w:numPr>
                <w:ilvl w:val="0"/>
                <w:numId w:val="10"/>
              </w:numPr>
              <w:spacing w:line="400" w:lineRule="exact"/>
              <w:ind w:firstLineChars="0"/>
              <w:jc w:val="center"/>
            </w:pPr>
          </w:p>
        </w:tc>
        <w:tc>
          <w:tcPr>
            <w:tcW w:w="2404" w:type="dxa"/>
            <w:vAlign w:val="center"/>
          </w:tcPr>
          <w:p>
            <w:pPr>
              <w:spacing w:line="400" w:lineRule="exact"/>
              <w:jc w:val="both"/>
              <w:rPr>
                <w:sz w:val="21"/>
                <w:szCs w:val="21"/>
              </w:rPr>
            </w:pPr>
            <w:bookmarkStart w:id="29" w:name="响应人自行编写的技术文件"/>
            <w:r>
              <w:rPr>
                <w:rFonts w:hint="eastAsia"/>
                <w:sz w:val="21"/>
                <w:szCs w:val="21"/>
              </w:rPr>
              <w:t>响应人自行编写的技术文件</w:t>
            </w:r>
            <w:bookmarkEnd w:id="29"/>
          </w:p>
        </w:tc>
        <w:tc>
          <w:tcPr>
            <w:tcW w:w="5880" w:type="dxa"/>
            <w:vAlign w:val="center"/>
          </w:tcPr>
          <w:p>
            <w:pPr>
              <w:autoSpaceDN w:val="0"/>
              <w:spacing w:line="400" w:lineRule="exact"/>
              <w:ind w:firstLine="420" w:firstLineChars="200"/>
              <w:rPr>
                <w:sz w:val="21"/>
                <w:szCs w:val="21"/>
              </w:rPr>
            </w:pPr>
            <w:r>
              <w:rPr>
                <w:rFonts w:hint="eastAsia"/>
                <w:sz w:val="21"/>
                <w:szCs w:val="21"/>
              </w:rPr>
              <w:t>包括但不限于：</w:t>
            </w:r>
          </w:p>
          <w:p>
            <w:pPr>
              <w:pStyle w:val="91"/>
              <w:numPr>
                <w:ilvl w:val="0"/>
                <w:numId w:val="13"/>
              </w:numPr>
              <w:ind w:firstLineChars="0"/>
              <w:rPr>
                <w:rFonts w:ascii="Times New Roman" w:hAnsi="Times New Roman"/>
              </w:rPr>
            </w:pPr>
            <w:r>
              <w:rPr>
                <w:rFonts w:hint="eastAsia" w:ascii="Times New Roman" w:hAnsi="Times New Roman"/>
              </w:rPr>
              <w:t>服务项目点对点对应情况等；</w:t>
            </w:r>
          </w:p>
          <w:p>
            <w:pPr>
              <w:pStyle w:val="91"/>
              <w:numPr>
                <w:ilvl w:val="0"/>
                <w:numId w:val="13"/>
              </w:numPr>
              <w:ind w:firstLineChars="0"/>
              <w:rPr>
                <w:rFonts w:ascii="Times New Roman" w:hAnsi="Times New Roman"/>
              </w:rPr>
            </w:pPr>
            <w:r>
              <w:rPr>
                <w:rFonts w:hint="eastAsia" w:ascii="Times New Roman" w:hAnsi="Times New Roman"/>
              </w:rPr>
              <w:t>响应人所提供的服务；</w:t>
            </w:r>
          </w:p>
          <w:p>
            <w:pPr>
              <w:pStyle w:val="91"/>
              <w:numPr>
                <w:ilvl w:val="0"/>
                <w:numId w:val="13"/>
              </w:numPr>
              <w:ind w:firstLineChars="0"/>
              <w:rPr>
                <w:rFonts w:ascii="Times New Roman" w:hAnsi="Times New Roman"/>
              </w:rPr>
            </w:pPr>
            <w:r>
              <w:rPr>
                <w:rFonts w:hint="eastAsia" w:ascii="Times New Roman" w:hAnsi="Times New Roman"/>
              </w:rPr>
              <w:t>项目进度表；</w:t>
            </w:r>
          </w:p>
          <w:p>
            <w:pPr>
              <w:pStyle w:val="91"/>
              <w:numPr>
                <w:ilvl w:val="0"/>
                <w:numId w:val="13"/>
              </w:numPr>
              <w:ind w:firstLineChars="0"/>
              <w:rPr>
                <w:rFonts w:ascii="Times New Roman" w:hAnsi="Times New Roman"/>
              </w:rPr>
            </w:pPr>
            <w:r>
              <w:rPr>
                <w:rFonts w:hint="eastAsia" w:ascii="Times New Roman" w:hAnsi="Times New Roman"/>
              </w:rPr>
              <w:t>实施人员组织规划及参与人员简介；</w:t>
            </w:r>
          </w:p>
          <w:p>
            <w:pPr>
              <w:pStyle w:val="91"/>
              <w:numPr>
                <w:ilvl w:val="0"/>
                <w:numId w:val="13"/>
              </w:numPr>
              <w:ind w:firstLineChars="0"/>
              <w:rPr>
                <w:rFonts w:ascii="Times New Roman" w:hAnsi="Times New Roman"/>
              </w:rPr>
            </w:pPr>
            <w:r>
              <w:rPr>
                <w:rFonts w:hint="eastAsia" w:ascii="Times New Roman" w:hAnsi="Times New Roman"/>
              </w:rPr>
              <w:t>其他需要说明的问题。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4" w:type="dxa"/>
            <w:vAlign w:val="center"/>
          </w:tcPr>
          <w:p>
            <w:pPr>
              <w:pStyle w:val="73"/>
              <w:numPr>
                <w:ilvl w:val="0"/>
                <w:numId w:val="10"/>
              </w:numPr>
              <w:spacing w:line="400" w:lineRule="exact"/>
              <w:ind w:firstLineChars="0"/>
              <w:jc w:val="center"/>
            </w:pPr>
            <w:bookmarkStart w:id="30" w:name="_Ref477449610"/>
          </w:p>
          <w:bookmarkEnd w:id="30"/>
        </w:tc>
        <w:tc>
          <w:tcPr>
            <w:tcW w:w="2404" w:type="dxa"/>
            <w:vAlign w:val="center"/>
          </w:tcPr>
          <w:p>
            <w:pPr>
              <w:spacing w:line="400" w:lineRule="exact"/>
              <w:jc w:val="both"/>
              <w:rPr>
                <w:sz w:val="21"/>
                <w:szCs w:val="21"/>
              </w:rPr>
            </w:pPr>
            <w:r>
              <w:rPr>
                <w:rFonts w:hint="eastAsia"/>
                <w:sz w:val="21"/>
                <w:szCs w:val="21"/>
              </w:rPr>
              <w:t>是否交纳响应保证金额</w:t>
            </w:r>
          </w:p>
        </w:tc>
        <w:tc>
          <w:tcPr>
            <w:tcW w:w="5880" w:type="dxa"/>
            <w:vAlign w:val="center"/>
          </w:tcPr>
          <w:p>
            <w:pPr>
              <w:spacing w:line="400" w:lineRule="exact"/>
              <w:ind w:firstLine="420" w:firstLineChars="200"/>
              <w:jc w:val="both"/>
              <w:rPr>
                <w:sz w:val="21"/>
                <w:szCs w:val="21"/>
              </w:rPr>
            </w:pPr>
            <w:bookmarkStart w:id="31" w:name="_Toc477456267"/>
            <w:bookmarkStart w:id="32" w:name="_Toc477456200"/>
            <w:r>
              <w:rPr>
                <w:rFonts w:hint="eastAsia"/>
                <w:sz w:val="21"/>
                <w:szCs w:val="21"/>
              </w:rPr>
              <w:t>本项目响应保证金4400元整。</w:t>
            </w:r>
            <w:bookmarkEnd w:id="31"/>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4" w:type="dxa"/>
            <w:vAlign w:val="center"/>
          </w:tcPr>
          <w:p>
            <w:pPr>
              <w:pStyle w:val="73"/>
              <w:numPr>
                <w:ilvl w:val="0"/>
                <w:numId w:val="10"/>
              </w:numPr>
              <w:spacing w:line="400" w:lineRule="exact"/>
              <w:ind w:firstLineChars="0"/>
              <w:jc w:val="center"/>
            </w:pPr>
          </w:p>
        </w:tc>
        <w:tc>
          <w:tcPr>
            <w:tcW w:w="2404" w:type="dxa"/>
            <w:vAlign w:val="center"/>
          </w:tcPr>
          <w:p>
            <w:pPr>
              <w:spacing w:line="400" w:lineRule="exact"/>
              <w:jc w:val="both"/>
              <w:rPr>
                <w:sz w:val="21"/>
                <w:szCs w:val="21"/>
              </w:rPr>
            </w:pPr>
            <w:r>
              <w:rPr>
                <w:rFonts w:hint="eastAsia"/>
                <w:sz w:val="21"/>
                <w:szCs w:val="21"/>
              </w:rPr>
              <w:t>是否接受可选择或可调整的响应报价或方案</w:t>
            </w:r>
          </w:p>
        </w:tc>
        <w:tc>
          <w:tcPr>
            <w:tcW w:w="5880" w:type="dxa"/>
            <w:vAlign w:val="center"/>
          </w:tcPr>
          <w:p>
            <w:pPr>
              <w:spacing w:line="400" w:lineRule="exact"/>
              <w:ind w:firstLine="420" w:firstLineChars="200"/>
              <w:jc w:val="both"/>
              <w:rPr>
                <w:sz w:val="21"/>
                <w:szCs w:val="21"/>
              </w:rPr>
            </w:pPr>
            <w:bookmarkStart w:id="33" w:name="_Toc477456201"/>
            <w:bookmarkStart w:id="34" w:name="_Toc477456268"/>
            <w:r>
              <w:rPr>
                <w:rFonts w:hint="eastAsia"/>
                <w:sz w:val="21"/>
                <w:szCs w:val="21"/>
              </w:rPr>
              <w:t>否</w:t>
            </w:r>
            <w:bookmarkEnd w:id="33"/>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704" w:type="dxa"/>
            <w:vAlign w:val="center"/>
          </w:tcPr>
          <w:p>
            <w:pPr>
              <w:pStyle w:val="73"/>
              <w:numPr>
                <w:ilvl w:val="0"/>
                <w:numId w:val="10"/>
              </w:numPr>
              <w:spacing w:line="400" w:lineRule="exact"/>
              <w:ind w:firstLineChars="0"/>
              <w:jc w:val="center"/>
            </w:pPr>
            <w:bookmarkStart w:id="35" w:name="_Ref477449806"/>
          </w:p>
          <w:bookmarkEnd w:id="35"/>
        </w:tc>
        <w:tc>
          <w:tcPr>
            <w:tcW w:w="2404" w:type="dxa"/>
            <w:vAlign w:val="center"/>
          </w:tcPr>
          <w:p>
            <w:pPr>
              <w:spacing w:line="400" w:lineRule="exact"/>
              <w:jc w:val="both"/>
              <w:rPr>
                <w:sz w:val="21"/>
                <w:szCs w:val="21"/>
              </w:rPr>
            </w:pPr>
            <w:bookmarkStart w:id="36" w:name="_Toc477456269"/>
            <w:r>
              <w:rPr>
                <w:rFonts w:hint="eastAsia"/>
                <w:sz w:val="21"/>
                <w:szCs w:val="21"/>
              </w:rPr>
              <w:t>是否允许响应人将项目非主体、非关键性工作交由他人完成</w:t>
            </w:r>
            <w:bookmarkEnd w:id="36"/>
          </w:p>
        </w:tc>
        <w:tc>
          <w:tcPr>
            <w:tcW w:w="5880" w:type="dxa"/>
            <w:vAlign w:val="center"/>
          </w:tcPr>
          <w:p>
            <w:pPr>
              <w:spacing w:line="400" w:lineRule="exact"/>
              <w:ind w:firstLine="420" w:firstLineChars="200"/>
              <w:jc w:val="both"/>
              <w:rPr>
                <w:sz w:val="21"/>
                <w:szCs w:val="21"/>
              </w:rPr>
            </w:pPr>
            <w:bookmarkStart w:id="37" w:name="_Toc477456270"/>
            <w:bookmarkStart w:id="38" w:name="_Toc477456202"/>
            <w:r>
              <w:rPr>
                <w:rFonts w:hint="eastAsia"/>
                <w:sz w:val="21"/>
                <w:szCs w:val="21"/>
              </w:rPr>
              <w:t>否</w:t>
            </w:r>
            <w:bookmarkEnd w:id="37"/>
            <w:bookmarkEnd w:id="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704" w:type="dxa"/>
            <w:vAlign w:val="center"/>
          </w:tcPr>
          <w:p>
            <w:pPr>
              <w:pStyle w:val="73"/>
              <w:numPr>
                <w:ilvl w:val="0"/>
                <w:numId w:val="10"/>
              </w:numPr>
              <w:spacing w:line="400" w:lineRule="exact"/>
              <w:ind w:firstLineChars="0"/>
              <w:jc w:val="center"/>
            </w:pPr>
          </w:p>
        </w:tc>
        <w:tc>
          <w:tcPr>
            <w:tcW w:w="2404" w:type="dxa"/>
            <w:vAlign w:val="center"/>
          </w:tcPr>
          <w:p>
            <w:pPr>
              <w:spacing w:line="400" w:lineRule="exact"/>
              <w:jc w:val="both"/>
              <w:rPr>
                <w:sz w:val="21"/>
                <w:szCs w:val="21"/>
              </w:rPr>
            </w:pPr>
            <w:bookmarkStart w:id="39" w:name="_Toc477456271"/>
            <w:r>
              <w:rPr>
                <w:rFonts w:hint="eastAsia"/>
                <w:sz w:val="21"/>
                <w:szCs w:val="21"/>
              </w:rPr>
              <w:t>现场踏勘</w:t>
            </w:r>
            <w:bookmarkEnd w:id="39"/>
          </w:p>
        </w:tc>
        <w:tc>
          <w:tcPr>
            <w:tcW w:w="5880" w:type="dxa"/>
            <w:vAlign w:val="center"/>
          </w:tcPr>
          <w:p>
            <w:pPr>
              <w:spacing w:line="400" w:lineRule="exact"/>
              <w:ind w:firstLine="420" w:firstLineChars="200"/>
              <w:jc w:val="both"/>
              <w:rPr>
                <w:sz w:val="21"/>
                <w:szCs w:val="21"/>
              </w:rPr>
            </w:pPr>
            <w:r>
              <w:rPr>
                <w:sz w:val="21"/>
                <w:szCs w:val="21"/>
              </w:rPr>
              <w:t>* 踏勘集中地点：</w:t>
            </w:r>
            <w:r>
              <w:rPr>
                <w:rFonts w:hint="eastAsia"/>
                <w:sz w:val="21"/>
                <w:szCs w:val="21"/>
              </w:rPr>
              <w:t>北京市昌平区沙河高教园区中央财经大学沙河东校区</w:t>
            </w:r>
          </w:p>
          <w:p>
            <w:pPr>
              <w:spacing w:line="400" w:lineRule="exact"/>
              <w:ind w:firstLine="420" w:firstLineChars="200"/>
              <w:jc w:val="both"/>
              <w:rPr>
                <w:sz w:val="21"/>
                <w:szCs w:val="21"/>
              </w:rPr>
            </w:pPr>
            <w:r>
              <w:rPr>
                <w:rFonts w:hint="eastAsia"/>
                <w:sz w:val="21"/>
                <w:szCs w:val="21"/>
              </w:rPr>
              <w:t>踏勘时间为：</w:t>
            </w:r>
            <w:r>
              <w:rPr>
                <w:sz w:val="21"/>
                <w:szCs w:val="21"/>
              </w:rPr>
              <w:t>2017</w:t>
            </w:r>
            <w:r>
              <w:rPr>
                <w:rFonts w:hint="eastAsia"/>
                <w:sz w:val="21"/>
                <w:szCs w:val="21"/>
              </w:rPr>
              <w:t>年9月20日上午</w:t>
            </w:r>
            <w:r>
              <w:rPr>
                <w:sz w:val="21"/>
                <w:szCs w:val="21"/>
              </w:rPr>
              <w:t>10:00</w:t>
            </w:r>
          </w:p>
          <w:p>
            <w:pPr>
              <w:rPr>
                <w:szCs w:val="21"/>
              </w:rPr>
            </w:pPr>
            <w:r>
              <w:rPr>
                <w:sz w:val="21"/>
                <w:szCs w:val="21"/>
              </w:rPr>
              <w:t>踏勘联系人：</w:t>
            </w:r>
            <w:r>
              <w:rPr>
                <w:rFonts w:hint="eastAsia"/>
                <w:sz w:val="21"/>
                <w:szCs w:val="21"/>
              </w:rPr>
              <w:t>赵老师</w:t>
            </w:r>
            <w:r>
              <w:rPr>
                <w:sz w:val="21"/>
                <w:szCs w:val="21"/>
              </w:rPr>
              <w:t xml:space="preserve"> 联系方式：010-61776931</w:t>
            </w:r>
            <w:r>
              <w:rPr>
                <w:rFonts w:hint="eastAsia"/>
                <w:sz w:val="21"/>
                <w:szCs w:val="21"/>
              </w:rPr>
              <w:t>，现场</w:t>
            </w:r>
            <w:r>
              <w:rPr>
                <w:sz w:val="21"/>
                <w:szCs w:val="21"/>
              </w:rPr>
              <w:t>踏勘为参加磋商的必要</w:t>
            </w:r>
            <w:r>
              <w:rPr>
                <w:rFonts w:hint="eastAsia"/>
                <w:sz w:val="21"/>
                <w:szCs w:val="21"/>
              </w:rPr>
              <w:t>条件</w:t>
            </w:r>
            <w:r>
              <w:rPr>
                <w:sz w:val="21"/>
                <w:szCs w:val="21"/>
              </w:rPr>
              <w:t>。响应</w:t>
            </w:r>
            <w:r>
              <w:rPr>
                <w:rFonts w:hint="eastAsia"/>
                <w:sz w:val="21"/>
                <w:szCs w:val="21"/>
              </w:rPr>
              <w:t>人</w:t>
            </w:r>
            <w:r>
              <w:rPr>
                <w:sz w:val="21"/>
                <w:szCs w:val="21"/>
              </w:rPr>
              <w:t>自行前往现场</w:t>
            </w:r>
            <w:r>
              <w:rPr>
                <w:rFonts w:hint="eastAsia"/>
                <w:sz w:val="21"/>
                <w:szCs w:val="21"/>
              </w:rPr>
              <w:t>。</w:t>
            </w:r>
            <w:r>
              <w:rPr>
                <w:sz w:val="21"/>
                <w:szCs w:val="21"/>
              </w:rPr>
              <w:t>不参与现场踏勘的供应商其响应文件将被拒绝</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704" w:type="dxa"/>
            <w:vAlign w:val="center"/>
          </w:tcPr>
          <w:p>
            <w:pPr>
              <w:pStyle w:val="73"/>
              <w:numPr>
                <w:ilvl w:val="0"/>
                <w:numId w:val="10"/>
              </w:numPr>
              <w:spacing w:line="400" w:lineRule="exact"/>
              <w:ind w:firstLineChars="0"/>
              <w:jc w:val="center"/>
            </w:pPr>
            <w:bookmarkStart w:id="40" w:name="_Ref477450077"/>
          </w:p>
          <w:bookmarkEnd w:id="40"/>
        </w:tc>
        <w:tc>
          <w:tcPr>
            <w:tcW w:w="2404" w:type="dxa"/>
            <w:vAlign w:val="center"/>
          </w:tcPr>
          <w:p>
            <w:pPr>
              <w:spacing w:line="400" w:lineRule="exact"/>
              <w:jc w:val="both"/>
              <w:rPr>
                <w:sz w:val="21"/>
                <w:szCs w:val="21"/>
              </w:rPr>
            </w:pPr>
            <w:bookmarkStart w:id="41" w:name="_Toc477456273"/>
            <w:r>
              <w:rPr>
                <w:rFonts w:hint="eastAsia"/>
                <w:sz w:val="21"/>
                <w:szCs w:val="21"/>
              </w:rPr>
              <w:t>现场演示</w:t>
            </w:r>
            <w:bookmarkEnd w:id="41"/>
          </w:p>
        </w:tc>
        <w:tc>
          <w:tcPr>
            <w:tcW w:w="5880" w:type="dxa"/>
            <w:vAlign w:val="center"/>
          </w:tcPr>
          <w:p>
            <w:pPr>
              <w:spacing w:line="400" w:lineRule="exact"/>
              <w:ind w:firstLine="420" w:firstLineChars="200"/>
              <w:jc w:val="both"/>
              <w:rPr>
                <w:sz w:val="21"/>
                <w:szCs w:val="21"/>
              </w:rPr>
            </w:pPr>
            <w:bookmarkStart w:id="42" w:name="_Toc477456204"/>
            <w:bookmarkStart w:id="43" w:name="_Toc477456274"/>
            <w:r>
              <w:rPr>
                <w:rFonts w:hint="eastAsia"/>
                <w:sz w:val="21"/>
                <w:szCs w:val="21"/>
              </w:rPr>
              <w:t>否</w:t>
            </w:r>
            <w:bookmarkEnd w:id="42"/>
            <w:bookmark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704" w:type="dxa"/>
            <w:vAlign w:val="center"/>
          </w:tcPr>
          <w:p>
            <w:pPr>
              <w:pStyle w:val="73"/>
              <w:numPr>
                <w:ilvl w:val="0"/>
                <w:numId w:val="10"/>
              </w:numPr>
              <w:spacing w:line="400" w:lineRule="exact"/>
              <w:ind w:firstLineChars="0"/>
              <w:jc w:val="center"/>
            </w:pPr>
            <w:bookmarkStart w:id="44" w:name="_Ref477450110"/>
          </w:p>
          <w:bookmarkEnd w:id="44"/>
        </w:tc>
        <w:tc>
          <w:tcPr>
            <w:tcW w:w="2404" w:type="dxa"/>
            <w:vAlign w:val="center"/>
          </w:tcPr>
          <w:p>
            <w:pPr>
              <w:spacing w:line="400" w:lineRule="exact"/>
              <w:jc w:val="both"/>
              <w:rPr>
                <w:sz w:val="21"/>
                <w:szCs w:val="21"/>
              </w:rPr>
            </w:pPr>
            <w:r>
              <w:rPr>
                <w:rFonts w:hint="eastAsia"/>
                <w:sz w:val="21"/>
                <w:szCs w:val="21"/>
              </w:rPr>
              <w:t>响应文件有效期</w:t>
            </w:r>
          </w:p>
        </w:tc>
        <w:tc>
          <w:tcPr>
            <w:tcW w:w="5880" w:type="dxa"/>
            <w:vAlign w:val="center"/>
          </w:tcPr>
          <w:p>
            <w:pPr>
              <w:spacing w:line="400" w:lineRule="exact"/>
              <w:ind w:firstLine="420" w:firstLineChars="200"/>
              <w:jc w:val="both"/>
              <w:rPr>
                <w:sz w:val="21"/>
                <w:szCs w:val="21"/>
              </w:rPr>
            </w:pPr>
            <w:bookmarkStart w:id="45" w:name="_Toc477456205"/>
            <w:bookmarkStart w:id="46" w:name="_Toc477456275"/>
            <w:r>
              <w:rPr>
                <w:sz w:val="21"/>
                <w:szCs w:val="21"/>
              </w:rPr>
              <w:t>90</w:t>
            </w:r>
            <w:r>
              <w:rPr>
                <w:rFonts w:hint="eastAsia"/>
                <w:sz w:val="21"/>
                <w:szCs w:val="21"/>
              </w:rPr>
              <w:t>日历天（从响应截止日起计算）</w:t>
            </w:r>
            <w:bookmarkEnd w:id="45"/>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4" w:type="dxa"/>
            <w:vAlign w:val="center"/>
          </w:tcPr>
          <w:p>
            <w:pPr>
              <w:pStyle w:val="73"/>
              <w:numPr>
                <w:ilvl w:val="0"/>
                <w:numId w:val="10"/>
              </w:numPr>
              <w:spacing w:line="400" w:lineRule="exact"/>
              <w:ind w:firstLineChars="0"/>
              <w:jc w:val="center"/>
            </w:pPr>
            <w:bookmarkStart w:id="47" w:name="_Ref477450181"/>
          </w:p>
          <w:bookmarkEnd w:id="47"/>
        </w:tc>
        <w:tc>
          <w:tcPr>
            <w:tcW w:w="2404" w:type="dxa"/>
            <w:vAlign w:val="center"/>
          </w:tcPr>
          <w:p>
            <w:pPr>
              <w:spacing w:line="400" w:lineRule="exact"/>
              <w:jc w:val="both"/>
              <w:rPr>
                <w:sz w:val="21"/>
                <w:szCs w:val="21"/>
              </w:rPr>
            </w:pPr>
            <w:r>
              <w:rPr>
                <w:rFonts w:hint="eastAsia"/>
                <w:sz w:val="21"/>
                <w:szCs w:val="21"/>
              </w:rPr>
              <w:t>响应文件份数</w:t>
            </w:r>
          </w:p>
        </w:tc>
        <w:tc>
          <w:tcPr>
            <w:tcW w:w="5880" w:type="dxa"/>
            <w:vAlign w:val="center"/>
          </w:tcPr>
          <w:p>
            <w:pPr>
              <w:spacing w:line="400" w:lineRule="exact"/>
              <w:ind w:firstLine="420" w:firstLineChars="200"/>
              <w:jc w:val="both"/>
              <w:rPr>
                <w:sz w:val="21"/>
                <w:szCs w:val="21"/>
              </w:rPr>
            </w:pPr>
            <w:bookmarkStart w:id="48" w:name="_Toc477456206"/>
            <w:bookmarkStart w:id="49" w:name="_Toc477456276"/>
            <w:r>
              <w:rPr>
                <w:rFonts w:hint="eastAsia"/>
                <w:sz w:val="21"/>
                <w:szCs w:val="21"/>
              </w:rPr>
              <w:t>响应文件一式</w:t>
            </w:r>
            <w:r>
              <w:rPr>
                <w:sz w:val="21"/>
                <w:szCs w:val="21"/>
              </w:rPr>
              <w:t>5</w:t>
            </w:r>
            <w:r>
              <w:rPr>
                <w:rFonts w:hint="eastAsia"/>
                <w:sz w:val="21"/>
                <w:szCs w:val="21"/>
              </w:rPr>
              <w:t>份，其中正本</w:t>
            </w:r>
            <w:r>
              <w:rPr>
                <w:sz w:val="21"/>
                <w:szCs w:val="21"/>
              </w:rPr>
              <w:t>1</w:t>
            </w:r>
            <w:r>
              <w:rPr>
                <w:rFonts w:hint="eastAsia"/>
                <w:sz w:val="21"/>
                <w:szCs w:val="21"/>
              </w:rPr>
              <w:t>份，副本</w:t>
            </w:r>
            <w:r>
              <w:rPr>
                <w:sz w:val="21"/>
                <w:szCs w:val="21"/>
              </w:rPr>
              <w:t>4</w:t>
            </w:r>
            <w:r>
              <w:rPr>
                <w:rFonts w:hint="eastAsia"/>
                <w:sz w:val="21"/>
                <w:szCs w:val="21"/>
              </w:rPr>
              <w:t>份；报价一览表正本</w:t>
            </w:r>
            <w:r>
              <w:rPr>
                <w:sz w:val="21"/>
                <w:szCs w:val="21"/>
              </w:rPr>
              <w:t>1</w:t>
            </w:r>
            <w:r>
              <w:rPr>
                <w:rFonts w:hint="eastAsia"/>
                <w:sz w:val="21"/>
                <w:szCs w:val="21"/>
              </w:rPr>
              <w:t>份（单独密封）；法定代表人授权委托书正本</w:t>
            </w:r>
            <w:r>
              <w:rPr>
                <w:sz w:val="21"/>
                <w:szCs w:val="21"/>
              </w:rPr>
              <w:t>1</w:t>
            </w:r>
            <w:r>
              <w:rPr>
                <w:rFonts w:hint="eastAsia"/>
                <w:sz w:val="21"/>
                <w:szCs w:val="21"/>
              </w:rPr>
              <w:t>份（单独密封），电子文档</w:t>
            </w:r>
            <w:r>
              <w:rPr>
                <w:sz w:val="21"/>
                <w:szCs w:val="21"/>
              </w:rPr>
              <w:t>1</w:t>
            </w:r>
            <w:r>
              <w:rPr>
                <w:rFonts w:hint="eastAsia"/>
                <w:sz w:val="21"/>
                <w:szCs w:val="21"/>
              </w:rPr>
              <w:t>份。</w:t>
            </w:r>
            <w:bookmarkEnd w:id="48"/>
            <w:bookmarkEnd w:id="4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704" w:type="dxa"/>
            <w:vAlign w:val="center"/>
          </w:tcPr>
          <w:p>
            <w:pPr>
              <w:pStyle w:val="73"/>
              <w:numPr>
                <w:ilvl w:val="0"/>
                <w:numId w:val="10"/>
              </w:numPr>
              <w:spacing w:line="400" w:lineRule="exact"/>
              <w:ind w:firstLineChars="0"/>
              <w:jc w:val="center"/>
            </w:pPr>
          </w:p>
        </w:tc>
        <w:tc>
          <w:tcPr>
            <w:tcW w:w="2404" w:type="dxa"/>
            <w:vAlign w:val="center"/>
          </w:tcPr>
          <w:p>
            <w:pPr>
              <w:spacing w:line="400" w:lineRule="exact"/>
              <w:jc w:val="both"/>
              <w:rPr>
                <w:sz w:val="21"/>
                <w:szCs w:val="21"/>
              </w:rPr>
            </w:pPr>
            <w:r>
              <w:rPr>
                <w:rFonts w:hint="eastAsia"/>
                <w:sz w:val="21"/>
                <w:szCs w:val="21"/>
              </w:rPr>
              <w:t>是否接受进口产品响应</w:t>
            </w:r>
          </w:p>
        </w:tc>
        <w:tc>
          <w:tcPr>
            <w:tcW w:w="5880" w:type="dxa"/>
            <w:vAlign w:val="center"/>
          </w:tcPr>
          <w:p>
            <w:pPr>
              <w:spacing w:line="400" w:lineRule="exact"/>
              <w:ind w:firstLine="420" w:firstLineChars="200"/>
              <w:jc w:val="both"/>
              <w:rPr>
                <w:sz w:val="21"/>
                <w:szCs w:val="21"/>
              </w:rPr>
            </w:pPr>
            <w:bookmarkStart w:id="50" w:name="_Toc477456207"/>
            <w:bookmarkStart w:id="51" w:name="_Toc477456277"/>
            <w:r>
              <w:rPr>
                <w:rFonts w:hint="eastAsia"/>
                <w:sz w:val="21"/>
                <w:szCs w:val="21"/>
              </w:rPr>
              <w:t>否</w:t>
            </w:r>
            <w:bookmarkEnd w:id="50"/>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4" w:type="dxa"/>
            <w:vAlign w:val="center"/>
          </w:tcPr>
          <w:p>
            <w:pPr>
              <w:pStyle w:val="73"/>
              <w:numPr>
                <w:ilvl w:val="0"/>
                <w:numId w:val="10"/>
              </w:numPr>
              <w:spacing w:line="400" w:lineRule="exact"/>
              <w:ind w:firstLineChars="0"/>
              <w:jc w:val="center"/>
            </w:pPr>
          </w:p>
        </w:tc>
        <w:tc>
          <w:tcPr>
            <w:tcW w:w="2404" w:type="dxa"/>
            <w:vAlign w:val="center"/>
          </w:tcPr>
          <w:p>
            <w:pPr>
              <w:spacing w:line="400" w:lineRule="exact"/>
              <w:jc w:val="both"/>
              <w:rPr>
                <w:sz w:val="21"/>
                <w:szCs w:val="21"/>
              </w:rPr>
            </w:pPr>
            <w:r>
              <w:rPr>
                <w:rFonts w:hint="eastAsia"/>
                <w:sz w:val="21"/>
                <w:szCs w:val="21"/>
              </w:rPr>
              <w:t>节能环保要求</w:t>
            </w:r>
          </w:p>
        </w:tc>
        <w:tc>
          <w:tcPr>
            <w:tcW w:w="5880" w:type="dxa"/>
            <w:vAlign w:val="center"/>
          </w:tcPr>
          <w:p>
            <w:pPr>
              <w:spacing w:line="400" w:lineRule="exact"/>
              <w:ind w:firstLine="420" w:firstLineChars="200"/>
              <w:jc w:val="both"/>
              <w:rPr>
                <w:sz w:val="21"/>
                <w:szCs w:val="21"/>
              </w:rPr>
            </w:pPr>
            <w:bookmarkStart w:id="52" w:name="_Toc477456278"/>
            <w:bookmarkStart w:id="53" w:name="_Toc477456208"/>
            <w:r>
              <w:rPr>
                <w:rFonts w:hint="eastAsia"/>
                <w:sz w:val="21"/>
                <w:szCs w:val="21"/>
              </w:rPr>
              <w:t>按国家有关节能环保政策执行</w:t>
            </w:r>
            <w:bookmarkEnd w:id="52"/>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4" w:type="dxa"/>
            <w:vAlign w:val="center"/>
          </w:tcPr>
          <w:p>
            <w:pPr>
              <w:pStyle w:val="73"/>
              <w:numPr>
                <w:ilvl w:val="0"/>
                <w:numId w:val="10"/>
              </w:numPr>
              <w:spacing w:line="400" w:lineRule="exact"/>
              <w:ind w:firstLineChars="0"/>
              <w:jc w:val="center"/>
            </w:pPr>
          </w:p>
        </w:tc>
        <w:tc>
          <w:tcPr>
            <w:tcW w:w="2404" w:type="dxa"/>
            <w:vAlign w:val="center"/>
          </w:tcPr>
          <w:p>
            <w:pPr>
              <w:autoSpaceDN w:val="0"/>
              <w:spacing w:line="400" w:lineRule="exact"/>
              <w:rPr>
                <w:sz w:val="21"/>
                <w:szCs w:val="21"/>
              </w:rPr>
            </w:pPr>
            <w:r>
              <w:rPr>
                <w:rFonts w:hint="eastAsia"/>
                <w:sz w:val="21"/>
                <w:szCs w:val="21"/>
              </w:rPr>
              <w:t>其他事项</w:t>
            </w:r>
          </w:p>
        </w:tc>
        <w:tc>
          <w:tcPr>
            <w:tcW w:w="5880" w:type="dxa"/>
            <w:vAlign w:val="center"/>
          </w:tcPr>
          <w:p>
            <w:pPr>
              <w:pStyle w:val="91"/>
              <w:numPr>
                <w:ilvl w:val="0"/>
                <w:numId w:val="14"/>
              </w:numPr>
              <w:ind w:firstLineChars="0"/>
              <w:rPr>
                <w:rFonts w:ascii="Times New Roman" w:hAnsi="Times New Roman"/>
              </w:rPr>
            </w:pPr>
            <w:r>
              <w:rPr>
                <w:rFonts w:hint="eastAsia" w:ascii="Times New Roman" w:hAnsi="Times New Roman"/>
              </w:rPr>
              <w:t>本项目预算人民币</w:t>
            </w:r>
            <w:r>
              <w:rPr>
                <w:rFonts w:cs="黑体"/>
                <w:b/>
                <w:bCs/>
                <w:color w:val="auto"/>
              </w:rPr>
              <w:fldChar w:fldCharType="begin"/>
            </w:r>
            <w:r>
              <w:rPr>
                <w:rFonts w:cs="黑体"/>
                <w:b/>
                <w:bCs/>
                <w:color w:val="auto"/>
              </w:rPr>
              <w:instrText xml:space="preserve"> REF 预算 \h  \* MERGEFORMAT </w:instrText>
            </w:r>
            <w:r>
              <w:rPr>
                <w:rFonts w:cs="黑体"/>
                <w:b/>
                <w:bCs/>
                <w:color w:val="auto"/>
              </w:rPr>
              <w:fldChar w:fldCharType="separate"/>
            </w:r>
            <w:r>
              <w:rPr>
                <w:rFonts w:hint="eastAsia" w:ascii="Times New Roman" w:hAnsi="Times New Roman"/>
                <w:b/>
                <w:bCs/>
                <w:color w:val="auto"/>
              </w:rPr>
              <w:t>22</w:t>
            </w:r>
            <w:r>
              <w:rPr>
                <w:rFonts w:hint="eastAsia" w:ascii="Times New Roman" w:hAnsi="Times New Roman"/>
                <w:b/>
                <w:bCs/>
                <w:color w:val="auto"/>
                <w:lang w:eastAsia="zh-CN"/>
              </w:rPr>
              <w:t>万</w:t>
            </w:r>
            <w:r>
              <w:rPr>
                <w:rFonts w:hint="eastAsia" w:ascii="Times New Roman" w:hAnsi="Times New Roman"/>
                <w:b/>
                <w:bCs/>
                <w:color w:val="auto"/>
              </w:rPr>
              <w:t>元</w:t>
            </w:r>
            <w:r>
              <w:rPr>
                <w:rFonts w:cs="黑体"/>
                <w:b/>
                <w:bCs/>
                <w:color w:val="auto"/>
              </w:rPr>
              <w:fldChar w:fldCharType="end"/>
            </w:r>
            <w:r>
              <w:rPr>
                <w:rFonts w:hint="eastAsia" w:ascii="Times New Roman" w:hAnsi="Times New Roman"/>
              </w:rPr>
              <w:t>，超过此预算的响应文件将被拒绝；</w:t>
            </w:r>
          </w:p>
          <w:p>
            <w:pPr>
              <w:pStyle w:val="91"/>
              <w:numPr>
                <w:ilvl w:val="0"/>
                <w:numId w:val="14"/>
              </w:numPr>
              <w:ind w:firstLineChars="0"/>
              <w:rPr>
                <w:rFonts w:ascii="Times New Roman" w:hAnsi="Times New Roman"/>
              </w:rPr>
            </w:pPr>
            <w:r>
              <w:rPr>
                <w:rFonts w:hint="eastAsia" w:ascii="Times New Roman" w:hAnsi="Times New Roman"/>
              </w:rPr>
              <w:t>响应人代表递交响应文件时，须出示法定代表人授权委托书原件或复印件（响应人代表不是法定代表人）、响应人代表身份证复印件。《法定代表人授权委托书》和身份证复印件存入磋商文件档案。未按规定出示《法定代表人授权委托书》、身份证原件（或复印件）的响应人的响应文件将被拒绝。（规定时间内允许补正）；</w:t>
            </w:r>
          </w:p>
          <w:p>
            <w:pPr>
              <w:pStyle w:val="91"/>
              <w:numPr>
                <w:ilvl w:val="0"/>
                <w:numId w:val="14"/>
              </w:numPr>
              <w:ind w:firstLineChars="0"/>
              <w:rPr>
                <w:rFonts w:ascii="Times New Roman" w:hAnsi="Times New Roman"/>
                <w:szCs w:val="21"/>
              </w:rPr>
            </w:pPr>
            <w:r>
              <w:rPr>
                <w:rFonts w:hint="eastAsia" w:ascii="Times New Roman" w:hAnsi="Times New Roman"/>
              </w:rPr>
              <w:t>根据工信部等部委发布的《关于印发中小企业划型标准规定的通知》（工信部联企业〔</w:t>
            </w:r>
            <w:r>
              <w:rPr>
                <w:rFonts w:ascii="Times New Roman" w:hAnsi="Times New Roman"/>
              </w:rPr>
              <w:t>2011</w:t>
            </w:r>
            <w:r>
              <w:rPr>
                <w:rFonts w:hint="eastAsia" w:ascii="Times New Roman" w:hAnsi="Times New Roman"/>
              </w:rPr>
              <w:t>〕</w:t>
            </w:r>
            <w:r>
              <w:rPr>
                <w:rFonts w:ascii="Times New Roman" w:hAnsi="Times New Roman"/>
              </w:rPr>
              <w:t>300</w:t>
            </w:r>
            <w:r>
              <w:rPr>
                <w:rFonts w:hint="eastAsia" w:ascii="Times New Roman" w:hAnsi="Times New Roman"/>
              </w:rPr>
              <w:t>号），符合通知规定条件的中小微型企业（提示：根据具体品目选取相应标准）应提供《中小企业声明函》及相关证明材料，没有按要求提供上述材料的不被认定为中小微型企业。磋商小组根据响应文件认定是否为中小微企业。</w:t>
            </w:r>
          </w:p>
        </w:tc>
      </w:tr>
    </w:tbl>
    <w:p>
      <w:pPr>
        <w:pStyle w:val="91"/>
        <w:rPr>
          <w:rFonts w:ascii="Times New Roman" w:hAnsi="Times New Roman"/>
        </w:rPr>
      </w:pPr>
    </w:p>
    <w:p>
      <w:pPr>
        <w:pStyle w:val="91"/>
        <w:ind w:firstLine="422"/>
        <w:rPr>
          <w:rFonts w:ascii="Times New Roman" w:hAnsi="Times New Roman"/>
          <w:b/>
          <w:sz w:val="24"/>
          <w:szCs w:val="24"/>
        </w:rPr>
      </w:pPr>
      <w:bookmarkStart w:id="54" w:name="_Toc86202581"/>
      <w:r>
        <w:rPr>
          <w:rFonts w:hint="eastAsia"/>
          <w:b/>
          <w:sz w:val="24"/>
          <w:szCs w:val="24"/>
        </w:rPr>
        <w:t>本表中加*项目若有实质性修改或非实质性响应，将导致响应被拒绝且不允许在响应截止后补正。响应供应商应在响应文件密封装袋前仔细核对相关内容，以避免给自己带来不利后果。</w:t>
      </w:r>
    </w:p>
    <w:p>
      <w:pPr>
        <w:pStyle w:val="91"/>
        <w:rPr>
          <w:rFonts w:ascii="Times New Roman" w:hAnsi="Times New Roman"/>
        </w:rPr>
      </w:pPr>
      <w:r>
        <w:rPr>
          <w:rFonts w:hint="eastAsia" w:ascii="Times New Roman" w:hAnsi="Times New Roman"/>
        </w:rPr>
        <w:t>本表内容若与磋商文件其他部分的内容不一致，应当以本表内容为准。</w:t>
      </w:r>
    </w:p>
    <w:p>
      <w:pPr>
        <w:pStyle w:val="43"/>
        <w:adjustRightInd/>
        <w:spacing w:line="415" w:lineRule="auto"/>
        <w:ind w:left="420" w:hanging="420"/>
        <w:jc w:val="center"/>
        <w:textAlignment w:val="auto"/>
        <w:rPr>
          <w:rFonts w:ascii="Times New Roman" w:hAnsi="Times New Roman" w:eastAsia="宋体"/>
          <w:kern w:val="2"/>
        </w:rPr>
      </w:pPr>
      <w:r>
        <w:rPr>
          <w:rFonts w:ascii="Times New Roman" w:hAnsi="Times New Roman"/>
        </w:rPr>
        <w:tab/>
      </w:r>
      <w:r>
        <w:rPr>
          <w:rFonts w:ascii="Times New Roman" w:hAnsi="Times New Roman" w:eastAsia="宋体"/>
          <w:kern w:val="2"/>
        </w:rPr>
        <w:br w:type="page"/>
      </w:r>
      <w:bookmarkStart w:id="55" w:name="_Toc477456209"/>
      <w:bookmarkStart w:id="56" w:name="_Toc486583473"/>
      <w:r>
        <w:rPr>
          <w:rFonts w:hint="eastAsia" w:ascii="Times New Roman" w:hAnsi="Times New Roman" w:eastAsia="宋体"/>
          <w:kern w:val="2"/>
        </w:rPr>
        <w:t>第三部分</w:t>
      </w:r>
      <w:r>
        <w:rPr>
          <w:rFonts w:ascii="Times New Roman" w:hAnsi="Times New Roman" w:eastAsia="宋体"/>
          <w:kern w:val="2"/>
        </w:rPr>
        <w:t xml:space="preserve">  </w:t>
      </w:r>
      <w:bookmarkStart w:id="57" w:name="响应人须知"/>
      <w:r>
        <w:rPr>
          <w:rFonts w:hint="eastAsia" w:ascii="Times New Roman" w:hAnsi="Times New Roman" w:eastAsia="宋体"/>
          <w:kern w:val="2"/>
        </w:rPr>
        <w:t>响应人须知</w:t>
      </w:r>
      <w:bookmarkEnd w:id="55"/>
      <w:bookmarkEnd w:id="56"/>
      <w:bookmarkEnd w:id="57"/>
    </w:p>
    <w:p>
      <w:pPr>
        <w:pStyle w:val="44"/>
        <w:numPr>
          <w:ilvl w:val="0"/>
          <w:numId w:val="15"/>
        </w:numPr>
        <w:adjustRightInd/>
        <w:spacing w:line="415" w:lineRule="auto"/>
        <w:jc w:val="both"/>
        <w:textAlignment w:val="auto"/>
        <w:rPr>
          <w:kern w:val="2"/>
        </w:rPr>
      </w:pPr>
      <w:bookmarkStart w:id="58" w:name="_Toc486583474"/>
      <w:r>
        <w:rPr>
          <w:rFonts w:hint="eastAsia"/>
          <w:kern w:val="2"/>
        </w:rPr>
        <w:t>总</w:t>
      </w:r>
      <w:r>
        <w:rPr>
          <w:kern w:val="2"/>
        </w:rPr>
        <w:t xml:space="preserve">  </w:t>
      </w:r>
      <w:r>
        <w:rPr>
          <w:rFonts w:hint="eastAsia"/>
          <w:kern w:val="2"/>
        </w:rPr>
        <w:t>则</w:t>
      </w:r>
      <w:bookmarkEnd w:id="58"/>
    </w:p>
    <w:p>
      <w:pPr>
        <w:pStyle w:val="91"/>
        <w:rPr>
          <w:rFonts w:ascii="Times New Roman" w:hAnsi="Times New Roman"/>
        </w:rPr>
      </w:pPr>
      <w:r>
        <w:rPr>
          <w:rFonts w:hint="eastAsia" w:ascii="Times New Roman" w:hAnsi="Times New Roman"/>
        </w:rPr>
        <w:t>本磋商文件适用于本文件“</w:t>
      </w:r>
      <w:r>
        <w:rPr>
          <w:rFonts w:ascii="Times New Roman" w:hAnsi="Times New Roman"/>
        </w:rPr>
        <w:fldChar w:fldCharType="begin"/>
      </w:r>
      <w:r>
        <w:rPr>
          <w:rFonts w:ascii="Times New Roman" w:hAnsi="Times New Roman"/>
        </w:rPr>
        <w:instrText xml:space="preserve"> REF _Ref477961348 \h  \* MERGEFORMAT </w:instrText>
      </w:r>
      <w:r>
        <w:rPr>
          <w:rFonts w:ascii="Times New Roman" w:hAnsi="Times New Roman"/>
        </w:rPr>
        <w:fldChar w:fldCharType="separate"/>
      </w:r>
      <w:r>
        <w:rPr>
          <w:rFonts w:hint="eastAsia" w:ascii="Times New Roman" w:hAnsi="Times New Roman"/>
        </w:rPr>
        <w:t>第五部分</w:t>
      </w:r>
      <w:r>
        <w:rPr>
          <w:rFonts w:ascii="Times New Roman" w:hAnsi="Times New Roman"/>
        </w:rPr>
        <w:t xml:space="preserve">  </w:t>
      </w:r>
      <w:r>
        <w:rPr>
          <w:rFonts w:hint="eastAsia" w:ascii="Times New Roman" w:hAnsi="Times New Roman"/>
        </w:rPr>
        <w:t>磋商货物、服务的具体需求</w:t>
      </w:r>
      <w:r>
        <w:rPr>
          <w:rFonts w:ascii="Times New Roman" w:hAnsi="Times New Roman"/>
        </w:rPr>
        <w:fldChar w:fldCharType="end"/>
      </w:r>
      <w:r>
        <w:rPr>
          <w:rFonts w:hint="eastAsia" w:ascii="Times New Roman" w:hAnsi="Times New Roman"/>
        </w:rPr>
        <w:t>”中所述货物及相关服务的磋商响应。</w:t>
      </w:r>
    </w:p>
    <w:p>
      <w:pPr>
        <w:pStyle w:val="45"/>
        <w:numPr>
          <w:ilvl w:val="0"/>
          <w:numId w:val="4"/>
        </w:numPr>
        <w:tabs>
          <w:tab w:val="clear" w:pos="709"/>
        </w:tabs>
        <w:adjustRightInd/>
        <w:spacing w:before="120" w:after="120" w:line="377" w:lineRule="auto"/>
        <w:ind w:left="425" w:hanging="425"/>
        <w:jc w:val="both"/>
        <w:textAlignment w:val="auto"/>
        <w:rPr>
          <w:rFonts w:ascii="Times New Roman" w:hAnsi="Times New Roman" w:eastAsia="宋体"/>
          <w:kern w:val="2"/>
          <w:sz w:val="24"/>
        </w:rPr>
      </w:pPr>
      <w:r>
        <w:rPr>
          <w:rFonts w:hint="eastAsia" w:ascii="Times New Roman" w:hAnsi="Times New Roman" w:eastAsia="宋体"/>
          <w:kern w:val="2"/>
          <w:sz w:val="24"/>
        </w:rPr>
        <w:t>定义</w:t>
      </w:r>
    </w:p>
    <w:p>
      <w:pPr>
        <w:pStyle w:val="91"/>
        <w:rPr>
          <w:rFonts w:ascii="Times New Roman" w:hAnsi="Times New Roman"/>
        </w:rPr>
      </w:pPr>
      <w:r>
        <w:rPr>
          <w:rFonts w:ascii="Times New Roman" w:hAnsi="Times New Roman"/>
        </w:rPr>
        <w:t>“</w:t>
      </w:r>
      <w:r>
        <w:rPr>
          <w:rFonts w:hint="eastAsia" w:ascii="Times New Roman" w:hAnsi="Times New Roman"/>
        </w:rPr>
        <w:t>采购人</w:t>
      </w:r>
      <w:r>
        <w:rPr>
          <w:rFonts w:ascii="Times New Roman" w:hAnsi="Times New Roman"/>
        </w:rPr>
        <w:t>”</w:t>
      </w:r>
      <w:r>
        <w:rPr>
          <w:rFonts w:hint="eastAsia" w:ascii="Times New Roman" w:hAnsi="Times New Roman"/>
        </w:rPr>
        <w:t>名称详见</w:t>
      </w:r>
      <w:r>
        <w:fldChar w:fldCharType="begin"/>
      </w:r>
      <w:r>
        <w:instrText xml:space="preserve"> REF 响应人须知前附表 \h  \* MERGEFORMAT </w:instrText>
      </w:r>
      <w:r>
        <w:fldChar w:fldCharType="separate"/>
      </w:r>
      <w:r>
        <w:rPr>
          <w:rFonts w:hint="eastAsia" w:ascii="Times New Roman" w:hAnsi="Times New Roman"/>
        </w:rPr>
        <w:t>响应人须知前附表</w:t>
      </w:r>
      <w:r>
        <w:fldChar w:fldCharType="end"/>
      </w:r>
      <w:r>
        <w:rPr>
          <w:rFonts w:hint="eastAsia" w:ascii="Times New Roman" w:hAnsi="Times New Roman"/>
        </w:rPr>
        <w:t>第</w:t>
      </w:r>
      <w:r>
        <w:fldChar w:fldCharType="begin"/>
      </w:r>
      <w:r>
        <w:instrText xml:space="preserve"> REF _Ref477961867 \r \h  \* MERGEFORMAT </w:instrText>
      </w:r>
      <w:r>
        <w:fldChar w:fldCharType="separate"/>
      </w:r>
      <w:r>
        <w:t>1</w:t>
      </w:r>
      <w:r>
        <w:fldChar w:fldCharType="end"/>
      </w:r>
      <w:r>
        <w:rPr>
          <w:rFonts w:hint="eastAsia" w:ascii="Times New Roman" w:hAnsi="Times New Roman"/>
        </w:rPr>
        <w:t>条。</w:t>
      </w:r>
    </w:p>
    <w:p>
      <w:pPr>
        <w:pStyle w:val="91"/>
        <w:rPr>
          <w:rFonts w:ascii="Times New Roman" w:hAnsi="Times New Roman"/>
        </w:rPr>
      </w:pPr>
      <w:r>
        <w:rPr>
          <w:rFonts w:ascii="Times New Roman" w:hAnsi="Times New Roman"/>
        </w:rPr>
        <w:t>“</w:t>
      </w:r>
      <w:r>
        <w:rPr>
          <w:rFonts w:hint="eastAsia" w:ascii="Times New Roman" w:hAnsi="Times New Roman"/>
        </w:rPr>
        <w:t>磋商货物</w:t>
      </w:r>
      <w:r>
        <w:rPr>
          <w:rFonts w:ascii="Times New Roman" w:hAnsi="Times New Roman"/>
        </w:rPr>
        <w:t>”</w:t>
      </w:r>
      <w:r>
        <w:rPr>
          <w:rFonts w:hint="eastAsia" w:ascii="Times New Roman" w:hAnsi="Times New Roman"/>
        </w:rPr>
        <w:t>指本磋商文件中“</w:t>
      </w:r>
      <w:r>
        <w:rPr>
          <w:rFonts w:ascii="Times New Roman" w:hAnsi="Times New Roman"/>
        </w:rPr>
        <w:fldChar w:fldCharType="begin"/>
      </w:r>
      <w:r>
        <w:rPr>
          <w:rFonts w:ascii="Times New Roman" w:hAnsi="Times New Roman"/>
        </w:rPr>
        <w:instrText xml:space="preserve"> REF _Ref477961348 \h  \* MERGEFORMAT </w:instrText>
      </w:r>
      <w:r>
        <w:rPr>
          <w:rFonts w:ascii="Times New Roman" w:hAnsi="Times New Roman"/>
        </w:rPr>
        <w:fldChar w:fldCharType="separate"/>
      </w:r>
      <w:r>
        <w:rPr>
          <w:rFonts w:hint="eastAsia" w:ascii="Times New Roman" w:hAnsi="Times New Roman"/>
        </w:rPr>
        <w:t>第五部分</w:t>
      </w:r>
      <w:r>
        <w:rPr>
          <w:rFonts w:ascii="Times New Roman" w:hAnsi="Times New Roman"/>
        </w:rPr>
        <w:t xml:space="preserve">  </w:t>
      </w:r>
      <w:r>
        <w:rPr>
          <w:rFonts w:hint="eastAsia" w:ascii="Times New Roman" w:hAnsi="Times New Roman"/>
        </w:rPr>
        <w:t>磋商货物、服务的具体需求</w:t>
      </w:r>
      <w:r>
        <w:rPr>
          <w:rFonts w:ascii="Times New Roman" w:hAnsi="Times New Roman"/>
        </w:rPr>
        <w:fldChar w:fldCharType="end"/>
      </w:r>
      <w:r>
        <w:rPr>
          <w:rFonts w:hint="eastAsia" w:ascii="Times New Roman" w:hAnsi="Times New Roman"/>
        </w:rPr>
        <w:t>”中所述所有货物。</w:t>
      </w:r>
    </w:p>
    <w:p>
      <w:pPr>
        <w:pStyle w:val="91"/>
        <w:rPr>
          <w:rFonts w:ascii="Times New Roman" w:hAnsi="Times New Roman"/>
        </w:rPr>
      </w:pPr>
      <w:r>
        <w:rPr>
          <w:rFonts w:ascii="Times New Roman" w:hAnsi="Times New Roman"/>
        </w:rPr>
        <w:t>“</w:t>
      </w:r>
      <w:r>
        <w:rPr>
          <w:rFonts w:hint="eastAsia" w:ascii="Times New Roman" w:hAnsi="Times New Roman"/>
        </w:rPr>
        <w:t>服务</w:t>
      </w:r>
      <w:r>
        <w:rPr>
          <w:rFonts w:ascii="Times New Roman" w:hAnsi="Times New Roman"/>
        </w:rPr>
        <w:t>”</w:t>
      </w:r>
      <w:r>
        <w:rPr>
          <w:rFonts w:hint="eastAsia" w:ascii="Times New Roman" w:hAnsi="Times New Roman"/>
        </w:rPr>
        <w:t>指本磋商文件“</w:t>
      </w:r>
      <w:r>
        <w:rPr>
          <w:rFonts w:ascii="Times New Roman" w:hAnsi="Times New Roman"/>
        </w:rPr>
        <w:fldChar w:fldCharType="begin"/>
      </w:r>
      <w:r>
        <w:rPr>
          <w:rFonts w:ascii="Times New Roman" w:hAnsi="Times New Roman"/>
        </w:rPr>
        <w:instrText xml:space="preserve"> REF _Ref477961348 \h  \* MERGEFORMAT </w:instrText>
      </w:r>
      <w:r>
        <w:rPr>
          <w:rFonts w:ascii="Times New Roman" w:hAnsi="Times New Roman"/>
        </w:rPr>
        <w:fldChar w:fldCharType="separate"/>
      </w:r>
      <w:r>
        <w:rPr>
          <w:rFonts w:hint="eastAsia" w:ascii="Times New Roman" w:hAnsi="Times New Roman"/>
        </w:rPr>
        <w:t>第五部分</w:t>
      </w:r>
      <w:r>
        <w:rPr>
          <w:rFonts w:ascii="Times New Roman" w:hAnsi="Times New Roman"/>
        </w:rPr>
        <w:t xml:space="preserve">  </w:t>
      </w:r>
      <w:r>
        <w:rPr>
          <w:rFonts w:hint="eastAsia" w:ascii="Times New Roman" w:hAnsi="Times New Roman"/>
        </w:rPr>
        <w:t>磋商货物、服务的具体需求</w:t>
      </w:r>
      <w:r>
        <w:rPr>
          <w:rFonts w:ascii="Times New Roman" w:hAnsi="Times New Roman"/>
        </w:rPr>
        <w:fldChar w:fldCharType="end"/>
      </w:r>
      <w:r>
        <w:rPr>
          <w:rFonts w:hint="eastAsia" w:ascii="Times New Roman" w:hAnsi="Times New Roman"/>
        </w:rPr>
        <w:t>”中所述响应人应该履行的承诺和义务。</w:t>
      </w:r>
    </w:p>
    <w:p>
      <w:pPr>
        <w:pStyle w:val="91"/>
        <w:rPr>
          <w:rFonts w:ascii="Times New Roman" w:hAnsi="Times New Roman"/>
        </w:rPr>
      </w:pPr>
      <w:r>
        <w:rPr>
          <w:rFonts w:ascii="Times New Roman" w:hAnsi="Times New Roman"/>
        </w:rPr>
        <w:t>“</w:t>
      </w:r>
      <w:r>
        <w:rPr>
          <w:rFonts w:hint="eastAsia" w:ascii="Times New Roman" w:hAnsi="Times New Roman"/>
        </w:rPr>
        <w:t>潜在响应人</w:t>
      </w:r>
      <w:r>
        <w:rPr>
          <w:rFonts w:ascii="Times New Roman" w:hAnsi="Times New Roman"/>
        </w:rPr>
        <w:t>”</w:t>
      </w:r>
      <w:r>
        <w:rPr>
          <w:rFonts w:hint="eastAsia" w:ascii="Times New Roman" w:hAnsi="Times New Roman"/>
        </w:rPr>
        <w:t>指符合本磋商文件各项规定的合格供应商。</w:t>
      </w:r>
    </w:p>
    <w:p>
      <w:pPr>
        <w:pStyle w:val="91"/>
        <w:rPr>
          <w:rFonts w:ascii="Times New Roman" w:hAnsi="Times New Roman"/>
        </w:rPr>
      </w:pPr>
      <w:r>
        <w:rPr>
          <w:rFonts w:ascii="Times New Roman" w:hAnsi="Times New Roman"/>
        </w:rPr>
        <w:t>“</w:t>
      </w:r>
      <w:r>
        <w:rPr>
          <w:rFonts w:hint="eastAsia" w:ascii="Times New Roman" w:hAnsi="Times New Roman"/>
        </w:rPr>
        <w:t>响应人</w:t>
      </w:r>
      <w:r>
        <w:rPr>
          <w:rFonts w:ascii="Times New Roman" w:hAnsi="Times New Roman"/>
        </w:rPr>
        <w:t>”</w:t>
      </w:r>
      <w:r>
        <w:rPr>
          <w:rFonts w:hint="eastAsia" w:ascii="Times New Roman" w:hAnsi="Times New Roman"/>
        </w:rPr>
        <w:t>指符合本磋商文件规定并参加响应的供应商。</w:t>
      </w:r>
    </w:p>
    <w:p>
      <w:pPr>
        <w:pStyle w:val="91"/>
        <w:rPr>
          <w:rFonts w:ascii="Times New Roman" w:hAnsi="Times New Roman"/>
        </w:rPr>
      </w:pPr>
      <w:r>
        <w:rPr>
          <w:rFonts w:hint="eastAsia" w:ascii="Times New Roman" w:hAnsi="Times New Roman"/>
        </w:rPr>
        <w:t>本磋商文件各部分规定的期间以时、日、月、年计算。期间开始的时和日，不计算在期间内，而从次日开始计算。期间届满的最后一天是节假日的，以节假日后的第一日为期间届满的日期。</w:t>
      </w:r>
    </w:p>
    <w:p>
      <w:pPr>
        <w:pStyle w:val="45"/>
        <w:numPr>
          <w:ilvl w:val="0"/>
          <w:numId w:val="4"/>
        </w:numPr>
        <w:tabs>
          <w:tab w:val="clear" w:pos="709"/>
        </w:tabs>
        <w:adjustRightInd/>
        <w:spacing w:before="120" w:after="120" w:line="377" w:lineRule="auto"/>
        <w:ind w:left="425" w:hanging="425"/>
        <w:jc w:val="both"/>
        <w:textAlignment w:val="auto"/>
        <w:rPr>
          <w:rFonts w:ascii="Times New Roman" w:hAnsi="Times New Roman" w:eastAsia="宋体"/>
          <w:kern w:val="2"/>
          <w:sz w:val="24"/>
        </w:rPr>
      </w:pPr>
      <w:r>
        <w:rPr>
          <w:rFonts w:hint="eastAsia" w:ascii="Times New Roman" w:hAnsi="Times New Roman" w:eastAsia="宋体"/>
          <w:kern w:val="2"/>
          <w:sz w:val="24"/>
        </w:rPr>
        <w:t>合格响应人的条件</w:t>
      </w:r>
    </w:p>
    <w:p>
      <w:pPr>
        <w:pStyle w:val="91"/>
        <w:rPr>
          <w:rFonts w:ascii="Times New Roman" w:hAnsi="Times New Roman"/>
        </w:rPr>
      </w:pPr>
      <w:r>
        <w:rPr>
          <w:rFonts w:hint="eastAsia" w:ascii="Times New Roman" w:hAnsi="Times New Roman"/>
        </w:rPr>
        <w:t>具有本项目生产、制造、供应及</w:t>
      </w:r>
      <w:r>
        <w:rPr>
          <w:rFonts w:ascii="Times New Roman" w:hAnsi="Times New Roman"/>
        </w:rPr>
        <w:t>/</w:t>
      </w:r>
      <w:r>
        <w:rPr>
          <w:rFonts w:hint="eastAsia" w:ascii="Times New Roman" w:hAnsi="Times New Roman"/>
        </w:rPr>
        <w:t>或实施能力，符合、承认并承诺履行本磋商文件各项规定的国内供应商均可参加响应。</w:t>
      </w:r>
    </w:p>
    <w:p>
      <w:pPr>
        <w:pStyle w:val="91"/>
        <w:rPr>
          <w:rFonts w:ascii="Times New Roman" w:hAnsi="Times New Roman"/>
        </w:rPr>
      </w:pPr>
      <w:r>
        <w:rPr>
          <w:rFonts w:hint="eastAsia" w:ascii="Times New Roman" w:hAnsi="Times New Roman"/>
        </w:rPr>
        <w:t>响应人必须是已在中国境内依法登记注册并仍有效存续的供应商，并且其所持有的由工商行政管理局所核发的有效的营业执照上所载明的营业期限余额应当不少于本次采购的相关合同基本义务履行所需期限。否则，磋商小组有权视情况决定是否拒绝其本次响应。</w:t>
      </w:r>
    </w:p>
    <w:p>
      <w:pPr>
        <w:pStyle w:val="91"/>
        <w:rPr>
          <w:rFonts w:ascii="Times New Roman" w:hAnsi="Times New Roman"/>
        </w:rPr>
      </w:pPr>
      <w:r>
        <w:rPr>
          <w:rFonts w:hint="eastAsia" w:ascii="Times New Roman" w:hAnsi="Times New Roman"/>
        </w:rPr>
        <w:t>响应人应遵守有关的国家法律、法规和条例，具备《中华人民共和国政府采购法》和本磋商文件中规定的条件：</w:t>
      </w:r>
    </w:p>
    <w:p>
      <w:pPr>
        <w:numPr>
          <w:ilvl w:val="0"/>
          <w:numId w:val="16"/>
        </w:numPr>
        <w:spacing w:line="400" w:lineRule="exact"/>
        <w:textAlignment w:val="auto"/>
        <w:rPr>
          <w:sz w:val="21"/>
          <w:szCs w:val="21"/>
        </w:rPr>
      </w:pPr>
      <w:r>
        <w:rPr>
          <w:rFonts w:hint="eastAsia"/>
          <w:sz w:val="21"/>
          <w:szCs w:val="21"/>
        </w:rPr>
        <w:t>具有独立承担民事责任的能力；</w:t>
      </w:r>
    </w:p>
    <w:p>
      <w:pPr>
        <w:numPr>
          <w:ilvl w:val="0"/>
          <w:numId w:val="16"/>
        </w:numPr>
        <w:spacing w:line="400" w:lineRule="exact"/>
        <w:textAlignment w:val="auto"/>
        <w:rPr>
          <w:sz w:val="21"/>
          <w:szCs w:val="21"/>
        </w:rPr>
      </w:pPr>
      <w:r>
        <w:rPr>
          <w:rFonts w:hint="eastAsia"/>
          <w:sz w:val="21"/>
          <w:szCs w:val="21"/>
        </w:rPr>
        <w:t>具有良好的商业信誉和健全的财务会计制度；</w:t>
      </w:r>
    </w:p>
    <w:p>
      <w:pPr>
        <w:numPr>
          <w:ilvl w:val="0"/>
          <w:numId w:val="16"/>
        </w:numPr>
        <w:spacing w:line="400" w:lineRule="exact"/>
        <w:textAlignment w:val="auto"/>
        <w:rPr>
          <w:sz w:val="21"/>
          <w:szCs w:val="21"/>
        </w:rPr>
      </w:pPr>
      <w:r>
        <w:rPr>
          <w:rFonts w:hint="eastAsia"/>
          <w:sz w:val="21"/>
          <w:szCs w:val="21"/>
        </w:rPr>
        <w:t>具有履行合同所必需的设备和专业技术能力；</w:t>
      </w:r>
    </w:p>
    <w:p>
      <w:pPr>
        <w:numPr>
          <w:ilvl w:val="0"/>
          <w:numId w:val="16"/>
        </w:numPr>
        <w:spacing w:line="400" w:lineRule="exact"/>
        <w:textAlignment w:val="auto"/>
        <w:rPr>
          <w:sz w:val="21"/>
          <w:szCs w:val="21"/>
        </w:rPr>
      </w:pPr>
      <w:r>
        <w:rPr>
          <w:rFonts w:hint="eastAsia"/>
          <w:sz w:val="21"/>
          <w:szCs w:val="21"/>
        </w:rPr>
        <w:t>具有依法缴纳税收和社会保障资金的良好记录；</w:t>
      </w:r>
    </w:p>
    <w:p>
      <w:pPr>
        <w:numPr>
          <w:ilvl w:val="0"/>
          <w:numId w:val="16"/>
        </w:numPr>
        <w:spacing w:line="400" w:lineRule="exact"/>
        <w:textAlignment w:val="auto"/>
        <w:rPr>
          <w:sz w:val="21"/>
          <w:szCs w:val="21"/>
        </w:rPr>
      </w:pPr>
      <w:r>
        <w:rPr>
          <w:rFonts w:hint="eastAsia"/>
          <w:sz w:val="21"/>
          <w:szCs w:val="21"/>
        </w:rPr>
        <w:t>参加此项采购活动前三年内，在经营活动中没有重大违法记录；</w:t>
      </w:r>
    </w:p>
    <w:p>
      <w:pPr>
        <w:numPr>
          <w:ilvl w:val="0"/>
          <w:numId w:val="16"/>
        </w:numPr>
        <w:spacing w:line="400" w:lineRule="exact"/>
        <w:textAlignment w:val="auto"/>
        <w:rPr>
          <w:sz w:val="21"/>
          <w:szCs w:val="21"/>
        </w:rPr>
      </w:pPr>
      <w:r>
        <w:rPr>
          <w:rFonts w:hint="eastAsia"/>
          <w:sz w:val="21"/>
          <w:szCs w:val="21"/>
        </w:rPr>
        <w:t>具有</w:t>
      </w:r>
      <w:r>
        <w:fldChar w:fldCharType="begin"/>
      </w:r>
      <w:r>
        <w:instrText xml:space="preserve"> REF 响应人须知前附表 \h  \* MERGEFORMAT </w:instrText>
      </w:r>
      <w:r>
        <w:fldChar w:fldCharType="separate"/>
      </w:r>
      <w:r>
        <w:rPr>
          <w:rFonts w:hint="eastAsia"/>
          <w:kern w:val="2"/>
          <w:sz w:val="21"/>
          <w:u w:val="single"/>
        </w:rPr>
        <w:t>响应人须知前附表</w:t>
      </w:r>
      <w:r>
        <w:fldChar w:fldCharType="end"/>
      </w:r>
      <w:r>
        <w:rPr>
          <w:rFonts w:hint="eastAsia"/>
          <w:sz w:val="21"/>
          <w:szCs w:val="21"/>
          <w:u w:val="single"/>
        </w:rPr>
        <w:t>第</w:t>
      </w:r>
      <w:r>
        <w:fldChar w:fldCharType="begin"/>
      </w:r>
      <w:r>
        <w:instrText xml:space="preserve"> REF _Ref477459456 \r \h  \* MERGEFORMAT </w:instrText>
      </w:r>
      <w:r>
        <w:fldChar w:fldCharType="separate"/>
      </w:r>
      <w:r>
        <w:t>2</w:t>
      </w:r>
      <w:r>
        <w:fldChar w:fldCharType="end"/>
      </w:r>
      <w:r>
        <w:rPr>
          <w:rFonts w:hint="eastAsia"/>
          <w:sz w:val="21"/>
          <w:szCs w:val="21"/>
          <w:u w:val="single"/>
        </w:rPr>
        <w:t>条</w:t>
      </w:r>
      <w:r>
        <w:rPr>
          <w:rFonts w:hint="eastAsia"/>
          <w:sz w:val="21"/>
          <w:szCs w:val="21"/>
        </w:rPr>
        <w:t>规定的资质条件。</w:t>
      </w:r>
    </w:p>
    <w:p>
      <w:pPr>
        <w:pStyle w:val="91"/>
        <w:rPr>
          <w:rFonts w:ascii="Times New Roman" w:hAnsi="Times New Roman"/>
        </w:rPr>
      </w:pPr>
      <w:r>
        <w:rPr>
          <w:rFonts w:hint="eastAsia" w:ascii="Times New Roman" w:hAnsi="Times New Roman"/>
        </w:rPr>
        <w:t>本次磋商是否允许代理商（响应人提供的货物不是自己制造的，下同）响应详见</w:t>
      </w:r>
      <w:r>
        <w:fldChar w:fldCharType="begin"/>
      </w:r>
      <w:r>
        <w:instrText xml:space="preserve"> REF 响应人须知前附表 \h  \* MERGEFORMAT </w:instrText>
      </w:r>
      <w:r>
        <w:fldChar w:fldCharType="separate"/>
      </w:r>
      <w:r>
        <w:rPr>
          <w:rFonts w:hint="eastAsia" w:ascii="Times New Roman" w:hAnsi="Times New Roman"/>
        </w:rPr>
        <w:t>响应人须知前附表</w:t>
      </w:r>
      <w:r>
        <w:fldChar w:fldCharType="end"/>
      </w:r>
      <w:r>
        <w:rPr>
          <w:rFonts w:hint="eastAsia" w:ascii="Times New Roman" w:hAnsi="Times New Roman"/>
        </w:rPr>
        <w:t>中</w:t>
      </w:r>
      <w:r>
        <w:rPr>
          <w:rFonts w:ascii="Times New Roman" w:hAnsi="Times New Roman"/>
        </w:rPr>
        <w:t>“</w:t>
      </w:r>
      <w:r>
        <w:fldChar w:fldCharType="begin"/>
      </w:r>
      <w:r>
        <w:instrText xml:space="preserve"> REF 是否允许代理商响应 \h  \* MERGEFORMAT </w:instrText>
      </w:r>
      <w:r>
        <w:fldChar w:fldCharType="separate"/>
      </w:r>
      <w:r>
        <w:rPr>
          <w:rFonts w:hint="eastAsia" w:ascii="Times New Roman" w:hAnsi="Times New Roman"/>
          <w:szCs w:val="21"/>
        </w:rPr>
        <w:t>是否允许代理商响应</w:t>
      </w:r>
      <w:r>
        <w:fldChar w:fldCharType="end"/>
      </w:r>
      <w:r>
        <w:rPr>
          <w:rFonts w:ascii="Times New Roman" w:hAnsi="Times New Roman"/>
        </w:rPr>
        <w:t>”</w:t>
      </w:r>
      <w:r>
        <w:rPr>
          <w:rFonts w:hint="eastAsia" w:ascii="Times New Roman" w:hAnsi="Times New Roman"/>
        </w:rPr>
        <w:t>。多家代理商参加同一品牌产品响应的处理规则详见</w:t>
      </w:r>
      <w:r>
        <w:fldChar w:fldCharType="begin"/>
      </w:r>
      <w:r>
        <w:instrText xml:space="preserve"> REF 响应人须知前附表 \h  \* MERGEFORMAT </w:instrText>
      </w:r>
      <w:r>
        <w:fldChar w:fldCharType="separate"/>
      </w:r>
      <w:r>
        <w:rPr>
          <w:rFonts w:hint="eastAsia" w:ascii="Times New Roman" w:hAnsi="Times New Roman"/>
        </w:rPr>
        <w:t>响应人须知前附表</w:t>
      </w:r>
      <w:r>
        <w:fldChar w:fldCharType="end"/>
      </w:r>
      <w:r>
        <w:rPr>
          <w:rFonts w:hint="eastAsia" w:ascii="Times New Roman" w:hAnsi="Times New Roman"/>
        </w:rPr>
        <w:t>中</w:t>
      </w:r>
      <w:r>
        <w:rPr>
          <w:rFonts w:ascii="Times New Roman" w:hAnsi="Times New Roman"/>
        </w:rPr>
        <w:t>“</w:t>
      </w:r>
      <w:r>
        <w:fldChar w:fldCharType="begin"/>
      </w:r>
      <w:r>
        <w:instrText xml:space="preserve"> REF 代理商应提交的材料 \h  \* MERGEFORMAT </w:instrText>
      </w:r>
      <w:r>
        <w:fldChar w:fldCharType="separate"/>
      </w:r>
      <w:r>
        <w:rPr>
          <w:rFonts w:hint="eastAsia" w:ascii="Times New Roman" w:hAnsi="Times New Roman"/>
          <w:szCs w:val="21"/>
        </w:rPr>
        <w:t>代理商应提交资料</w:t>
      </w:r>
      <w:r>
        <w:fldChar w:fldCharType="end"/>
      </w:r>
      <w:r>
        <w:rPr>
          <w:rFonts w:ascii="Times New Roman" w:hAnsi="Times New Roman"/>
        </w:rPr>
        <w:t>”</w:t>
      </w:r>
      <w:r>
        <w:rPr>
          <w:rFonts w:hint="eastAsia" w:ascii="Times New Roman" w:hAnsi="Times New Roman"/>
        </w:rPr>
        <w:t>。如果允许代理商响应，代理商应遵守下列要求：</w:t>
      </w:r>
    </w:p>
    <w:p>
      <w:pPr>
        <w:numPr>
          <w:ilvl w:val="0"/>
          <w:numId w:val="17"/>
        </w:numPr>
        <w:spacing w:line="400" w:lineRule="exact"/>
        <w:textAlignment w:val="auto"/>
        <w:rPr>
          <w:sz w:val="21"/>
          <w:szCs w:val="21"/>
        </w:rPr>
      </w:pPr>
      <w:r>
        <w:rPr>
          <w:rFonts w:hint="eastAsia"/>
          <w:sz w:val="21"/>
          <w:szCs w:val="21"/>
        </w:rPr>
        <w:t>按</w:t>
      </w:r>
      <w:r>
        <w:fldChar w:fldCharType="begin"/>
      </w:r>
      <w:r>
        <w:instrText xml:space="preserve"> REF 响应人须知前附表 \h  \* MERGEFORMAT </w:instrText>
      </w:r>
      <w:r>
        <w:fldChar w:fldCharType="separate"/>
      </w:r>
      <w:r>
        <w:rPr>
          <w:rFonts w:hint="eastAsia"/>
          <w:kern w:val="2"/>
          <w:sz w:val="21"/>
        </w:rPr>
        <w:t>响应人须知前附表</w:t>
      </w:r>
      <w:r>
        <w:fldChar w:fldCharType="end"/>
      </w:r>
      <w:r>
        <w:rPr>
          <w:rFonts w:hint="eastAsia"/>
          <w:sz w:val="21"/>
        </w:rPr>
        <w:t>中</w:t>
      </w:r>
      <w:r>
        <w:rPr>
          <w:sz w:val="21"/>
        </w:rPr>
        <w:t>“</w:t>
      </w:r>
      <w:r>
        <w:fldChar w:fldCharType="begin"/>
      </w:r>
      <w:r>
        <w:instrText xml:space="preserve"> REF </w:instrText>
      </w:r>
      <w:r>
        <w:rPr>
          <w:rFonts w:hint="eastAsia"/>
        </w:rPr>
        <w:instrText xml:space="preserve">代理商应提交的材料</w:instrText>
      </w:r>
      <w:r>
        <w:instrText xml:space="preserve"> \h  \* MERGEFORMAT </w:instrText>
      </w:r>
      <w:r>
        <w:fldChar w:fldCharType="separate"/>
      </w:r>
      <w:r>
        <w:rPr>
          <w:rFonts w:hint="eastAsia"/>
          <w:sz w:val="21"/>
          <w:szCs w:val="21"/>
        </w:rPr>
        <w:t>代理商应提交资料</w:t>
      </w:r>
      <w:r>
        <w:fldChar w:fldCharType="end"/>
      </w:r>
      <w:r>
        <w:t>”</w:t>
      </w:r>
      <w:r>
        <w:rPr>
          <w:rFonts w:hint="eastAsia"/>
          <w:sz w:val="21"/>
          <w:szCs w:val="21"/>
        </w:rPr>
        <w:t>规定提供相关证明材料。</w:t>
      </w:r>
    </w:p>
    <w:p>
      <w:pPr>
        <w:numPr>
          <w:ilvl w:val="0"/>
          <w:numId w:val="17"/>
        </w:numPr>
        <w:spacing w:line="400" w:lineRule="exact"/>
        <w:textAlignment w:val="auto"/>
        <w:rPr>
          <w:sz w:val="21"/>
          <w:szCs w:val="21"/>
        </w:rPr>
      </w:pPr>
      <w:r>
        <w:rPr>
          <w:rFonts w:hint="eastAsia"/>
          <w:sz w:val="21"/>
          <w:szCs w:val="21"/>
        </w:rPr>
        <w:t>如果本次磋商需要代理商提交响应产品生产制造厂商的授权，代理商应当按照</w:t>
      </w:r>
      <w:r>
        <w:fldChar w:fldCharType="begin"/>
      </w:r>
      <w:r>
        <w:instrText xml:space="preserve"> REF 响应人须知前附表 \h  \* MERGEFORMAT </w:instrText>
      </w:r>
      <w:r>
        <w:fldChar w:fldCharType="separate"/>
      </w:r>
      <w:r>
        <w:rPr>
          <w:rFonts w:hint="eastAsia"/>
          <w:kern w:val="2"/>
          <w:sz w:val="21"/>
          <w:szCs w:val="21"/>
        </w:rPr>
        <w:t>响应人须知前附表</w:t>
      </w:r>
      <w:r>
        <w:fldChar w:fldCharType="end"/>
      </w:r>
      <w:r>
        <w:rPr>
          <w:rFonts w:hint="eastAsia"/>
          <w:sz w:val="21"/>
          <w:szCs w:val="21"/>
        </w:rPr>
        <w:t>中</w:t>
      </w:r>
      <w:r>
        <w:rPr>
          <w:sz w:val="21"/>
          <w:szCs w:val="21"/>
        </w:rPr>
        <w:t>“</w:t>
      </w:r>
      <w:r>
        <w:fldChar w:fldCharType="begin"/>
      </w:r>
      <w:r>
        <w:instrText xml:space="preserve"> REF </w:instrText>
      </w:r>
      <w:r>
        <w:rPr>
          <w:rFonts w:hint="eastAsia"/>
        </w:rPr>
        <w:instrText xml:space="preserve">本次采购是否需要提供厂家授权的产品或服务清单</w:instrText>
      </w:r>
      <w:r>
        <w:instrText xml:space="preserve"> \h  \* MERGEFORMAT </w:instrText>
      </w:r>
      <w:r>
        <w:fldChar w:fldCharType="separate"/>
      </w:r>
      <w:r>
        <w:rPr>
          <w:rFonts w:hint="eastAsia"/>
          <w:sz w:val="21"/>
          <w:szCs w:val="21"/>
        </w:rPr>
        <w:t>本次采购是否需要提供厂家授权的产品或服务清单</w:t>
      </w:r>
      <w:r>
        <w:fldChar w:fldCharType="end"/>
      </w:r>
      <w:r>
        <w:t>”</w:t>
      </w:r>
      <w:r>
        <w:rPr>
          <w:rFonts w:hint="eastAsia"/>
          <w:sz w:val="21"/>
          <w:szCs w:val="21"/>
        </w:rPr>
        <w:t>所列设备提供有效的生产制造厂商授权。</w:t>
      </w:r>
    </w:p>
    <w:p>
      <w:pPr>
        <w:pStyle w:val="91"/>
        <w:rPr>
          <w:rFonts w:ascii="Times New Roman" w:hAnsi="Times New Roman"/>
        </w:rPr>
      </w:pPr>
      <w:r>
        <w:rPr>
          <w:rFonts w:hint="eastAsia" w:ascii="Times New Roman" w:hAnsi="Times New Roman"/>
        </w:rPr>
        <w:t>具有法人资格且与其他法人具有控股关联关系的响应人的特别规则如下：</w:t>
      </w:r>
    </w:p>
    <w:p>
      <w:pPr>
        <w:numPr>
          <w:ilvl w:val="0"/>
          <w:numId w:val="18"/>
        </w:numPr>
        <w:spacing w:line="400" w:lineRule="exact"/>
        <w:textAlignment w:val="auto"/>
        <w:rPr>
          <w:sz w:val="21"/>
          <w:szCs w:val="21"/>
        </w:rPr>
      </w:pPr>
      <w:r>
        <w:rPr>
          <w:rFonts w:hint="eastAsia"/>
          <w:sz w:val="21"/>
          <w:szCs w:val="21"/>
        </w:rPr>
        <w:t>同一集团、总公司或母公司等，连同其下属的全资子公司或（持股</w:t>
      </w:r>
      <w:r>
        <w:rPr>
          <w:sz w:val="21"/>
          <w:szCs w:val="21"/>
        </w:rPr>
        <w:t>50%</w:t>
      </w:r>
      <w:r>
        <w:rPr>
          <w:rFonts w:hint="eastAsia"/>
          <w:sz w:val="21"/>
          <w:szCs w:val="21"/>
        </w:rPr>
        <w:t>以上的）绝对控股子公司等（非控股子公司除外），只能由一家参加同一分包的响应，否则磋商小组有权视情况决定是否允许其自行决定撤回部分响应人只保留其中一家，或自行决定对该集团、总公司、母公司等连同其下属子公司一并拒绝。</w:t>
      </w:r>
    </w:p>
    <w:p>
      <w:pPr>
        <w:numPr>
          <w:ilvl w:val="0"/>
          <w:numId w:val="18"/>
        </w:numPr>
        <w:spacing w:line="400" w:lineRule="exact"/>
        <w:textAlignment w:val="auto"/>
        <w:rPr>
          <w:sz w:val="21"/>
          <w:szCs w:val="21"/>
        </w:rPr>
      </w:pPr>
      <w:r>
        <w:rPr>
          <w:rFonts w:hint="eastAsia"/>
          <w:sz w:val="21"/>
          <w:szCs w:val="21"/>
        </w:rPr>
        <w:t>某一集团、总公司或母公司等下属的唯一参加本次响应的一家已经具有法人资格的全资子公司或绝对控股子公司等，若其仅仅使用其自身的资质、资格及独立名义，而非凭借了其所属的某一集团、总公司或母公司等的授权文件或承诺文件参加响应的，该等情形下，仅需要按照本磋商文件的要求如实、完整地披露其自身，一切相关的责任均应当由其独立承担。</w:t>
      </w:r>
    </w:p>
    <w:p>
      <w:pPr>
        <w:numPr>
          <w:ilvl w:val="0"/>
          <w:numId w:val="18"/>
        </w:numPr>
        <w:spacing w:line="400" w:lineRule="exact"/>
        <w:textAlignment w:val="auto"/>
        <w:rPr>
          <w:sz w:val="21"/>
          <w:szCs w:val="21"/>
        </w:rPr>
      </w:pPr>
      <w:r>
        <w:rPr>
          <w:rFonts w:hint="eastAsia"/>
          <w:sz w:val="21"/>
          <w:szCs w:val="21"/>
        </w:rPr>
        <w:t>某一集团、总公司或母公司等下属的唯一参加本次响应的一家已经具有法人资格的全资子公司或绝对控股子公司等，若其并非仅仅使用其自身的资质与资格，而是凭借了其所属的某一集团、总公司或母公司等的授权文件或承诺文件参加响应的，该等情形下的授权文件</w:t>
      </w:r>
      <w:r>
        <w:rPr>
          <w:sz w:val="21"/>
          <w:szCs w:val="21"/>
        </w:rPr>
        <w:t>/</w:t>
      </w:r>
      <w:r>
        <w:rPr>
          <w:rFonts w:hint="eastAsia"/>
          <w:sz w:val="21"/>
          <w:szCs w:val="21"/>
        </w:rPr>
        <w:t>承诺文件的内容应当明确包括下列含义：其所属集团、总公司或母公司等法人组织所出具的表明对该子公司参加本次响应所引起的及</w:t>
      </w:r>
      <w:r>
        <w:rPr>
          <w:sz w:val="21"/>
          <w:szCs w:val="21"/>
        </w:rPr>
        <w:t>/</w:t>
      </w:r>
      <w:r>
        <w:rPr>
          <w:rFonts w:hint="eastAsia"/>
          <w:sz w:val="21"/>
          <w:szCs w:val="21"/>
        </w:rPr>
        <w:t>或相关的任何及</w:t>
      </w:r>
      <w:r>
        <w:rPr>
          <w:sz w:val="21"/>
          <w:szCs w:val="21"/>
        </w:rPr>
        <w:t>/</w:t>
      </w:r>
      <w:r>
        <w:rPr>
          <w:rFonts w:hint="eastAsia"/>
          <w:sz w:val="21"/>
          <w:szCs w:val="21"/>
        </w:rPr>
        <w:t>或所有责任，还包括但不限于相关合同所引起或相关的一切责任，均无条件且不可撤销地承担连带责任。对该等授权或承诺文件是否满足上述要求，磋商小组有权独立地判定。该等授权或承诺文件若被判定为不满足要求，磋商小组有权对该公司的响应予以拒绝；若被接受则无论该等授权或承诺文件是否存在瑕疵均应当被视为该集团、总公司或母公司等应当承担上述不可撤销的无限连带责任。该等情形下一旦其被接受参加响应，应当被视为或等同于该某一集团、总公司或母公司等的直接参加，本磋商文件及其成交后所签订的成交合同还包括但不限于补充文件等，均对其所属并为其出具了授权文件</w:t>
      </w:r>
      <w:r>
        <w:rPr>
          <w:sz w:val="21"/>
          <w:szCs w:val="21"/>
        </w:rPr>
        <w:t>/</w:t>
      </w:r>
      <w:r>
        <w:rPr>
          <w:rFonts w:hint="eastAsia"/>
          <w:sz w:val="21"/>
          <w:szCs w:val="21"/>
        </w:rPr>
        <w:t>承诺文件的集团、总公司或母公司等具有约束效力，其也可以直接利用该集团、总公司或母公司等的资质与业绩，同时有义务如实披露其所受处罚、不良记录及</w:t>
      </w:r>
      <w:r>
        <w:rPr>
          <w:sz w:val="21"/>
          <w:szCs w:val="21"/>
        </w:rPr>
        <w:t>/</w:t>
      </w:r>
      <w:r>
        <w:rPr>
          <w:rFonts w:hint="eastAsia"/>
          <w:sz w:val="21"/>
          <w:szCs w:val="21"/>
        </w:rPr>
        <w:t>或其违法纪录，不应当存在丝毫差别。</w:t>
      </w:r>
    </w:p>
    <w:p>
      <w:pPr>
        <w:pStyle w:val="91"/>
        <w:rPr>
          <w:rFonts w:ascii="Times New Roman" w:hAnsi="Times New Roman"/>
        </w:rPr>
      </w:pPr>
      <w:r>
        <w:rPr>
          <w:rFonts w:hint="eastAsia" w:ascii="Times New Roman" w:hAnsi="Times New Roman"/>
        </w:rPr>
        <w:t>本次磋商是否允许由两个以上响应人组成一个联合体以一个响应人身份共同响应，详见</w:t>
      </w:r>
      <w:r>
        <w:fldChar w:fldCharType="begin"/>
      </w:r>
      <w:r>
        <w:instrText xml:space="preserve"> REF 响应人须知前附表 \h  \* MERGEFORMAT </w:instrText>
      </w:r>
      <w:r>
        <w:fldChar w:fldCharType="separate"/>
      </w:r>
      <w:r>
        <w:rPr>
          <w:rFonts w:hint="eastAsia" w:ascii="Times New Roman" w:hAnsi="Times New Roman"/>
        </w:rPr>
        <w:t>响应人须知前附表</w:t>
      </w:r>
      <w:r>
        <w:fldChar w:fldCharType="end"/>
      </w:r>
      <w:r>
        <w:rPr>
          <w:rFonts w:hint="eastAsia" w:ascii="Times New Roman" w:hAnsi="Times New Roman"/>
        </w:rPr>
        <w:t>中</w:t>
      </w:r>
      <w:r>
        <w:rPr>
          <w:rFonts w:ascii="Times New Roman" w:hAnsi="Times New Roman"/>
        </w:rPr>
        <w:t>“</w:t>
      </w:r>
      <w:r>
        <w:fldChar w:fldCharType="begin"/>
      </w:r>
      <w:r>
        <w:instrText xml:space="preserve"> REF 是否允许联合体响应 \h  \* MERGEFORMAT </w:instrText>
      </w:r>
      <w:r>
        <w:fldChar w:fldCharType="separate"/>
      </w:r>
      <w:r>
        <w:rPr>
          <w:rFonts w:hint="eastAsia" w:ascii="Times New Roman" w:hAnsi="Times New Roman"/>
          <w:szCs w:val="21"/>
        </w:rPr>
        <w:t>是否允许联合体响应</w:t>
      </w:r>
      <w:r>
        <w:fldChar w:fldCharType="end"/>
      </w:r>
      <w:r>
        <w:rPr>
          <w:rFonts w:ascii="Times New Roman" w:hAnsi="Times New Roman"/>
        </w:rPr>
        <w:t>”</w:t>
      </w:r>
      <w:r>
        <w:rPr>
          <w:rFonts w:hint="eastAsia" w:ascii="Times New Roman" w:hAnsi="Times New Roman"/>
        </w:rPr>
        <w:t>。如果允许联合体响应，联合体各方除符合上述规定外，还应符合下列要求：</w:t>
      </w:r>
    </w:p>
    <w:p>
      <w:pPr>
        <w:numPr>
          <w:ilvl w:val="0"/>
          <w:numId w:val="19"/>
        </w:numPr>
        <w:spacing w:line="400" w:lineRule="exact"/>
        <w:textAlignment w:val="auto"/>
        <w:rPr>
          <w:sz w:val="21"/>
          <w:szCs w:val="21"/>
        </w:rPr>
      </w:pPr>
      <w:r>
        <w:rPr>
          <w:rFonts w:hint="eastAsia"/>
          <w:sz w:val="21"/>
          <w:szCs w:val="21"/>
        </w:rPr>
        <w:t>联合响应体应提供</w:t>
      </w:r>
      <w:r>
        <w:rPr>
          <w:sz w:val="21"/>
          <w:szCs w:val="21"/>
        </w:rPr>
        <w:t>“</w:t>
      </w:r>
      <w:r>
        <w:rPr>
          <w:rFonts w:hint="eastAsia"/>
          <w:sz w:val="21"/>
          <w:szCs w:val="21"/>
        </w:rPr>
        <w:t>联合响应协议书</w:t>
      </w:r>
      <w:r>
        <w:rPr>
          <w:sz w:val="21"/>
          <w:szCs w:val="21"/>
        </w:rPr>
        <w:t>”</w:t>
      </w:r>
      <w:r>
        <w:rPr>
          <w:rFonts w:hint="eastAsia"/>
          <w:sz w:val="21"/>
          <w:szCs w:val="21"/>
        </w:rPr>
        <w:t>，该协议书对联合响应各方均具有法律约束力。联合响应体必须确定其中一方为响应的全权代表参加响应活动，并承担响应及履约活动中的全部责任与义务，且联合体各方无论是否实际参加、发生的情形怎样，一旦该联合体实际开始响应，联合体各方均应当就本次采购所引起或相关的任何及</w:t>
      </w:r>
      <w:r>
        <w:rPr>
          <w:sz w:val="21"/>
          <w:szCs w:val="21"/>
        </w:rPr>
        <w:t>/</w:t>
      </w:r>
      <w:r>
        <w:rPr>
          <w:rFonts w:hint="eastAsia"/>
          <w:sz w:val="21"/>
          <w:szCs w:val="21"/>
        </w:rPr>
        <w:t>或所有事项、义务、责任、损失等承担连带责任。申请参与本项目联合响应成员各自均应具备政府有权机构核发的有效《企业法人营业执照》；均应是自主经营、独立核算、处于持续正常经营状态的经济实体；均应具有相应的行政主管部门核发的资质证书；均应具备同类项目施工经历与业绩，在设备、人员、资金、安全、质量保证及环境保护等方面具有圆满完成本项目的能力。</w:t>
      </w:r>
    </w:p>
    <w:p>
      <w:pPr>
        <w:numPr>
          <w:ilvl w:val="0"/>
          <w:numId w:val="19"/>
        </w:numPr>
        <w:spacing w:line="400" w:lineRule="exact"/>
        <w:textAlignment w:val="auto"/>
        <w:rPr>
          <w:sz w:val="21"/>
          <w:szCs w:val="21"/>
        </w:rPr>
      </w:pPr>
      <w:r>
        <w:rPr>
          <w:rFonts w:hint="eastAsia"/>
          <w:sz w:val="21"/>
          <w:szCs w:val="21"/>
        </w:rPr>
        <w:t>由同一专业的响应人组成的联合体，按照资质等级较低的响应人确定资质等级。</w:t>
      </w:r>
    </w:p>
    <w:p>
      <w:pPr>
        <w:numPr>
          <w:ilvl w:val="0"/>
          <w:numId w:val="19"/>
        </w:numPr>
        <w:spacing w:line="400" w:lineRule="exact"/>
        <w:textAlignment w:val="auto"/>
        <w:rPr>
          <w:sz w:val="21"/>
          <w:szCs w:val="21"/>
        </w:rPr>
      </w:pPr>
      <w:r>
        <w:rPr>
          <w:rFonts w:hint="eastAsia"/>
          <w:sz w:val="21"/>
          <w:szCs w:val="21"/>
        </w:rPr>
        <w:t>联合体各方中至少应当有一方对应满足本项目规定的相应资质条件，并且联合体响应人整体应当符合本项目的资质要求，否则，其提交的联合响应将被拒绝。</w:t>
      </w:r>
    </w:p>
    <w:p>
      <w:pPr>
        <w:numPr>
          <w:ilvl w:val="0"/>
          <w:numId w:val="19"/>
        </w:numPr>
        <w:spacing w:line="400" w:lineRule="exact"/>
        <w:textAlignment w:val="auto"/>
        <w:rPr>
          <w:sz w:val="21"/>
          <w:szCs w:val="21"/>
        </w:rPr>
      </w:pPr>
      <w:r>
        <w:rPr>
          <w:rFonts w:hint="eastAsia"/>
          <w:sz w:val="21"/>
          <w:szCs w:val="21"/>
        </w:rPr>
        <w:t>联合体成交后，合同应由各成员的合法授权代表签字并加盖各成员公章，以便对联合体成员作为整体和他们各自作为独立体均具有法律约束力，但若该等签字及</w:t>
      </w:r>
      <w:r>
        <w:rPr>
          <w:sz w:val="21"/>
          <w:szCs w:val="21"/>
        </w:rPr>
        <w:t>/</w:t>
      </w:r>
      <w:r>
        <w:rPr>
          <w:rFonts w:hint="eastAsia"/>
          <w:sz w:val="21"/>
          <w:szCs w:val="21"/>
        </w:rPr>
        <w:t>或公章不齐全或缺乏，该联合体的牵头人的签署或类似的意思表示人具有代表该联合体的签署及</w:t>
      </w:r>
      <w:r>
        <w:rPr>
          <w:sz w:val="21"/>
          <w:szCs w:val="21"/>
        </w:rPr>
        <w:t>/</w:t>
      </w:r>
      <w:r>
        <w:rPr>
          <w:rFonts w:hint="eastAsia"/>
          <w:sz w:val="21"/>
          <w:szCs w:val="21"/>
        </w:rPr>
        <w:t>或意思表示的法律效力，并且据此各成员为履行合同应向采购人</w:t>
      </w:r>
      <w:r>
        <w:rPr>
          <w:sz w:val="21"/>
          <w:szCs w:val="21"/>
        </w:rPr>
        <w:t>/</w:t>
      </w:r>
      <w:r>
        <w:rPr>
          <w:rFonts w:hint="eastAsia"/>
          <w:sz w:val="21"/>
          <w:szCs w:val="21"/>
        </w:rPr>
        <w:t>采购人</w:t>
      </w:r>
      <w:r>
        <w:rPr>
          <w:sz w:val="21"/>
          <w:szCs w:val="21"/>
        </w:rPr>
        <w:t>/</w:t>
      </w:r>
      <w:r>
        <w:rPr>
          <w:rFonts w:hint="eastAsia"/>
          <w:sz w:val="21"/>
          <w:szCs w:val="21"/>
        </w:rPr>
        <w:t>任何相关第三方承担连带责任。</w:t>
      </w:r>
    </w:p>
    <w:p>
      <w:pPr>
        <w:numPr>
          <w:ilvl w:val="0"/>
          <w:numId w:val="19"/>
        </w:numPr>
        <w:spacing w:line="400" w:lineRule="exact"/>
        <w:textAlignment w:val="auto"/>
        <w:rPr>
          <w:sz w:val="21"/>
          <w:szCs w:val="21"/>
        </w:rPr>
      </w:pPr>
      <w:r>
        <w:rPr>
          <w:rFonts w:hint="eastAsia"/>
          <w:sz w:val="21"/>
          <w:szCs w:val="21"/>
        </w:rPr>
        <w:t>响应联合体及</w:t>
      </w:r>
      <w:r>
        <w:rPr>
          <w:sz w:val="21"/>
          <w:szCs w:val="21"/>
        </w:rPr>
        <w:t>/</w:t>
      </w:r>
      <w:r>
        <w:rPr>
          <w:rFonts w:hint="eastAsia"/>
          <w:sz w:val="21"/>
          <w:szCs w:val="21"/>
        </w:rPr>
        <w:t>或其成员通过协议、控股或分支机构或其它方式就供货及</w:t>
      </w:r>
      <w:r>
        <w:rPr>
          <w:sz w:val="21"/>
          <w:szCs w:val="21"/>
        </w:rPr>
        <w:t>/</w:t>
      </w:r>
      <w:r>
        <w:rPr>
          <w:rFonts w:hint="eastAsia"/>
          <w:sz w:val="21"/>
          <w:szCs w:val="21"/>
        </w:rPr>
        <w:t>或服务等与任何独立或非独立的他方构成联合、分属或其它关系、相关责任义务等，均由响应联合体及</w:t>
      </w:r>
      <w:r>
        <w:rPr>
          <w:sz w:val="21"/>
          <w:szCs w:val="21"/>
        </w:rPr>
        <w:t>/</w:t>
      </w:r>
      <w:r>
        <w:rPr>
          <w:rFonts w:hint="eastAsia"/>
          <w:sz w:val="21"/>
          <w:szCs w:val="21"/>
        </w:rPr>
        <w:t>或其成员与该他方自行协商约定，响应联合体及</w:t>
      </w:r>
      <w:r>
        <w:rPr>
          <w:sz w:val="21"/>
          <w:szCs w:val="21"/>
        </w:rPr>
        <w:t>/</w:t>
      </w:r>
      <w:r>
        <w:rPr>
          <w:rFonts w:hint="eastAsia"/>
          <w:sz w:val="21"/>
          <w:szCs w:val="21"/>
        </w:rPr>
        <w:t>或其成员与该他方之间的约定均仅属于其间分担权利义务与责任的办法，对采购人</w:t>
      </w:r>
      <w:r>
        <w:rPr>
          <w:sz w:val="21"/>
          <w:szCs w:val="21"/>
        </w:rPr>
        <w:t>/</w:t>
      </w:r>
      <w:r>
        <w:rPr>
          <w:rFonts w:hint="eastAsia"/>
          <w:sz w:val="21"/>
          <w:szCs w:val="21"/>
        </w:rPr>
        <w:t>采购人</w:t>
      </w:r>
      <w:r>
        <w:rPr>
          <w:sz w:val="21"/>
          <w:szCs w:val="21"/>
        </w:rPr>
        <w:t>/</w:t>
      </w:r>
      <w:r>
        <w:rPr>
          <w:rFonts w:hint="eastAsia"/>
          <w:sz w:val="21"/>
          <w:szCs w:val="21"/>
        </w:rPr>
        <w:t>相关第三方均不具有任何约束或效力，且一旦发生与本磋商、响应、协议及其履行相关的责任，均仅应由响应联合体及</w:t>
      </w:r>
      <w:r>
        <w:rPr>
          <w:sz w:val="21"/>
          <w:szCs w:val="21"/>
        </w:rPr>
        <w:t>/</w:t>
      </w:r>
      <w:r>
        <w:rPr>
          <w:rFonts w:hint="eastAsia"/>
          <w:sz w:val="21"/>
          <w:szCs w:val="21"/>
        </w:rPr>
        <w:t>或其成员与该他方各自或承担连带责任，而响应联合体及</w:t>
      </w:r>
      <w:r>
        <w:rPr>
          <w:sz w:val="21"/>
          <w:szCs w:val="21"/>
        </w:rPr>
        <w:t>/</w:t>
      </w:r>
      <w:r>
        <w:rPr>
          <w:rFonts w:hint="eastAsia"/>
          <w:sz w:val="21"/>
          <w:szCs w:val="21"/>
        </w:rPr>
        <w:t>或其成员依据本次磋商、响应原所应承担的对采购人</w:t>
      </w:r>
      <w:r>
        <w:rPr>
          <w:sz w:val="21"/>
          <w:szCs w:val="21"/>
        </w:rPr>
        <w:t>/</w:t>
      </w:r>
      <w:r>
        <w:rPr>
          <w:rFonts w:hint="eastAsia"/>
          <w:sz w:val="21"/>
          <w:szCs w:val="21"/>
        </w:rPr>
        <w:t>采购人</w:t>
      </w:r>
      <w:r>
        <w:rPr>
          <w:sz w:val="21"/>
          <w:szCs w:val="21"/>
        </w:rPr>
        <w:t>/</w:t>
      </w:r>
      <w:r>
        <w:rPr>
          <w:rFonts w:hint="eastAsia"/>
          <w:sz w:val="21"/>
          <w:szCs w:val="21"/>
        </w:rPr>
        <w:t>相关第三方的责任均并不因此被减、免。</w:t>
      </w:r>
    </w:p>
    <w:p>
      <w:pPr>
        <w:numPr>
          <w:ilvl w:val="0"/>
          <w:numId w:val="19"/>
        </w:numPr>
        <w:spacing w:line="400" w:lineRule="exact"/>
        <w:textAlignment w:val="auto"/>
        <w:rPr>
          <w:sz w:val="21"/>
          <w:szCs w:val="21"/>
        </w:rPr>
      </w:pPr>
      <w:r>
        <w:rPr>
          <w:rFonts w:hint="eastAsia"/>
          <w:sz w:val="21"/>
          <w:szCs w:val="21"/>
        </w:rPr>
        <w:t>联合体及</w:t>
      </w:r>
      <w:r>
        <w:rPr>
          <w:sz w:val="21"/>
          <w:szCs w:val="21"/>
        </w:rPr>
        <w:t>/</w:t>
      </w:r>
      <w:r>
        <w:rPr>
          <w:rFonts w:hint="eastAsia"/>
          <w:sz w:val="21"/>
          <w:szCs w:val="21"/>
        </w:rPr>
        <w:t>或其成员未经采购人事先书面同意，不得将其在合同项下的权利及</w:t>
      </w:r>
      <w:r>
        <w:rPr>
          <w:sz w:val="21"/>
          <w:szCs w:val="21"/>
        </w:rPr>
        <w:t>/</w:t>
      </w:r>
      <w:r>
        <w:rPr>
          <w:rFonts w:hint="eastAsia"/>
          <w:sz w:val="21"/>
          <w:szCs w:val="21"/>
        </w:rPr>
        <w:t>或义务全部或部分转让给第三人，有关分包事项或服务委托等须事先取得采购人书面同意并且须遵守相关法律、法规、本次磋商的全部相关规定。</w:t>
      </w:r>
    </w:p>
    <w:p>
      <w:pPr>
        <w:numPr>
          <w:ilvl w:val="0"/>
          <w:numId w:val="19"/>
        </w:numPr>
        <w:spacing w:line="400" w:lineRule="exact"/>
        <w:textAlignment w:val="auto"/>
        <w:rPr>
          <w:sz w:val="21"/>
          <w:szCs w:val="21"/>
        </w:rPr>
      </w:pPr>
      <w:r>
        <w:rPr>
          <w:rFonts w:hint="eastAsia"/>
          <w:sz w:val="21"/>
          <w:szCs w:val="21"/>
        </w:rPr>
        <w:t>联合体各方均不得同时再以自己独立的名义单独响应，也不得再同时参加其他的联合体响应。若该等情形被发现，其单独的响应和与此有关的联合体的响应均将被一并拒绝。</w:t>
      </w:r>
    </w:p>
    <w:p>
      <w:pPr>
        <w:pStyle w:val="91"/>
        <w:rPr>
          <w:rFonts w:ascii="Times New Roman" w:hAnsi="Times New Roman"/>
        </w:rPr>
      </w:pPr>
      <w:r>
        <w:rPr>
          <w:rFonts w:hint="eastAsia" w:ascii="Times New Roman" w:hAnsi="Times New Roman"/>
        </w:rPr>
        <w:t>如响应人代表不是法定代表人，须持有《法定代表人授权委托书》（按磋商文件格式填写）。</w:t>
      </w:r>
    </w:p>
    <w:p>
      <w:pPr>
        <w:pStyle w:val="45"/>
        <w:numPr>
          <w:ilvl w:val="0"/>
          <w:numId w:val="4"/>
        </w:numPr>
        <w:tabs>
          <w:tab w:val="clear" w:pos="709"/>
        </w:tabs>
        <w:adjustRightInd/>
        <w:spacing w:before="120" w:after="120" w:line="377" w:lineRule="auto"/>
        <w:ind w:left="425" w:hanging="425"/>
        <w:jc w:val="both"/>
        <w:textAlignment w:val="auto"/>
        <w:rPr>
          <w:rFonts w:ascii="Times New Roman" w:hAnsi="Times New Roman" w:eastAsia="宋体"/>
          <w:kern w:val="2"/>
          <w:sz w:val="24"/>
        </w:rPr>
      </w:pPr>
      <w:r>
        <w:rPr>
          <w:rFonts w:hint="eastAsia" w:ascii="Times New Roman" w:hAnsi="Times New Roman" w:eastAsia="宋体"/>
          <w:kern w:val="2"/>
          <w:sz w:val="24"/>
        </w:rPr>
        <w:t>响应费用</w:t>
      </w:r>
    </w:p>
    <w:p>
      <w:pPr>
        <w:pStyle w:val="91"/>
        <w:rPr>
          <w:rFonts w:ascii="Times New Roman" w:hAnsi="Times New Roman"/>
        </w:rPr>
      </w:pPr>
      <w:r>
        <w:rPr>
          <w:rFonts w:hint="eastAsia" w:ascii="Times New Roman" w:hAnsi="Times New Roman"/>
        </w:rPr>
        <w:t>响应人应承担所有与准备和参加响应有关的费用，采购人在任何情况下均无义务和责任承担这些费用。</w:t>
      </w:r>
    </w:p>
    <w:p>
      <w:pPr>
        <w:pStyle w:val="70"/>
        <w:numPr>
          <w:ilvl w:val="0"/>
          <w:numId w:val="0"/>
        </w:numPr>
        <w:tabs>
          <w:tab w:val="left" w:pos="420"/>
        </w:tabs>
        <w:spacing w:line="400" w:lineRule="exact"/>
        <w:ind w:firstLine="420" w:firstLineChars="200"/>
        <w:rPr>
          <w:rFonts w:ascii="Times New Roman" w:hAnsi="Times New Roman"/>
        </w:rPr>
      </w:pPr>
    </w:p>
    <w:p>
      <w:pPr>
        <w:pStyle w:val="45"/>
        <w:numPr>
          <w:ilvl w:val="0"/>
          <w:numId w:val="4"/>
        </w:numPr>
        <w:tabs>
          <w:tab w:val="clear" w:pos="709"/>
        </w:tabs>
        <w:adjustRightInd/>
        <w:spacing w:before="120" w:after="120" w:line="377" w:lineRule="auto"/>
        <w:ind w:left="425" w:hanging="425"/>
        <w:jc w:val="both"/>
        <w:textAlignment w:val="auto"/>
        <w:rPr>
          <w:rFonts w:ascii="Times New Roman" w:hAnsi="Times New Roman" w:eastAsia="宋体"/>
          <w:kern w:val="2"/>
          <w:sz w:val="24"/>
        </w:rPr>
      </w:pPr>
      <w:r>
        <w:rPr>
          <w:rFonts w:hint="eastAsia" w:ascii="Times New Roman" w:hAnsi="Times New Roman" w:eastAsia="宋体"/>
          <w:kern w:val="2"/>
          <w:sz w:val="24"/>
        </w:rPr>
        <w:t>通知</w:t>
      </w:r>
    </w:p>
    <w:p>
      <w:pPr>
        <w:pStyle w:val="91"/>
        <w:rPr>
          <w:rFonts w:ascii="Times New Roman" w:hAnsi="Times New Roman"/>
        </w:rPr>
      </w:pPr>
      <w:r>
        <w:rPr>
          <w:rFonts w:hint="eastAsia" w:ascii="Times New Roman" w:hAnsi="Times New Roman"/>
        </w:rPr>
        <w:t>对与本项目有关的通知，将以书面（包括书面材料、信函、传真等，下同）、短信或在本次磋商公告刊登的媒体上发布公告的形式，向潜在响应人发出，传真和手机号码以潜在响应人的登记为准。收到通知的响应人应以书面方式立即予以回复确认，但响应人未回复或采购人未收到回复时，并不应当被理解为采购人知道、应当知道或不应当被理解为采购人应当推定响应人是否收到通知。因登记有误、传真线路故障或其它任何意外情形，导致所发出的通知延迟送达或无法到达响应人，除非有适当的证据表明采购人已经明知该项应当通知的事项并未实际有效到达且采购人认为仍有条件和必要及时地再次补发通知而故意拖延或不予补发通知，采购人不因此承担任何责任，有关的磋商活动可以继续有效地进行。</w:t>
      </w:r>
    </w:p>
    <w:p>
      <w:pPr>
        <w:pStyle w:val="44"/>
        <w:numPr>
          <w:ilvl w:val="0"/>
          <w:numId w:val="15"/>
        </w:numPr>
        <w:adjustRightInd/>
        <w:spacing w:line="415" w:lineRule="auto"/>
        <w:jc w:val="both"/>
        <w:textAlignment w:val="auto"/>
        <w:rPr>
          <w:kern w:val="2"/>
        </w:rPr>
      </w:pPr>
      <w:bookmarkStart w:id="59" w:name="_Toc486583475"/>
      <w:r>
        <w:rPr>
          <w:rFonts w:hint="eastAsia"/>
          <w:kern w:val="2"/>
        </w:rPr>
        <w:t>磋商文件</w:t>
      </w:r>
      <w:bookmarkEnd w:id="59"/>
    </w:p>
    <w:p>
      <w:pPr>
        <w:pStyle w:val="45"/>
        <w:numPr>
          <w:ilvl w:val="0"/>
          <w:numId w:val="20"/>
        </w:numPr>
        <w:adjustRightInd/>
        <w:spacing w:before="120" w:after="120" w:line="377" w:lineRule="auto"/>
        <w:ind w:left="425" w:hanging="425"/>
        <w:jc w:val="both"/>
        <w:textAlignment w:val="auto"/>
        <w:rPr>
          <w:rFonts w:ascii="Times New Roman" w:hAnsi="Times New Roman" w:eastAsia="宋体"/>
          <w:kern w:val="2"/>
          <w:sz w:val="24"/>
        </w:rPr>
      </w:pPr>
      <w:r>
        <w:rPr>
          <w:rFonts w:hint="eastAsia" w:ascii="Times New Roman" w:hAnsi="Times New Roman" w:eastAsia="宋体"/>
          <w:kern w:val="2"/>
          <w:sz w:val="24"/>
        </w:rPr>
        <w:t>磋商文件</w:t>
      </w:r>
    </w:p>
    <w:p>
      <w:pPr>
        <w:pStyle w:val="91"/>
        <w:rPr>
          <w:rFonts w:ascii="Times New Roman" w:hAnsi="Times New Roman"/>
        </w:rPr>
      </w:pPr>
      <w:r>
        <w:rPr>
          <w:rFonts w:hint="eastAsia" w:ascii="Times New Roman" w:hAnsi="Times New Roman"/>
        </w:rPr>
        <w:t>磋商文件由下列六部分内容组成：</w:t>
      </w:r>
    </w:p>
    <w:p>
      <w:pPr>
        <w:pStyle w:val="91"/>
        <w:rPr>
          <w:rFonts w:ascii="Times New Roman" w:hAnsi="Times New Roman"/>
        </w:rPr>
      </w:pPr>
      <w:r>
        <w:rPr>
          <w:rFonts w:hint="eastAsia" w:ascii="Times New Roman" w:hAnsi="Times New Roman"/>
        </w:rPr>
        <w:t>第一部分</w:t>
      </w:r>
      <w:r>
        <w:rPr>
          <w:rFonts w:ascii="Times New Roman" w:hAnsi="Times New Roman"/>
        </w:rPr>
        <w:t xml:space="preserve">  </w:t>
      </w:r>
      <w:r>
        <w:rPr>
          <w:rFonts w:hint="eastAsia"/>
        </w:rPr>
        <w:fldChar w:fldCharType="begin"/>
      </w:r>
      <w:r>
        <w:instrText xml:space="preserve"> REF 响应邀请 \h  \* MERGEFORMAT </w:instrText>
      </w:r>
      <w:r>
        <w:rPr>
          <w:rFonts w:hint="eastAsia"/>
        </w:rPr>
        <w:fldChar w:fldCharType="separate"/>
      </w:r>
      <w:r>
        <w:rPr>
          <w:rFonts w:hint="eastAsia" w:ascii="Times New Roman" w:hAnsi="Times New Roman"/>
        </w:rPr>
        <w:t>响应邀请</w:t>
      </w:r>
      <w:r>
        <w:rPr>
          <w:rFonts w:hint="eastAsia" w:ascii="Times New Roman" w:hAnsi="Times New Roman"/>
        </w:rPr>
        <w:fldChar w:fldCharType="end"/>
      </w:r>
      <w:r>
        <w:rPr>
          <w:rFonts w:hint="eastAsia" w:ascii="Times New Roman" w:hAnsi="Times New Roman"/>
        </w:rPr>
        <w:t>；</w:t>
      </w:r>
    </w:p>
    <w:p>
      <w:pPr>
        <w:pStyle w:val="91"/>
        <w:rPr>
          <w:rFonts w:ascii="Times New Roman" w:hAnsi="Times New Roman"/>
        </w:rPr>
      </w:pPr>
      <w:r>
        <w:rPr>
          <w:rFonts w:hint="eastAsia" w:ascii="Times New Roman" w:hAnsi="Times New Roman"/>
        </w:rPr>
        <w:t>第二部分</w:t>
      </w:r>
      <w:r>
        <w:rPr>
          <w:rFonts w:ascii="Times New Roman" w:hAnsi="Times New Roman"/>
        </w:rPr>
        <w:t xml:space="preserve">  </w:t>
      </w:r>
      <w:r>
        <w:fldChar w:fldCharType="begin"/>
      </w:r>
      <w:r>
        <w:instrText xml:space="preserve"> REF 响应人须知前附表 \h  \* MERGEFORMAT </w:instrText>
      </w:r>
      <w:r>
        <w:fldChar w:fldCharType="separate"/>
      </w:r>
      <w:r>
        <w:rPr>
          <w:rFonts w:hint="eastAsia" w:ascii="Times New Roman" w:hAnsi="Times New Roman"/>
        </w:rPr>
        <w:t>响应人须知前附表</w:t>
      </w:r>
      <w:r>
        <w:fldChar w:fldCharType="end"/>
      </w:r>
      <w:r>
        <w:rPr>
          <w:rFonts w:hint="eastAsia" w:ascii="Times New Roman" w:hAnsi="Times New Roman"/>
        </w:rPr>
        <w:t>；</w:t>
      </w:r>
    </w:p>
    <w:p>
      <w:pPr>
        <w:pStyle w:val="91"/>
        <w:rPr>
          <w:rFonts w:ascii="Times New Roman" w:hAnsi="Times New Roman"/>
        </w:rPr>
      </w:pPr>
      <w:r>
        <w:rPr>
          <w:rFonts w:hint="eastAsia" w:ascii="Times New Roman" w:hAnsi="Times New Roman"/>
        </w:rPr>
        <w:t>第三部分</w:t>
      </w:r>
      <w:r>
        <w:rPr>
          <w:rFonts w:ascii="Times New Roman" w:hAnsi="Times New Roman"/>
        </w:rPr>
        <w:t xml:space="preserve">  </w:t>
      </w:r>
      <w:r>
        <w:fldChar w:fldCharType="begin"/>
      </w:r>
      <w:r>
        <w:instrText xml:space="preserve"> REF 响应人须知 \h  \* MERGEFORMAT </w:instrText>
      </w:r>
      <w:r>
        <w:fldChar w:fldCharType="separate"/>
      </w:r>
      <w:r>
        <w:rPr>
          <w:rFonts w:hint="eastAsia" w:ascii="Times New Roman" w:hAnsi="Times New Roman"/>
        </w:rPr>
        <w:t>响应人须知</w:t>
      </w:r>
      <w:r>
        <w:fldChar w:fldCharType="end"/>
      </w:r>
      <w:r>
        <w:rPr>
          <w:rFonts w:hint="eastAsia" w:ascii="Times New Roman" w:hAnsi="Times New Roman"/>
        </w:rPr>
        <w:t>；</w:t>
      </w:r>
    </w:p>
    <w:p>
      <w:pPr>
        <w:pStyle w:val="91"/>
        <w:rPr>
          <w:rFonts w:ascii="Times New Roman" w:hAnsi="Times New Roman"/>
        </w:rPr>
      </w:pPr>
      <w:r>
        <w:rPr>
          <w:rFonts w:hint="eastAsia" w:ascii="Times New Roman" w:hAnsi="Times New Roman"/>
        </w:rPr>
        <w:t>第四部分</w:t>
      </w:r>
      <w:r>
        <w:rPr>
          <w:rFonts w:ascii="Times New Roman" w:hAnsi="Times New Roman"/>
        </w:rPr>
        <w:t xml:space="preserve">  </w:t>
      </w:r>
      <w:r>
        <w:fldChar w:fldCharType="begin"/>
      </w:r>
      <w:r>
        <w:instrText xml:space="preserve"> REF 评标标准和评标办法 \h  \* MERGEFORMAT </w:instrText>
      </w:r>
      <w:r>
        <w:fldChar w:fldCharType="separate"/>
      </w:r>
      <w:r>
        <w:rPr>
          <w:rFonts w:hint="eastAsia" w:ascii="Times New Roman" w:hAnsi="Times New Roman"/>
        </w:rPr>
        <w:t>评标标准和评标办法</w:t>
      </w:r>
      <w:r>
        <w:fldChar w:fldCharType="end"/>
      </w:r>
      <w:r>
        <w:rPr>
          <w:rFonts w:hint="eastAsia" w:ascii="Times New Roman" w:hAnsi="Times New Roman"/>
        </w:rPr>
        <w:t>；</w:t>
      </w:r>
    </w:p>
    <w:p>
      <w:pPr>
        <w:pStyle w:val="91"/>
        <w:rPr>
          <w:rFonts w:ascii="Times New Roman" w:hAnsi="Times New Roman"/>
        </w:rPr>
      </w:pPr>
      <w:r>
        <w:rPr>
          <w:rFonts w:hint="eastAsia" w:ascii="Times New Roman" w:hAnsi="Times New Roman"/>
        </w:rPr>
        <w:t>第五部分</w:t>
      </w:r>
      <w:r>
        <w:rPr>
          <w:rFonts w:ascii="Times New Roman" w:hAnsi="Times New Roman"/>
        </w:rPr>
        <w:t xml:space="preserve">  </w:t>
      </w:r>
      <w:r>
        <w:fldChar w:fldCharType="begin"/>
      </w:r>
      <w:r>
        <w:instrText xml:space="preserve"> REF 磋商服务具体需求 \h  \* MERGEFORMAT </w:instrText>
      </w:r>
      <w:r>
        <w:fldChar w:fldCharType="separate"/>
      </w:r>
      <w:r>
        <w:rPr>
          <w:rFonts w:hint="eastAsia" w:ascii="Times New Roman" w:hAnsi="Times New Roman"/>
        </w:rPr>
        <w:t>磋商货物、服务的具体需求</w:t>
      </w:r>
      <w:r>
        <w:fldChar w:fldCharType="end"/>
      </w:r>
      <w:r>
        <w:rPr>
          <w:rFonts w:hint="eastAsia" w:ascii="Times New Roman" w:hAnsi="Times New Roman"/>
        </w:rPr>
        <w:t>；</w:t>
      </w:r>
    </w:p>
    <w:p>
      <w:pPr>
        <w:pStyle w:val="91"/>
        <w:rPr>
          <w:rFonts w:ascii="Times New Roman" w:hAnsi="Times New Roman"/>
          <w:szCs w:val="21"/>
        </w:rPr>
      </w:pPr>
      <w:r>
        <w:rPr>
          <w:rFonts w:hint="eastAsia" w:ascii="Times New Roman" w:hAnsi="Times New Roman"/>
        </w:rPr>
        <w:t>第六部分</w:t>
      </w:r>
      <w:r>
        <w:rPr>
          <w:rFonts w:ascii="Times New Roman" w:hAnsi="Times New Roman"/>
        </w:rPr>
        <w:t xml:space="preserve">  </w:t>
      </w:r>
      <w:r>
        <w:fldChar w:fldCharType="begin"/>
      </w:r>
      <w:r>
        <w:instrText xml:space="preserve"> REF 响应文件格式 \h  \* MERGEFORMAT </w:instrText>
      </w:r>
      <w:r>
        <w:fldChar w:fldCharType="separate"/>
      </w:r>
      <w:r>
        <w:rPr>
          <w:rFonts w:hint="eastAsia" w:ascii="Times New Roman" w:hAnsi="Times New Roman"/>
        </w:rPr>
        <w:t>响应文件格式</w:t>
      </w:r>
      <w:r>
        <w:fldChar w:fldCharType="end"/>
      </w:r>
      <w:r>
        <w:rPr>
          <w:rFonts w:hint="eastAsia" w:ascii="Times New Roman" w:hAnsi="Times New Roman"/>
        </w:rPr>
        <w:t>；</w:t>
      </w:r>
    </w:p>
    <w:p>
      <w:pPr>
        <w:pStyle w:val="45"/>
        <w:numPr>
          <w:ilvl w:val="0"/>
          <w:numId w:val="20"/>
        </w:numPr>
        <w:adjustRightInd/>
        <w:spacing w:before="120" w:after="120" w:line="377" w:lineRule="auto"/>
        <w:ind w:left="425" w:hanging="425"/>
        <w:jc w:val="both"/>
        <w:textAlignment w:val="auto"/>
        <w:rPr>
          <w:rFonts w:ascii="Times New Roman" w:hAnsi="Times New Roman" w:eastAsia="宋体"/>
          <w:kern w:val="2"/>
          <w:sz w:val="24"/>
        </w:rPr>
      </w:pPr>
      <w:r>
        <w:rPr>
          <w:rFonts w:hint="eastAsia" w:ascii="Times New Roman" w:hAnsi="Times New Roman" w:eastAsia="宋体"/>
          <w:kern w:val="2"/>
          <w:sz w:val="24"/>
        </w:rPr>
        <w:t>响应前磋商文件的澄清和修改</w:t>
      </w:r>
    </w:p>
    <w:p>
      <w:pPr>
        <w:pStyle w:val="91"/>
        <w:rPr>
          <w:rFonts w:ascii="Times New Roman" w:hAnsi="Times New Roman"/>
        </w:rPr>
      </w:pPr>
      <w:r>
        <w:rPr>
          <w:rFonts w:hint="eastAsia" w:ascii="Times New Roman" w:hAnsi="Times New Roman"/>
        </w:rPr>
        <w:t>响应人的澄清、修改等要求的提交：任何下载或领取磋商文件的潜在响应人，均可要求对磋商文件进行澄清及或修改，并可以要求就货物安装使用环境的现场进行踏勘，该要求应在响应截止期</w:t>
      </w:r>
      <w:r>
        <w:rPr>
          <w:rFonts w:ascii="Times New Roman" w:hAnsi="Times New Roman"/>
        </w:rPr>
        <w:t>5</w:t>
      </w:r>
      <w:r>
        <w:rPr>
          <w:rFonts w:hint="eastAsia" w:ascii="Times New Roman" w:hAnsi="Times New Roman"/>
        </w:rPr>
        <w:t>日前，按响应邀请书中的联系地址以书面形式送达采购人。</w:t>
      </w:r>
    </w:p>
    <w:p>
      <w:pPr>
        <w:pStyle w:val="91"/>
        <w:rPr>
          <w:rFonts w:ascii="Times New Roman" w:hAnsi="Times New Roman"/>
        </w:rPr>
      </w:pPr>
      <w:r>
        <w:rPr>
          <w:rFonts w:hint="eastAsia" w:ascii="Times New Roman" w:hAnsi="Times New Roman"/>
        </w:rPr>
        <w:t>磋商文件在公告之前已经在相关媒体</w:t>
      </w:r>
      <w:r>
        <w:rPr>
          <w:rFonts w:ascii="Times New Roman" w:hAnsi="Times New Roman"/>
        </w:rPr>
        <w:t>/</w:t>
      </w:r>
      <w:r>
        <w:rPr>
          <w:rFonts w:hint="eastAsia" w:ascii="Times New Roman" w:hAnsi="Times New Roman"/>
        </w:rPr>
        <w:t>网站发布公告公开征求过意见的或进行过论证的，采购人可以不再接受已经征求过意见或论证的商务或技术部分响应人提出的相关澄清、修改要求。</w:t>
      </w:r>
    </w:p>
    <w:p>
      <w:pPr>
        <w:pStyle w:val="91"/>
        <w:rPr>
          <w:rFonts w:ascii="Times New Roman" w:hAnsi="Times New Roman"/>
        </w:rPr>
      </w:pPr>
      <w:r>
        <w:rPr>
          <w:rFonts w:hint="eastAsia" w:ascii="Times New Roman" w:hAnsi="Times New Roman"/>
        </w:rPr>
        <w:t>采购人将视情况确定是否有必要安排所有已下载磋商文件的响应人踏勘现场，而无论采购人是否安排踏勘现场，响应人均应当将相关的因素作为响应所应当考虑或依据的因素，若采购人并未统一安排踏勘现场，响应人在遵守所有相关法律的情况下可以自行踏勘现场。</w:t>
      </w:r>
    </w:p>
    <w:p>
      <w:pPr>
        <w:pStyle w:val="91"/>
        <w:rPr>
          <w:rFonts w:ascii="Times New Roman" w:hAnsi="Times New Roman"/>
        </w:rPr>
      </w:pPr>
      <w:r>
        <w:rPr>
          <w:rFonts w:hint="eastAsia" w:ascii="Times New Roman" w:hAnsi="Times New Roman"/>
        </w:rPr>
        <w:t>采购人对澄清、修改要求的处理：采购人对其认为不必要进行澄清及</w:t>
      </w:r>
      <w:r>
        <w:rPr>
          <w:rFonts w:ascii="Times New Roman" w:hAnsi="Times New Roman"/>
        </w:rPr>
        <w:t>/</w:t>
      </w:r>
      <w:r>
        <w:rPr>
          <w:rFonts w:hint="eastAsia" w:ascii="Times New Roman" w:hAnsi="Times New Roman"/>
        </w:rPr>
        <w:t>或修改，也不需要进行其它答复的，可以不予答复。若采购人决定给予澄清、修改及</w:t>
      </w:r>
      <w:r>
        <w:rPr>
          <w:rFonts w:ascii="Times New Roman" w:hAnsi="Times New Roman"/>
        </w:rPr>
        <w:t>/</w:t>
      </w:r>
      <w:r>
        <w:rPr>
          <w:rFonts w:hint="eastAsia" w:ascii="Times New Roman" w:hAnsi="Times New Roman"/>
        </w:rPr>
        <w:t>或进行其它答复的，应当用补充文件的方式进行，且应当以当面交接、邮寄、传真或电子邮件、网站披露等其中至少一种方式，统一向全体，或分别或向每一位（但不可以只向其中一部分）潜在响应人发出澄清、修改及</w:t>
      </w:r>
      <w:r>
        <w:rPr>
          <w:rFonts w:ascii="Times New Roman" w:hAnsi="Times New Roman"/>
        </w:rPr>
        <w:t>/</w:t>
      </w:r>
      <w:r>
        <w:rPr>
          <w:rFonts w:hint="eastAsia" w:ascii="Times New Roman" w:hAnsi="Times New Roman"/>
        </w:rPr>
        <w:t>或进行其它答复的补充文件，补充文件中可以包括原提出的问题，但不包括问题的来源。</w:t>
      </w:r>
    </w:p>
    <w:p>
      <w:pPr>
        <w:pStyle w:val="91"/>
        <w:rPr>
          <w:rFonts w:ascii="Times New Roman" w:hAnsi="Times New Roman"/>
        </w:rPr>
      </w:pPr>
      <w:r>
        <w:rPr>
          <w:rFonts w:hint="eastAsia" w:ascii="Times New Roman" w:hAnsi="Times New Roman"/>
        </w:rPr>
        <w:t>采购人主动进行的澄清、修改：采购人无论出于何种原因，均可主动对磋商文件中的相关事项，用补充文件的方式进行澄清和修改。</w:t>
      </w:r>
    </w:p>
    <w:p>
      <w:pPr>
        <w:pStyle w:val="91"/>
        <w:rPr>
          <w:rFonts w:ascii="Times New Roman" w:hAnsi="Times New Roman"/>
        </w:rPr>
      </w:pPr>
      <w:r>
        <w:rPr>
          <w:rFonts w:hint="eastAsia" w:ascii="Times New Roman" w:hAnsi="Times New Roman"/>
        </w:rPr>
        <w:t>补充文件的发出时间、响应截止日的变更：在磋商采购的情形下，自澄清、修改及</w:t>
      </w:r>
      <w:r>
        <w:rPr>
          <w:rFonts w:ascii="Times New Roman" w:hAnsi="Times New Roman"/>
        </w:rPr>
        <w:t>/</w:t>
      </w:r>
      <w:r>
        <w:rPr>
          <w:rFonts w:hint="eastAsia" w:ascii="Times New Roman" w:hAnsi="Times New Roman"/>
        </w:rPr>
        <w:t>或进行其它答复的补充文件发出之日起至所规定的响应人提交响应文件截止之日止，不得少于五日，需要为此调整响应文件提交截止日的，应当重新确定，并就变更后的响应截止日重新发出通知。</w:t>
      </w:r>
    </w:p>
    <w:p>
      <w:pPr>
        <w:pStyle w:val="91"/>
        <w:rPr>
          <w:rFonts w:ascii="Times New Roman" w:hAnsi="Times New Roman"/>
        </w:rPr>
      </w:pPr>
      <w:r>
        <w:rPr>
          <w:rFonts w:hint="eastAsia" w:ascii="Times New Roman" w:hAnsi="Times New Roman"/>
        </w:rPr>
        <w:t>采购人澄清、修改、其它答复的效力：无论是否根据潜在响应人的澄清、修改及</w:t>
      </w:r>
      <w:r>
        <w:rPr>
          <w:rFonts w:ascii="Times New Roman" w:hAnsi="Times New Roman"/>
        </w:rPr>
        <w:t>/</w:t>
      </w:r>
      <w:r>
        <w:rPr>
          <w:rFonts w:hint="eastAsia" w:ascii="Times New Roman" w:hAnsi="Times New Roman"/>
        </w:rPr>
        <w:t>或进行其它答复的要求，采购人一旦对磋商文件作出了澄清、修改及</w:t>
      </w:r>
      <w:r>
        <w:rPr>
          <w:rFonts w:ascii="Times New Roman" w:hAnsi="Times New Roman"/>
        </w:rPr>
        <w:t>/</w:t>
      </w:r>
      <w:r>
        <w:rPr>
          <w:rFonts w:hint="eastAsia" w:ascii="Times New Roman" w:hAnsi="Times New Roman"/>
        </w:rPr>
        <w:t>或进行其它答复，即刻发生效力，采购人有关的补充文件，应当作为磋商文件的组成部分，对所有现实的或潜在的响应人均具有约束力，而无论是否已经实际收到该澄清和修改文件。同时，采购人和响应人的权利及义务将受到新的截止期的约束。</w:t>
      </w:r>
    </w:p>
    <w:p>
      <w:pPr>
        <w:pStyle w:val="44"/>
        <w:numPr>
          <w:ilvl w:val="0"/>
          <w:numId w:val="15"/>
        </w:numPr>
        <w:adjustRightInd/>
        <w:spacing w:line="415" w:lineRule="auto"/>
        <w:jc w:val="both"/>
        <w:textAlignment w:val="auto"/>
        <w:rPr>
          <w:kern w:val="2"/>
        </w:rPr>
      </w:pPr>
      <w:bookmarkStart w:id="60" w:name="_Toc486583476"/>
      <w:r>
        <w:rPr>
          <w:rFonts w:hint="eastAsia"/>
          <w:kern w:val="2"/>
        </w:rPr>
        <w:t>响应文件</w:t>
      </w:r>
      <w:bookmarkEnd w:id="60"/>
      <w:r>
        <w:rPr>
          <w:kern w:val="2"/>
        </w:rPr>
        <w:t xml:space="preserve">     </w:t>
      </w:r>
    </w:p>
    <w:p>
      <w:pPr>
        <w:pStyle w:val="45"/>
        <w:numPr>
          <w:ilvl w:val="0"/>
          <w:numId w:val="21"/>
        </w:numPr>
        <w:adjustRightInd/>
        <w:spacing w:before="120" w:after="120" w:line="377" w:lineRule="auto"/>
        <w:ind w:left="420"/>
        <w:jc w:val="both"/>
        <w:textAlignment w:val="auto"/>
        <w:rPr>
          <w:rFonts w:ascii="Times New Roman" w:hAnsi="Times New Roman" w:eastAsia="宋体"/>
          <w:kern w:val="2"/>
          <w:sz w:val="24"/>
        </w:rPr>
      </w:pPr>
      <w:r>
        <w:rPr>
          <w:rFonts w:hint="eastAsia" w:ascii="Times New Roman" w:hAnsi="Times New Roman" w:eastAsia="宋体"/>
          <w:kern w:val="2"/>
          <w:sz w:val="24"/>
        </w:rPr>
        <w:t>响应文件的语言和计量单位</w:t>
      </w:r>
    </w:p>
    <w:p>
      <w:pPr>
        <w:pStyle w:val="91"/>
        <w:rPr>
          <w:rFonts w:ascii="Times New Roman" w:hAnsi="Times New Roman"/>
        </w:rPr>
      </w:pPr>
      <w:r>
        <w:rPr>
          <w:rFonts w:hint="eastAsia" w:ascii="Times New Roman" w:hAnsi="Times New Roman"/>
        </w:rPr>
        <w:t>响应人提交的响应文件以及响应人与采购人就有关响应的所有来往函电应使用中文简体字。</w:t>
      </w:r>
    </w:p>
    <w:p>
      <w:pPr>
        <w:pStyle w:val="91"/>
        <w:rPr>
          <w:rFonts w:ascii="Times New Roman" w:hAnsi="Times New Roman"/>
        </w:rPr>
      </w:pPr>
      <w:r>
        <w:rPr>
          <w:rFonts w:hint="eastAsia" w:ascii="Times New Roman" w:hAnsi="Times New Roman"/>
        </w:rPr>
        <w:t>响应人提交的证书类和相关授权等外文文件，以及外国公司的名称与签章等可以是外文。其中，相关授权文件是外文的。必要时磋商小组可以要求响应人提供附有公证书的中文翻译文件或者与原版文件签章相一致的中文翻译文件及其他相关证明文件。</w:t>
      </w:r>
    </w:p>
    <w:p>
      <w:pPr>
        <w:pStyle w:val="91"/>
        <w:rPr>
          <w:rFonts w:ascii="Times New Roman" w:hAnsi="Times New Roman"/>
        </w:rPr>
      </w:pPr>
      <w:r>
        <w:rPr>
          <w:rFonts w:hint="eastAsia" w:ascii="Times New Roman" w:hAnsi="Times New Roman"/>
        </w:rPr>
        <w:t>响应文件所使用的计量单位，应使用国家法定计量单位。</w:t>
      </w:r>
    </w:p>
    <w:p>
      <w:pPr>
        <w:pStyle w:val="91"/>
        <w:rPr>
          <w:rFonts w:ascii="Times New Roman" w:hAnsi="Times New Roman"/>
          <w:szCs w:val="21"/>
        </w:rPr>
      </w:pPr>
      <w:r>
        <w:rPr>
          <w:rFonts w:hint="eastAsia" w:ascii="Times New Roman" w:hAnsi="Times New Roman"/>
        </w:rPr>
        <w:t>对违反上述规定情形的，磋商小组有权要求响应人限期提供相应文件或决定对其响应予以拒绝。</w:t>
      </w:r>
    </w:p>
    <w:p>
      <w:pPr>
        <w:pStyle w:val="45"/>
        <w:numPr>
          <w:ilvl w:val="0"/>
          <w:numId w:val="21"/>
        </w:numPr>
        <w:adjustRightInd/>
        <w:spacing w:before="120" w:after="120" w:line="377" w:lineRule="auto"/>
        <w:ind w:left="420"/>
        <w:jc w:val="both"/>
        <w:textAlignment w:val="auto"/>
        <w:rPr>
          <w:rFonts w:ascii="Times New Roman" w:hAnsi="Times New Roman" w:eastAsia="宋体"/>
          <w:kern w:val="2"/>
          <w:sz w:val="24"/>
        </w:rPr>
      </w:pPr>
      <w:r>
        <w:rPr>
          <w:rFonts w:hint="eastAsia" w:ascii="Times New Roman" w:hAnsi="Times New Roman" w:eastAsia="宋体"/>
          <w:kern w:val="2"/>
          <w:sz w:val="24"/>
        </w:rPr>
        <w:t>响应文件的组成及相关要求</w:t>
      </w:r>
    </w:p>
    <w:p>
      <w:pPr>
        <w:pStyle w:val="91"/>
        <w:rPr>
          <w:rFonts w:ascii="Times New Roman" w:hAnsi="Times New Roman"/>
        </w:rPr>
      </w:pPr>
      <w:r>
        <w:rPr>
          <w:rFonts w:hint="eastAsia" w:ascii="Times New Roman" w:hAnsi="Times New Roman"/>
        </w:rPr>
        <w:t>响应文件分为商务部分和技术部分。</w:t>
      </w:r>
    </w:p>
    <w:p>
      <w:pPr>
        <w:pStyle w:val="91"/>
        <w:rPr>
          <w:rFonts w:ascii="Times New Roman" w:hAnsi="Times New Roman"/>
        </w:rPr>
      </w:pPr>
      <w:r>
        <w:rPr>
          <w:rFonts w:hint="eastAsia" w:ascii="Times New Roman" w:hAnsi="Times New Roman"/>
        </w:rPr>
        <w:t>商务部分指响应人提交的证明其有资格参加响应和成交后有能力履行合同的文件。技术部分指响应人提交的能够证明响应人提供的货物及服务符合磋商文件规定的文件。本次磋商，响应人应按</w:t>
      </w:r>
      <w:r>
        <w:fldChar w:fldCharType="begin"/>
      </w:r>
      <w:r>
        <w:instrText xml:space="preserve"> REF 响应人须知前附表 \h  \* MERGEFORMAT </w:instrText>
      </w:r>
      <w:r>
        <w:fldChar w:fldCharType="separate"/>
      </w:r>
      <w:r>
        <w:rPr>
          <w:rFonts w:hint="eastAsia" w:ascii="Times New Roman" w:hAnsi="Times New Roman"/>
        </w:rPr>
        <w:t>响应人须知前附表</w:t>
      </w:r>
      <w:r>
        <w:fldChar w:fldCharType="end"/>
      </w:r>
      <w:r>
        <w:rPr>
          <w:rFonts w:hint="eastAsia" w:ascii="Times New Roman" w:hAnsi="Times New Roman"/>
        </w:rPr>
        <w:t>中的规定提交商务文件、技术文件和需要响应人自行编写的其他文件，其中加</w:t>
      </w:r>
      <w:r>
        <w:rPr>
          <w:rFonts w:ascii="Times New Roman" w:hAnsi="Times New Roman"/>
        </w:rPr>
        <w:t>*</w:t>
      </w:r>
      <w:r>
        <w:rPr>
          <w:rFonts w:hint="eastAsia" w:ascii="Times New Roman" w:hAnsi="Times New Roman"/>
        </w:rPr>
        <w:t>项目若有实质性修改或非实质性响应，将导致响应被拒绝且不允许在响应截止后补正（具体填写要求详见磋商文件</w:t>
      </w:r>
      <w:r>
        <w:rPr>
          <w:rFonts w:ascii="Times New Roman" w:hAnsi="Times New Roman"/>
        </w:rPr>
        <w:t>“</w:t>
      </w:r>
      <w:r>
        <w:fldChar w:fldCharType="begin"/>
      </w:r>
      <w:r>
        <w:instrText xml:space="preserve"> REF 响应文件格式 \h  \* MERGEFORMAT </w:instrText>
      </w:r>
      <w:r>
        <w:fldChar w:fldCharType="separate"/>
      </w:r>
      <w:r>
        <w:rPr>
          <w:rFonts w:hint="eastAsia" w:ascii="Times New Roman" w:hAnsi="Times New Roman"/>
        </w:rPr>
        <w:t>响应文件格式</w:t>
      </w:r>
      <w:r>
        <w:fldChar w:fldCharType="end"/>
      </w:r>
      <w:r>
        <w:rPr>
          <w:rFonts w:ascii="Times New Roman" w:hAnsi="Times New Roman"/>
        </w:rPr>
        <w:t>”</w:t>
      </w:r>
      <w:r>
        <w:rPr>
          <w:rFonts w:hint="eastAsia" w:ascii="Times New Roman" w:hAnsi="Times New Roman"/>
        </w:rPr>
        <w:t>部分）。</w:t>
      </w:r>
    </w:p>
    <w:p>
      <w:pPr>
        <w:pStyle w:val="91"/>
        <w:rPr>
          <w:rFonts w:hint="eastAsia" w:ascii="Times New Roman" w:hAnsi="Times New Roman"/>
        </w:rPr>
      </w:pPr>
      <w:r>
        <w:rPr>
          <w:rFonts w:hint="eastAsia" w:ascii="Times New Roman" w:hAnsi="Times New Roman"/>
        </w:rPr>
        <w:t>响应文件规格幅面为（</w:t>
      </w:r>
      <w:r>
        <w:rPr>
          <w:rFonts w:ascii="Times New Roman" w:hAnsi="Times New Roman"/>
        </w:rPr>
        <w:t>A4</w:t>
      </w:r>
      <w:r>
        <w:rPr>
          <w:rFonts w:hint="eastAsia" w:ascii="Times New Roman" w:hAnsi="Times New Roman"/>
        </w:rPr>
        <w:t>），技术文件应与正文一致。响应文件正本、副本除不进行印制的部分外，印制部分应采用双面印刷。响应文件编目应按照磋商文件第七部分规定的顺序，统一编目编码装订，由于编排混乱导致响应文件被误读或查找不到，其责任应当由响应人承担。响应文件的装订必须采用胶订或线订形式，不得采用活页装订方式，否则，其响应将被拒绝。响应文件的技术文件中的各项表格必须按照磋商文件第七部分格式要求制作。</w:t>
      </w:r>
    </w:p>
    <w:p>
      <w:pPr>
        <w:pStyle w:val="91"/>
        <w:rPr>
          <w:rFonts w:hint="eastAsia" w:ascii="Times New Roman" w:hAnsi="Times New Roman"/>
          <w:b/>
          <w:bCs/>
        </w:rPr>
      </w:pPr>
      <w:r>
        <w:rPr>
          <w:rFonts w:hint="eastAsia" w:ascii="Times New Roman" w:hAnsi="Times New Roman"/>
          <w:b/>
          <w:bCs/>
        </w:rPr>
        <w:t>响应文件正副本的书脊位置需按照竖版方式打印以下内容：“项目编号”、“项目名称”、“公司名称”。</w:t>
      </w:r>
    </w:p>
    <w:p>
      <w:pPr>
        <w:pStyle w:val="45"/>
        <w:numPr>
          <w:ilvl w:val="0"/>
          <w:numId w:val="21"/>
        </w:numPr>
        <w:adjustRightInd/>
        <w:spacing w:before="120" w:after="120" w:line="377" w:lineRule="auto"/>
        <w:ind w:left="420"/>
        <w:jc w:val="both"/>
        <w:textAlignment w:val="auto"/>
        <w:rPr>
          <w:rFonts w:ascii="Times New Roman" w:hAnsi="Times New Roman" w:eastAsia="宋体"/>
          <w:kern w:val="2"/>
          <w:sz w:val="24"/>
        </w:rPr>
      </w:pPr>
      <w:r>
        <w:rPr>
          <w:rFonts w:hint="eastAsia" w:ascii="Times New Roman" w:hAnsi="Times New Roman" w:eastAsia="宋体"/>
          <w:kern w:val="2"/>
          <w:sz w:val="24"/>
        </w:rPr>
        <w:t>响应保证金</w:t>
      </w:r>
    </w:p>
    <w:p>
      <w:pPr>
        <w:pStyle w:val="91"/>
        <w:rPr>
          <w:rFonts w:ascii="Times New Roman" w:hAnsi="Times New Roman"/>
        </w:rPr>
      </w:pPr>
      <w:r>
        <w:rPr>
          <w:rFonts w:hint="eastAsia" w:ascii="Times New Roman" w:hAnsi="Times New Roman"/>
        </w:rPr>
        <w:t>响应人应提供的响应保证金额详见</w:t>
      </w:r>
      <w:r>
        <w:rPr>
          <w:rFonts w:hint="eastAsia"/>
        </w:rPr>
        <w:fldChar w:fldCharType="begin"/>
      </w:r>
      <w:r>
        <w:instrText xml:space="preserve"> REF 响应人须知前附表 \h  \* MERGEFORMAT </w:instrText>
      </w:r>
      <w:r>
        <w:rPr>
          <w:rFonts w:hint="eastAsia"/>
        </w:rPr>
        <w:fldChar w:fldCharType="separate"/>
      </w:r>
      <w:r>
        <w:rPr>
          <w:rFonts w:hint="eastAsia" w:ascii="Times New Roman" w:hAnsi="Times New Roman"/>
        </w:rPr>
        <w:t>响应人须知前附表</w:t>
      </w:r>
      <w:r>
        <w:rPr>
          <w:rFonts w:hint="eastAsia" w:ascii="Times New Roman" w:hAnsi="Times New Roman"/>
        </w:rPr>
        <w:fldChar w:fldCharType="end"/>
      </w:r>
      <w:r>
        <w:rPr>
          <w:rFonts w:hint="eastAsia" w:ascii="Times New Roman" w:hAnsi="Times New Roman"/>
        </w:rPr>
        <w:t>第</w:t>
      </w:r>
      <w:r>
        <w:fldChar w:fldCharType="begin"/>
      </w:r>
      <w:r>
        <w:instrText xml:space="preserve"> REF _Ref477449610 \r \h  \* MERGEFORMAT </w:instrText>
      </w:r>
      <w:r>
        <w:fldChar w:fldCharType="separate"/>
      </w:r>
      <w:r>
        <w:rPr>
          <w:rFonts w:ascii="Times New Roman" w:hAnsi="Times New Roman"/>
        </w:rPr>
        <w:t>10</w:t>
      </w:r>
      <w:r>
        <w:fldChar w:fldCharType="end"/>
      </w:r>
      <w:r>
        <w:rPr>
          <w:rFonts w:hint="eastAsia" w:ascii="Times New Roman" w:hAnsi="Times New Roman"/>
        </w:rPr>
        <w:t>项；</w:t>
      </w:r>
    </w:p>
    <w:p>
      <w:pPr>
        <w:pStyle w:val="91"/>
        <w:rPr>
          <w:rFonts w:ascii="Times New Roman" w:hAnsi="Times New Roman"/>
        </w:rPr>
      </w:pPr>
      <w:r>
        <w:rPr>
          <w:rFonts w:hint="eastAsia" w:ascii="Times New Roman" w:hAnsi="Times New Roman"/>
        </w:rPr>
        <w:t>响应保证金必须采用电汇形式。</w:t>
      </w:r>
    </w:p>
    <w:p>
      <w:pPr>
        <w:pStyle w:val="91"/>
        <w:rPr>
          <w:rFonts w:ascii="Times New Roman" w:hAnsi="Times New Roman"/>
        </w:rPr>
      </w:pPr>
      <w:r>
        <w:rPr>
          <w:rFonts w:hint="eastAsia" w:ascii="Times New Roman" w:hAnsi="Times New Roman"/>
        </w:rPr>
        <w:t>单位名称：中央财经大学；</w:t>
      </w:r>
    </w:p>
    <w:p>
      <w:pPr>
        <w:pStyle w:val="91"/>
        <w:rPr>
          <w:rFonts w:ascii="Times New Roman" w:hAnsi="Times New Roman"/>
        </w:rPr>
      </w:pPr>
      <w:r>
        <w:rPr>
          <w:rFonts w:hint="eastAsia" w:ascii="Times New Roman" w:hAnsi="Times New Roman"/>
        </w:rPr>
        <w:t>开户银行：工商银行北京新街口支行；</w:t>
      </w:r>
    </w:p>
    <w:p>
      <w:pPr>
        <w:pStyle w:val="91"/>
        <w:rPr>
          <w:rFonts w:ascii="Times New Roman" w:hAnsi="Times New Roman"/>
        </w:rPr>
      </w:pPr>
      <w:r>
        <w:rPr>
          <w:rFonts w:hint="eastAsia" w:ascii="Times New Roman" w:hAnsi="Times New Roman"/>
        </w:rPr>
        <w:t>开户账号：</w:t>
      </w:r>
      <w:r>
        <w:rPr>
          <w:rFonts w:ascii="Times New Roman" w:hAnsi="Times New Roman"/>
        </w:rPr>
        <w:t>0200002909089002159</w:t>
      </w:r>
      <w:r>
        <w:rPr>
          <w:rFonts w:hint="eastAsia" w:ascii="Times New Roman" w:hAnsi="Times New Roman"/>
        </w:rPr>
        <w:t>；</w:t>
      </w:r>
    </w:p>
    <w:p>
      <w:pPr>
        <w:pStyle w:val="91"/>
        <w:rPr>
          <w:rFonts w:ascii="Times New Roman" w:hAnsi="Times New Roman"/>
        </w:rPr>
      </w:pPr>
      <w:r>
        <w:rPr>
          <w:rFonts w:hint="eastAsia" w:ascii="Times New Roman" w:hAnsi="Times New Roman"/>
        </w:rPr>
        <w:t>响应人的响应保证金须在汇款单上注明采购项目名称、采购项目编号，并在响应截止前办理向采购人上述指定帐户汇款的手续，在响应现场凭汇款复印件领取采购人有关凭据（否则视为未提交）。</w:t>
      </w:r>
    </w:p>
    <w:p>
      <w:pPr>
        <w:pStyle w:val="91"/>
        <w:rPr>
          <w:rFonts w:ascii="Times New Roman" w:hAnsi="Times New Roman"/>
        </w:rPr>
      </w:pPr>
      <w:r>
        <w:rPr>
          <w:rFonts w:hint="eastAsia" w:ascii="Times New Roman" w:hAnsi="Times New Roman"/>
        </w:rPr>
        <w:t>未按前述各款要求提交响应保证金，或所提交保证金不完全符合各项要求的响应，将被视为无效响应。</w:t>
      </w:r>
    </w:p>
    <w:p>
      <w:pPr>
        <w:pStyle w:val="91"/>
        <w:rPr>
          <w:rFonts w:ascii="Times New Roman" w:hAnsi="Times New Roman"/>
        </w:rPr>
      </w:pPr>
      <w:r>
        <w:rPr>
          <w:rFonts w:hint="eastAsia"/>
        </w:rPr>
        <w:t>响应保证金一律采用电汇方式退还。</w:t>
      </w:r>
    </w:p>
    <w:p>
      <w:pPr>
        <w:pStyle w:val="91"/>
        <w:rPr>
          <w:rFonts w:ascii="Times New Roman" w:hAnsi="Times New Roman"/>
        </w:rPr>
      </w:pPr>
      <w:r>
        <w:rPr>
          <w:rFonts w:hint="eastAsia" w:ascii="Times New Roman" w:hAnsi="Times New Roman"/>
        </w:rPr>
        <w:t>在公布成交结果后，未成交的响应人请持采购人开具的响应保证金收据原件（响应截止时未领取收据的，应携带加盖公章的单位介绍信，注明响应项目名称、项目编号、包号、保证金金额，并附经办人身份证原件及复印件）到采购人处并办理响应保证金的退还事宜。</w:t>
      </w:r>
    </w:p>
    <w:p>
      <w:pPr>
        <w:pStyle w:val="91"/>
        <w:rPr>
          <w:rFonts w:ascii="Times New Roman" w:hAnsi="Times New Roman"/>
        </w:rPr>
      </w:pPr>
      <w:r>
        <w:rPr>
          <w:rFonts w:hint="eastAsia" w:ascii="Times New Roman" w:hAnsi="Times New Roman"/>
        </w:rPr>
        <w:t>办理时间：周一至周四上午</w:t>
      </w:r>
      <w:r>
        <w:rPr>
          <w:rFonts w:ascii="Times New Roman" w:hAnsi="Times New Roman"/>
        </w:rPr>
        <w:t>8</w:t>
      </w:r>
      <w:r>
        <w:rPr>
          <w:rFonts w:hint="eastAsia" w:ascii="Times New Roman" w:hAnsi="Times New Roman"/>
        </w:rPr>
        <w:t>：</w:t>
      </w:r>
      <w:r>
        <w:rPr>
          <w:rFonts w:ascii="Times New Roman" w:hAnsi="Times New Roman"/>
        </w:rPr>
        <w:t>30</w:t>
      </w:r>
      <w:r>
        <w:rPr>
          <w:rFonts w:hint="eastAsia" w:ascii="Times New Roman" w:hAnsi="Times New Roman"/>
        </w:rPr>
        <w:t>至</w:t>
      </w:r>
      <w:r>
        <w:rPr>
          <w:rFonts w:ascii="Times New Roman" w:hAnsi="Times New Roman"/>
        </w:rPr>
        <w:t>11</w:t>
      </w:r>
      <w:r>
        <w:rPr>
          <w:rFonts w:hint="eastAsia" w:ascii="Times New Roman" w:hAnsi="Times New Roman"/>
        </w:rPr>
        <w:t>：</w:t>
      </w:r>
      <w:r>
        <w:rPr>
          <w:rFonts w:ascii="Times New Roman" w:hAnsi="Times New Roman"/>
        </w:rPr>
        <w:t>00</w:t>
      </w:r>
      <w:r>
        <w:rPr>
          <w:rFonts w:hint="eastAsia" w:ascii="Times New Roman" w:hAnsi="Times New Roman"/>
        </w:rPr>
        <w:t>，下午</w:t>
      </w:r>
      <w:r>
        <w:rPr>
          <w:rFonts w:ascii="Times New Roman" w:hAnsi="Times New Roman"/>
        </w:rPr>
        <w:t>2</w:t>
      </w:r>
      <w:r>
        <w:rPr>
          <w:rFonts w:hint="eastAsia" w:ascii="Times New Roman" w:hAnsi="Times New Roman"/>
        </w:rPr>
        <w:t>：</w:t>
      </w:r>
      <w:r>
        <w:rPr>
          <w:rFonts w:ascii="Times New Roman" w:hAnsi="Times New Roman"/>
        </w:rPr>
        <w:t>00</w:t>
      </w:r>
      <w:r>
        <w:rPr>
          <w:rFonts w:hint="eastAsia" w:ascii="Times New Roman" w:hAnsi="Times New Roman"/>
        </w:rPr>
        <w:t>至</w:t>
      </w:r>
      <w:r>
        <w:rPr>
          <w:rFonts w:ascii="Times New Roman" w:hAnsi="Times New Roman"/>
        </w:rPr>
        <w:t>4</w:t>
      </w:r>
      <w:r>
        <w:rPr>
          <w:rFonts w:hint="eastAsia" w:ascii="Times New Roman" w:hAnsi="Times New Roman"/>
        </w:rPr>
        <w:t>：</w:t>
      </w:r>
      <w:r>
        <w:rPr>
          <w:rFonts w:ascii="Times New Roman" w:hAnsi="Times New Roman"/>
        </w:rPr>
        <w:t>30</w:t>
      </w:r>
      <w:r>
        <w:rPr>
          <w:rFonts w:hint="eastAsia" w:ascii="Times New Roman" w:hAnsi="Times New Roman"/>
        </w:rPr>
        <w:t>，节假日除外；</w:t>
      </w:r>
    </w:p>
    <w:p>
      <w:pPr>
        <w:pStyle w:val="91"/>
        <w:rPr>
          <w:rFonts w:ascii="Times New Roman" w:hAnsi="Times New Roman"/>
        </w:rPr>
      </w:pPr>
      <w:r>
        <w:rPr>
          <w:rFonts w:hint="eastAsia" w:ascii="Times New Roman" w:hAnsi="Times New Roman"/>
        </w:rPr>
        <w:t>办理地点：北京市海淀区学院南路</w:t>
      </w:r>
      <w:r>
        <w:rPr>
          <w:rFonts w:ascii="Times New Roman" w:hAnsi="Times New Roman"/>
        </w:rPr>
        <w:t>39</w:t>
      </w:r>
      <w:r>
        <w:rPr>
          <w:rFonts w:hint="eastAsia" w:ascii="Times New Roman" w:hAnsi="Times New Roman"/>
        </w:rPr>
        <w:t>号中央财经大学办公楼</w:t>
      </w:r>
      <w:r>
        <w:rPr>
          <w:rFonts w:ascii="Times New Roman" w:hAnsi="Times New Roman"/>
        </w:rPr>
        <w:t>309</w:t>
      </w:r>
      <w:r>
        <w:rPr>
          <w:rFonts w:hint="eastAsia" w:ascii="Times New Roman" w:hAnsi="Times New Roman"/>
        </w:rPr>
        <w:t>室；</w:t>
      </w:r>
    </w:p>
    <w:p>
      <w:pPr>
        <w:pStyle w:val="91"/>
        <w:rPr>
          <w:rFonts w:ascii="Times New Roman" w:hAnsi="Times New Roman"/>
        </w:rPr>
      </w:pPr>
      <w:r>
        <w:rPr>
          <w:rFonts w:hint="eastAsia" w:ascii="Times New Roman" w:hAnsi="Times New Roman"/>
        </w:rPr>
        <w:t>联系电话：</w:t>
      </w:r>
      <w:r>
        <w:rPr>
          <w:rFonts w:ascii="Times New Roman" w:hAnsi="Times New Roman"/>
        </w:rPr>
        <w:t>62289113</w:t>
      </w:r>
      <w:r>
        <w:rPr>
          <w:rFonts w:hint="eastAsia" w:ascii="Times New Roman" w:hAnsi="Times New Roman"/>
        </w:rPr>
        <w:t>，</w:t>
      </w:r>
      <w:r>
        <w:rPr>
          <w:rFonts w:ascii="Times New Roman" w:hAnsi="Times New Roman"/>
        </w:rPr>
        <w:t>62288705</w:t>
      </w:r>
      <w:r>
        <w:rPr>
          <w:rFonts w:hint="eastAsia" w:ascii="Times New Roman" w:hAnsi="Times New Roman"/>
        </w:rPr>
        <w:t>。</w:t>
      </w:r>
    </w:p>
    <w:p>
      <w:pPr>
        <w:pStyle w:val="91"/>
        <w:rPr>
          <w:rFonts w:ascii="Times New Roman" w:hAnsi="Times New Roman"/>
        </w:rPr>
      </w:pPr>
      <w:r>
        <w:rPr>
          <w:rFonts w:hint="eastAsia" w:ascii="Times New Roman" w:hAnsi="Times New Roman"/>
        </w:rPr>
        <w:t>成交人除持上述资料外，还应提交采购合同副本，持采购人开具的响应保证金收据原件办理响应保证金的退还手续。</w:t>
      </w:r>
    </w:p>
    <w:p>
      <w:pPr>
        <w:pStyle w:val="45"/>
        <w:numPr>
          <w:ilvl w:val="0"/>
          <w:numId w:val="21"/>
        </w:numPr>
        <w:adjustRightInd/>
        <w:spacing w:before="120" w:after="120" w:line="377" w:lineRule="auto"/>
        <w:ind w:left="420"/>
        <w:jc w:val="both"/>
        <w:textAlignment w:val="auto"/>
        <w:rPr>
          <w:rFonts w:ascii="Times New Roman" w:hAnsi="Times New Roman" w:eastAsia="宋体"/>
          <w:kern w:val="2"/>
          <w:sz w:val="24"/>
        </w:rPr>
      </w:pPr>
      <w:r>
        <w:rPr>
          <w:rFonts w:hint="eastAsia" w:ascii="Times New Roman" w:hAnsi="Times New Roman" w:eastAsia="宋体"/>
          <w:kern w:val="2"/>
          <w:sz w:val="24"/>
        </w:rPr>
        <w:t>响应报价</w:t>
      </w:r>
    </w:p>
    <w:p>
      <w:pPr>
        <w:pStyle w:val="91"/>
        <w:rPr>
          <w:rFonts w:ascii="Times New Roman" w:hAnsi="Times New Roman"/>
        </w:rPr>
      </w:pPr>
      <w:r>
        <w:rPr>
          <w:rFonts w:hint="eastAsia" w:ascii="Times New Roman" w:hAnsi="Times New Roman"/>
        </w:rPr>
        <w:t>所有响应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并且报价应该被视为已经扣除所有同业折扣以及现金折扣。在其它情况下，由于分项报价填报不完整、不清楚或存在其它任何失误，所导致的任何不利后果均应当由响应人自行承担。</w:t>
      </w:r>
    </w:p>
    <w:p>
      <w:pPr>
        <w:pStyle w:val="91"/>
        <w:rPr>
          <w:rFonts w:ascii="Times New Roman" w:hAnsi="Times New Roman"/>
        </w:rPr>
      </w:pPr>
      <w:r>
        <w:rPr>
          <w:rFonts w:hint="eastAsia" w:ascii="Times New Roman" w:hAnsi="Times New Roman"/>
        </w:rPr>
        <w:t>响应人投报多包的，应对每包分别报价并分别填报报价一览表。</w:t>
      </w:r>
    </w:p>
    <w:p>
      <w:pPr>
        <w:pStyle w:val="91"/>
        <w:rPr>
          <w:rFonts w:ascii="Times New Roman" w:hAnsi="Times New Roman"/>
        </w:rPr>
      </w:pPr>
      <w:r>
        <w:rPr>
          <w:rFonts w:hint="eastAsia" w:ascii="Times New Roman" w:hAnsi="Times New Roman"/>
        </w:rPr>
        <w:t>本次磋商不接受可选择或可调整的响应方案和报价，任何有选择的或可调整的响应方案和报价将被视为非响应性响应而被拒绝。</w:t>
      </w:r>
    </w:p>
    <w:p>
      <w:pPr>
        <w:pStyle w:val="91"/>
        <w:rPr>
          <w:rFonts w:ascii="Times New Roman" w:hAnsi="Times New Roman"/>
        </w:rPr>
      </w:pPr>
      <w:r>
        <w:rPr>
          <w:rFonts w:hint="eastAsia" w:ascii="Times New Roman" w:hAnsi="Times New Roman"/>
        </w:rPr>
        <w:t>响应人要按响应产品数量、价格表（统一格式）的内容填写货物单价（包括货物报价，装箱、包装、包装物料、送货和保险费用）、总价及其他事项，并由法定代表人或响应人代表签署。</w:t>
      </w:r>
    </w:p>
    <w:p>
      <w:pPr>
        <w:pStyle w:val="91"/>
        <w:rPr>
          <w:rFonts w:ascii="Times New Roman" w:hAnsi="Times New Roman"/>
        </w:rPr>
      </w:pPr>
      <w:r>
        <w:rPr>
          <w:rFonts w:hint="eastAsia" w:ascii="Times New Roman" w:hAnsi="Times New Roman"/>
        </w:rPr>
        <w:t>响应人对响应报价若有说明应在报价一览表显著处注明，其报价参与价格分数才会在评标时予以考虑。</w:t>
      </w:r>
    </w:p>
    <w:p>
      <w:pPr>
        <w:pStyle w:val="91"/>
        <w:rPr>
          <w:rFonts w:ascii="Times New Roman" w:hAnsi="Times New Roman"/>
        </w:rPr>
      </w:pPr>
      <w:r>
        <w:rPr>
          <w:rFonts w:hint="eastAsia" w:ascii="Times New Roman" w:hAnsi="Times New Roman"/>
        </w:rPr>
        <w:t>响应的报价优惠应对应报价一览表、响应产品数量价格表等提供相应的明细清单。</w:t>
      </w:r>
    </w:p>
    <w:p>
      <w:pPr>
        <w:pStyle w:val="91"/>
        <w:rPr>
          <w:rFonts w:ascii="Times New Roman" w:hAnsi="Times New Roman"/>
        </w:rPr>
      </w:pPr>
      <w:r>
        <w:rPr>
          <w:rFonts w:hint="eastAsia" w:ascii="Times New Roman" w:hAnsi="Times New Roman"/>
        </w:rPr>
        <w:t>对于有配件、耗材、选件和特殊工具的货物，还应填报响应产品配件、耗材、选件表和备件及特殊工具清单，注明品牌、型号、产地、功能、单价、批量折扣等内容，该表格式由响应人自行设计。响应人按照上述要求分类报价，其目的是便于评标，但在任何情况下并不限制采购人或采购人以其他条款签订合同的权利。</w:t>
      </w:r>
    </w:p>
    <w:p>
      <w:pPr>
        <w:pStyle w:val="91"/>
        <w:rPr>
          <w:rFonts w:ascii="Times New Roman" w:hAnsi="Times New Roman"/>
          <w:szCs w:val="21"/>
        </w:rPr>
      </w:pPr>
      <w:r>
        <w:rPr>
          <w:rFonts w:hint="eastAsia" w:ascii="Times New Roman" w:hAnsi="Times New Roman"/>
        </w:rPr>
        <w:t>最低报价不能作为成交的保证。</w:t>
      </w:r>
    </w:p>
    <w:p>
      <w:pPr>
        <w:pStyle w:val="91"/>
        <w:rPr>
          <w:rFonts w:ascii="Times New Roman" w:hAnsi="Times New Roman"/>
        </w:rPr>
      </w:pPr>
      <w:r>
        <w:rPr>
          <w:rFonts w:hint="eastAsia" w:ascii="Times New Roman" w:hAnsi="Times New Roman"/>
        </w:rPr>
        <w:t>本项目是否允许响应人将项目的非主体、非关键性工作交由他人完成详见</w:t>
      </w:r>
      <w:r>
        <w:fldChar w:fldCharType="begin"/>
      </w:r>
      <w:r>
        <w:instrText xml:space="preserve"> REF 响应人须知前附表 \h  \* MERGEFORMAT </w:instrText>
      </w:r>
      <w:r>
        <w:fldChar w:fldCharType="separate"/>
      </w:r>
      <w:r>
        <w:rPr>
          <w:rFonts w:hint="eastAsia" w:ascii="Times New Roman" w:hAnsi="Times New Roman"/>
        </w:rPr>
        <w:t>响应人须知前附表</w:t>
      </w:r>
      <w:r>
        <w:fldChar w:fldCharType="end"/>
      </w:r>
      <w:r>
        <w:rPr>
          <w:rFonts w:hint="eastAsia" w:ascii="Times New Roman" w:hAnsi="Times New Roman"/>
        </w:rPr>
        <w:t>第</w:t>
      </w:r>
      <w:r>
        <w:fldChar w:fldCharType="begin"/>
      </w:r>
      <w:r>
        <w:instrText xml:space="preserve"> REF _Ref477449806 \r \h  \* MERGEFORMAT </w:instrText>
      </w:r>
      <w:r>
        <w:fldChar w:fldCharType="separate"/>
      </w:r>
      <w:r>
        <w:rPr>
          <w:rFonts w:ascii="Times New Roman" w:hAnsi="Times New Roman"/>
        </w:rPr>
        <w:t>12</w:t>
      </w:r>
      <w:r>
        <w:fldChar w:fldCharType="end"/>
      </w:r>
      <w:r>
        <w:rPr>
          <w:rFonts w:hint="eastAsia" w:ascii="Times New Roman" w:hAnsi="Times New Roman"/>
        </w:rPr>
        <w:t>条。</w:t>
      </w:r>
    </w:p>
    <w:p>
      <w:pPr>
        <w:pStyle w:val="45"/>
        <w:numPr>
          <w:ilvl w:val="0"/>
          <w:numId w:val="21"/>
        </w:numPr>
        <w:adjustRightInd/>
        <w:spacing w:before="120" w:after="120" w:line="377" w:lineRule="auto"/>
        <w:ind w:left="420"/>
        <w:jc w:val="both"/>
        <w:textAlignment w:val="auto"/>
        <w:rPr>
          <w:rFonts w:ascii="Times New Roman" w:hAnsi="Times New Roman" w:eastAsia="宋体"/>
          <w:kern w:val="2"/>
          <w:sz w:val="24"/>
        </w:rPr>
      </w:pPr>
      <w:r>
        <w:rPr>
          <w:rFonts w:hint="eastAsia" w:ascii="Times New Roman" w:hAnsi="Times New Roman" w:eastAsia="宋体"/>
          <w:kern w:val="2"/>
          <w:sz w:val="24"/>
        </w:rPr>
        <w:t>响应内容填写说明</w:t>
      </w:r>
    </w:p>
    <w:p>
      <w:pPr>
        <w:pStyle w:val="91"/>
        <w:rPr>
          <w:rFonts w:ascii="Times New Roman" w:hAnsi="Times New Roman"/>
        </w:rPr>
      </w:pPr>
      <w:r>
        <w:rPr>
          <w:rFonts w:hint="eastAsia" w:ascii="Times New Roman" w:hAnsi="Times New Roman"/>
        </w:rPr>
        <w:t>响应人应详细阅读磋商文件的全部内容。响应文件须对磋商文件中的内容做出实质性和完整的响应，如果响应文件填报的内容资料不详，或没有提供磋商文件中所要求的全部资料及数据，将可能导致响应被拒绝。</w:t>
      </w:r>
    </w:p>
    <w:p>
      <w:pPr>
        <w:pStyle w:val="91"/>
        <w:rPr>
          <w:rFonts w:ascii="Times New Roman" w:hAnsi="Times New Roman"/>
        </w:rPr>
      </w:pPr>
      <w:r>
        <w:rPr>
          <w:rFonts w:hint="eastAsia" w:ascii="Times New Roman" w:hAnsi="Times New Roman"/>
        </w:rPr>
        <w:t>响应文件应严格按照磋商文件规定的顺序装订成册并编制目录，由于编排混乱导致响应文件被误读或查找不到，是响应人的责任。</w:t>
      </w:r>
    </w:p>
    <w:p>
      <w:pPr>
        <w:pStyle w:val="91"/>
        <w:rPr>
          <w:rFonts w:ascii="Times New Roman" w:hAnsi="Times New Roman"/>
        </w:rPr>
      </w:pPr>
      <w:r>
        <w:rPr>
          <w:rFonts w:hint="eastAsia" w:ascii="Times New Roman" w:hAnsi="Times New Roman"/>
        </w:rPr>
        <w:t>响应文件应严格按照磋商文件</w:t>
      </w:r>
      <w:r>
        <w:rPr>
          <w:rFonts w:ascii="Times New Roman" w:hAnsi="Times New Roman"/>
        </w:rPr>
        <w:t>“</w:t>
      </w:r>
      <w:r>
        <w:fldChar w:fldCharType="begin"/>
      </w:r>
      <w:r>
        <w:instrText xml:space="preserve"> REF 响应文件格式 \h  \* MERGEFORMAT </w:instrText>
      </w:r>
      <w:r>
        <w:fldChar w:fldCharType="separate"/>
      </w:r>
      <w:r>
        <w:rPr>
          <w:rFonts w:hint="eastAsia" w:ascii="Times New Roman" w:hAnsi="Times New Roman"/>
        </w:rPr>
        <w:t>响应文件格式</w:t>
      </w:r>
      <w:r>
        <w:fldChar w:fldCharType="end"/>
      </w:r>
      <w:r>
        <w:rPr>
          <w:rFonts w:ascii="Times New Roman" w:hAnsi="Times New Roman"/>
        </w:rPr>
        <w:t>”</w:t>
      </w:r>
      <w:r>
        <w:rPr>
          <w:rFonts w:hint="eastAsia" w:ascii="Times New Roman" w:hAnsi="Times New Roman"/>
        </w:rPr>
        <w:t>的要求提交，并按规定的统一格式逐项填写，不准有空项；无相应内容可填的项应填写</w:t>
      </w:r>
      <w:r>
        <w:rPr>
          <w:rFonts w:ascii="Times New Roman" w:hAnsi="Times New Roman"/>
        </w:rPr>
        <w:t>“</w:t>
      </w:r>
      <w:r>
        <w:rPr>
          <w:rFonts w:hint="eastAsia" w:ascii="Times New Roman" w:hAnsi="Times New Roman"/>
        </w:rPr>
        <w:t>无</w:t>
      </w:r>
      <w:r>
        <w:rPr>
          <w:rFonts w:ascii="Times New Roman" w:hAnsi="Times New Roman"/>
        </w:rPr>
        <w:t>”</w:t>
      </w:r>
      <w:r>
        <w:rPr>
          <w:rFonts w:hint="eastAsia" w:ascii="Times New Roman" w:hAnsi="Times New Roman"/>
        </w:rPr>
        <w:t>、</w:t>
      </w:r>
      <w:r>
        <w:rPr>
          <w:rFonts w:ascii="Times New Roman" w:hAnsi="Times New Roman"/>
        </w:rPr>
        <w:t>“</w:t>
      </w:r>
      <w:r>
        <w:rPr>
          <w:rFonts w:hint="eastAsia" w:ascii="Times New Roman" w:hAnsi="Times New Roman"/>
        </w:rPr>
        <w:t>未测试</w:t>
      </w:r>
      <w:r>
        <w:rPr>
          <w:rFonts w:ascii="Times New Roman" w:hAnsi="Times New Roman"/>
        </w:rPr>
        <w:t>”</w:t>
      </w:r>
      <w:r>
        <w:rPr>
          <w:rFonts w:hint="eastAsia" w:ascii="Times New Roman" w:hAnsi="Times New Roman"/>
        </w:rPr>
        <w:t>、</w:t>
      </w:r>
      <w:r>
        <w:rPr>
          <w:rFonts w:ascii="Times New Roman" w:hAnsi="Times New Roman"/>
        </w:rPr>
        <w:t>“</w:t>
      </w:r>
      <w:r>
        <w:rPr>
          <w:rFonts w:hint="eastAsia" w:ascii="Times New Roman" w:hAnsi="Times New Roman"/>
        </w:rPr>
        <w:t>没有相应指标</w:t>
      </w:r>
      <w:r>
        <w:rPr>
          <w:rFonts w:ascii="Times New Roman" w:hAnsi="Times New Roman"/>
        </w:rPr>
        <w:t>”</w:t>
      </w:r>
      <w:r>
        <w:rPr>
          <w:rFonts w:hint="eastAsia" w:ascii="Times New Roman" w:hAnsi="Times New Roman"/>
        </w:rPr>
        <w:t>等明确的回答文字。响应文件未按规定提交或留有空项，可能被视为不完整响应的响应文件，其响应有可能被拒绝。</w:t>
      </w:r>
    </w:p>
    <w:p>
      <w:pPr>
        <w:pStyle w:val="91"/>
        <w:rPr>
          <w:rFonts w:ascii="Times New Roman" w:hAnsi="Times New Roman"/>
        </w:rPr>
      </w:pPr>
      <w:r>
        <w:rPr>
          <w:rFonts w:hint="eastAsia" w:ascii="Times New Roman" w:hAnsi="Times New Roman"/>
        </w:rPr>
        <w:t>报价一览表要求按格式统一填写，不得自行删减内容。</w:t>
      </w:r>
    </w:p>
    <w:p>
      <w:pPr>
        <w:pStyle w:val="91"/>
        <w:rPr>
          <w:rFonts w:ascii="Times New Roman" w:hAnsi="Times New Roman"/>
          <w:szCs w:val="21"/>
        </w:rPr>
      </w:pPr>
      <w:r>
        <w:rPr>
          <w:rFonts w:hint="eastAsia" w:ascii="Times New Roman" w:hAnsi="Times New Roman"/>
        </w:rPr>
        <w:t>响应人必须保证响应文件所提供的全部资料真实可靠，并接受采购人或磋商小组对其中任何资料进一步审查的要求。</w:t>
      </w:r>
    </w:p>
    <w:p>
      <w:pPr>
        <w:pStyle w:val="45"/>
        <w:numPr>
          <w:ilvl w:val="0"/>
          <w:numId w:val="21"/>
        </w:numPr>
        <w:adjustRightInd/>
        <w:spacing w:before="120" w:after="120" w:line="377" w:lineRule="auto"/>
        <w:ind w:left="420"/>
        <w:jc w:val="both"/>
        <w:textAlignment w:val="auto"/>
        <w:rPr>
          <w:rFonts w:ascii="Times New Roman" w:hAnsi="Times New Roman" w:eastAsia="宋体"/>
          <w:kern w:val="2"/>
          <w:sz w:val="24"/>
        </w:rPr>
      </w:pPr>
      <w:r>
        <w:rPr>
          <w:rFonts w:hint="eastAsia" w:ascii="Times New Roman" w:hAnsi="Times New Roman" w:eastAsia="宋体"/>
          <w:kern w:val="2"/>
          <w:sz w:val="24"/>
        </w:rPr>
        <w:t>响应文件的有效期</w:t>
      </w:r>
    </w:p>
    <w:p>
      <w:pPr>
        <w:pStyle w:val="91"/>
        <w:rPr>
          <w:rFonts w:ascii="Times New Roman" w:hAnsi="Times New Roman"/>
        </w:rPr>
      </w:pPr>
      <w:r>
        <w:rPr>
          <w:rFonts w:hint="eastAsia" w:ascii="Times New Roman" w:hAnsi="Times New Roman"/>
        </w:rPr>
        <w:t>本项目响应文件的有效期详见</w:t>
      </w:r>
      <w:r>
        <w:fldChar w:fldCharType="begin"/>
      </w:r>
      <w:r>
        <w:instrText xml:space="preserve"> REF 响应人须知前附表 \h  \* MERGEFORMAT </w:instrText>
      </w:r>
      <w:r>
        <w:fldChar w:fldCharType="separate"/>
      </w:r>
      <w:r>
        <w:rPr>
          <w:rFonts w:hint="eastAsia" w:ascii="Times New Roman" w:hAnsi="Times New Roman"/>
        </w:rPr>
        <w:t>响应人须知前附表</w:t>
      </w:r>
      <w:r>
        <w:fldChar w:fldCharType="end"/>
      </w:r>
      <w:r>
        <w:rPr>
          <w:rFonts w:hint="eastAsia" w:ascii="Times New Roman" w:hAnsi="Times New Roman"/>
        </w:rPr>
        <w:t>第</w:t>
      </w:r>
      <w:r>
        <w:fldChar w:fldCharType="begin"/>
      </w:r>
      <w:r>
        <w:instrText xml:space="preserve"> REF _Ref477450110 \r \h  \* MERGEFORMAT </w:instrText>
      </w:r>
      <w:r>
        <w:fldChar w:fldCharType="separate"/>
      </w:r>
      <w:r>
        <w:rPr>
          <w:rFonts w:ascii="Times New Roman" w:hAnsi="Times New Roman"/>
        </w:rPr>
        <w:t>15</w:t>
      </w:r>
      <w:r>
        <w:fldChar w:fldCharType="end"/>
      </w:r>
      <w:r>
        <w:rPr>
          <w:rFonts w:hint="eastAsia" w:ascii="Times New Roman" w:hAnsi="Times New Roman"/>
        </w:rPr>
        <w:t>条。有效期短于该规定期限的响应将被拒绝。</w:t>
      </w:r>
    </w:p>
    <w:p>
      <w:pPr>
        <w:pStyle w:val="91"/>
        <w:rPr>
          <w:rFonts w:ascii="Times New Roman" w:hAnsi="Times New Roman"/>
          <w:szCs w:val="21"/>
        </w:rPr>
      </w:pPr>
      <w:r>
        <w:rPr>
          <w:rFonts w:hint="eastAsia" w:ascii="Times New Roman" w:hAnsi="Times New Roman"/>
        </w:rPr>
        <w:t>在特殊情况下，采购人可与响应人协商延长响应文件的有效期。这种要求和答复都应以书面形式进行。此时，按本须知规定的响应保证金的有效期也相应延长。响应人可以拒绝接受延期要求而不会被没收保证金。同意延长有效期的响应人除按照采购人要求修改响应文件有效期外，不能修改响应文件的其他内容。</w:t>
      </w:r>
    </w:p>
    <w:p>
      <w:pPr>
        <w:pStyle w:val="45"/>
        <w:numPr>
          <w:ilvl w:val="0"/>
          <w:numId w:val="21"/>
        </w:numPr>
        <w:adjustRightInd/>
        <w:spacing w:before="120" w:after="120" w:line="377" w:lineRule="auto"/>
        <w:ind w:left="420"/>
        <w:jc w:val="both"/>
        <w:textAlignment w:val="auto"/>
        <w:rPr>
          <w:rFonts w:ascii="Times New Roman" w:hAnsi="Times New Roman" w:eastAsia="宋体"/>
          <w:kern w:val="2"/>
          <w:sz w:val="24"/>
        </w:rPr>
      </w:pPr>
      <w:r>
        <w:rPr>
          <w:rFonts w:hint="eastAsia" w:ascii="Times New Roman" w:hAnsi="Times New Roman" w:eastAsia="宋体"/>
          <w:kern w:val="2"/>
          <w:sz w:val="24"/>
        </w:rPr>
        <w:t>响应文件的签署及其他规定</w:t>
      </w:r>
    </w:p>
    <w:p>
      <w:pPr>
        <w:pStyle w:val="91"/>
        <w:rPr>
          <w:rFonts w:ascii="Times New Roman" w:hAnsi="Times New Roman"/>
        </w:rPr>
      </w:pPr>
      <w:r>
        <w:rPr>
          <w:rFonts w:hint="eastAsia" w:ascii="Times New Roman" w:hAnsi="Times New Roman"/>
        </w:rPr>
        <w:t>组成响应文件的各项文件均应遵守本条。</w:t>
      </w:r>
    </w:p>
    <w:p>
      <w:pPr>
        <w:pStyle w:val="91"/>
        <w:rPr>
          <w:rFonts w:ascii="Times New Roman" w:hAnsi="Times New Roman"/>
        </w:rPr>
      </w:pPr>
      <w:r>
        <w:rPr>
          <w:rFonts w:hint="eastAsia" w:ascii="Times New Roman" w:hAnsi="Times New Roman"/>
        </w:rPr>
        <w:t>响应文件及相关文件的签订、履行、通知等事项的书面文件中的单位盖章、印章、公章等处均仅指与当事人名称全称相一致的标准公章，不得使用其它形式（如带有</w:t>
      </w:r>
      <w:r>
        <w:rPr>
          <w:rFonts w:ascii="Times New Roman" w:hAnsi="Times New Roman"/>
        </w:rPr>
        <w:t>“</w:t>
      </w:r>
      <w:r>
        <w:rPr>
          <w:rFonts w:hint="eastAsia" w:ascii="Times New Roman" w:hAnsi="Times New Roman"/>
        </w:rPr>
        <w:t>专用章</w:t>
      </w:r>
      <w:r>
        <w:rPr>
          <w:rFonts w:ascii="Times New Roman" w:hAnsi="Times New Roman"/>
        </w:rPr>
        <w:t>”</w:t>
      </w:r>
      <w:r>
        <w:rPr>
          <w:rFonts w:hint="eastAsia" w:ascii="Times New Roman" w:hAnsi="Times New Roman"/>
        </w:rPr>
        <w:t>等字样的印章），响应文件正本授权文件必须是原件。否则视为非实质性响应磋商文件，其响应被拒绝。</w:t>
      </w:r>
    </w:p>
    <w:p>
      <w:pPr>
        <w:pStyle w:val="91"/>
        <w:rPr>
          <w:rFonts w:ascii="Times New Roman" w:hAnsi="Times New Roman"/>
        </w:rPr>
      </w:pPr>
      <w:r>
        <w:rPr>
          <w:rFonts w:hint="eastAsia" w:ascii="Times New Roman" w:hAnsi="Times New Roman"/>
        </w:rPr>
        <w:t>响应文件的正本应按照磋商文件要求，格式文件需在签章和签字的位置填写响应人全称并加盖公章，同时在该处签署法定代表人或响应人代表的全名或加盖本人签名章。响应文件中授权书等非格式文件需签章的加盖与当事人名称相一致的标准公章，注明签署人姓名的须签署人签署全名或加盖本人签名章。</w:t>
      </w:r>
    </w:p>
    <w:p>
      <w:pPr>
        <w:pStyle w:val="91"/>
        <w:rPr>
          <w:rFonts w:ascii="Times New Roman" w:hAnsi="Times New Roman"/>
        </w:rPr>
      </w:pPr>
      <w:r>
        <w:rPr>
          <w:rFonts w:hint="eastAsia" w:ascii="Times New Roman" w:hAnsi="Times New Roman"/>
        </w:rPr>
        <w:t>响应人须注意：为合理节约政府采购评审成本，提倡诚实信用的响应行为，特别要求响应人应本着诚信精神，在本次响应文件的偏离表和其它偏离文件中（若本次磋商文件中没有提供偏离表或其它偏离文件样本，响应人亦应当自制偏离表并装订于本次响应文件中并应当在总目录及分目录上清楚表明所在页数），均以审慎的态度明确、清楚地披露各项偏离。若响应人对某一事项是否存在或是否属于偏离不能确定，亦必须在偏离表中清楚地表明该偏离事项，并可以注明不能确定的字样。任何情况下，对于响应人没有在偏离表中明确、清楚地披露的事项，包括可能属于被响应人在偏离表中遗漏披露的事项，一旦在评审中被发现存在偏离或被认定为属于偏离，则评委会有权视具体情形予以处理，包括：按照规则扣分、在规则基础上增加扣分、在规则基础上加倍扣分、直至对该响应予以拒绝。</w:t>
      </w:r>
    </w:p>
    <w:p>
      <w:pPr>
        <w:pStyle w:val="91"/>
        <w:rPr>
          <w:rFonts w:ascii="Times New Roman" w:hAnsi="Times New Roman"/>
        </w:rPr>
      </w:pPr>
      <w:r>
        <w:rPr>
          <w:rFonts w:hint="eastAsia" w:ascii="Times New Roman" w:hAnsi="Times New Roman"/>
        </w:rPr>
        <w:t>响应人应按</w:t>
      </w:r>
      <w:r>
        <w:fldChar w:fldCharType="begin"/>
      </w:r>
      <w:r>
        <w:instrText xml:space="preserve"> REF 响应人须知前附表 \h  \* MERGEFORMAT </w:instrText>
      </w:r>
      <w:r>
        <w:fldChar w:fldCharType="separate"/>
      </w:r>
      <w:r>
        <w:rPr>
          <w:rFonts w:hint="eastAsia" w:ascii="Times New Roman" w:hAnsi="Times New Roman"/>
        </w:rPr>
        <w:t>响应人须知前附表</w:t>
      </w:r>
      <w:r>
        <w:fldChar w:fldCharType="end"/>
      </w:r>
      <w:r>
        <w:rPr>
          <w:rFonts w:hint="eastAsia" w:ascii="Times New Roman" w:hAnsi="Times New Roman"/>
        </w:rPr>
        <w:t>第</w:t>
      </w:r>
      <w:r>
        <w:fldChar w:fldCharType="begin"/>
      </w:r>
      <w:r>
        <w:instrText xml:space="preserve"> REF _Ref477450181 \r \h  \* MERGEFORMAT </w:instrText>
      </w:r>
      <w:r>
        <w:fldChar w:fldCharType="separate"/>
      </w:r>
      <w:r>
        <w:rPr>
          <w:rFonts w:ascii="Times New Roman" w:hAnsi="Times New Roman"/>
        </w:rPr>
        <w:t>16</w:t>
      </w:r>
      <w:r>
        <w:fldChar w:fldCharType="end"/>
      </w:r>
      <w:r>
        <w:rPr>
          <w:rFonts w:hint="eastAsia" w:ascii="Times New Roman" w:hAnsi="Times New Roman"/>
        </w:rPr>
        <w:t>条规定的份数提交响应文件。</w:t>
      </w:r>
    </w:p>
    <w:p>
      <w:pPr>
        <w:pStyle w:val="91"/>
        <w:rPr>
          <w:rFonts w:ascii="Times New Roman" w:hAnsi="Times New Roman"/>
        </w:rPr>
      </w:pPr>
      <w:r>
        <w:rPr>
          <w:rFonts w:hint="eastAsia" w:ascii="Times New Roman" w:hAnsi="Times New Roman"/>
        </w:rPr>
        <w:t>如果要求提交响应文件电子文档，该文档应用不可擦写的刻录光盘（</w:t>
      </w:r>
      <w:r>
        <w:rPr>
          <w:rFonts w:ascii="Times New Roman" w:hAnsi="Times New Roman"/>
        </w:rPr>
        <w:t>CD-R</w:t>
      </w:r>
      <w:r>
        <w:rPr>
          <w:rFonts w:hint="eastAsia" w:ascii="Times New Roman" w:hAnsi="Times New Roman"/>
        </w:rPr>
        <w:t>）为存储介质，并在盘面标注响应人全称、项目编号和所投的包号；响应文件电子文档应与响应文件正本纸介质的全部内容一致并按照正本的顺序编排，有关资格证明文件和证书、检验报告等应依原样扫描为彩色电子文档，且清晰易读；</w:t>
      </w:r>
    </w:p>
    <w:p>
      <w:pPr>
        <w:pStyle w:val="91"/>
        <w:rPr>
          <w:rFonts w:ascii="Times New Roman" w:hAnsi="Times New Roman"/>
        </w:rPr>
      </w:pPr>
      <w:r>
        <w:rPr>
          <w:rFonts w:hint="eastAsia" w:ascii="Times New Roman" w:hAnsi="Times New Roman"/>
        </w:rPr>
        <w:t>投响应人应保证响应文件副本与正本、电子文档与文本文档的内容一致，如果正本与副本或电子文档不一致，以正本为准。响应文件正本报价一览表与报价一览表不一致的，以报价一览表为准。响应文件被误读或被视为无效等不利后果由响应人承担。</w:t>
      </w:r>
    </w:p>
    <w:p>
      <w:pPr>
        <w:pStyle w:val="91"/>
        <w:rPr>
          <w:rFonts w:ascii="Times New Roman" w:hAnsi="Times New Roman"/>
        </w:rPr>
      </w:pPr>
      <w:r>
        <w:rPr>
          <w:rFonts w:hint="eastAsia" w:ascii="Times New Roman" w:hAnsi="Times New Roman"/>
        </w:rPr>
        <w:t>响应文件的正本必须打印或用不褪色的墨水填写。响应文件正本封面注明</w:t>
      </w:r>
      <w:r>
        <w:rPr>
          <w:rFonts w:ascii="Times New Roman" w:hAnsi="Times New Roman"/>
        </w:rPr>
        <w:t>“</w:t>
      </w:r>
      <w:r>
        <w:rPr>
          <w:rFonts w:hint="eastAsia" w:ascii="Times New Roman" w:hAnsi="Times New Roman"/>
        </w:rPr>
        <w:t>正本</w:t>
      </w:r>
      <w:r>
        <w:rPr>
          <w:rFonts w:ascii="Times New Roman" w:hAnsi="Times New Roman"/>
        </w:rPr>
        <w:t>”</w:t>
      </w:r>
      <w:r>
        <w:rPr>
          <w:rFonts w:hint="eastAsia" w:ascii="Times New Roman" w:hAnsi="Times New Roman"/>
        </w:rPr>
        <w:t>字样。</w:t>
      </w:r>
    </w:p>
    <w:p>
      <w:pPr>
        <w:pStyle w:val="91"/>
        <w:rPr>
          <w:rFonts w:ascii="Times New Roman" w:hAnsi="Times New Roman"/>
        </w:rPr>
      </w:pPr>
      <w:r>
        <w:rPr>
          <w:rFonts w:hint="eastAsia" w:ascii="Times New Roman" w:hAnsi="Times New Roman"/>
        </w:rPr>
        <w:t>响应文件应字迹清楚、内容齐全、不得涂改或增删。如有修改和增删，必须有响应人公章及法定代表人或其授权的响应人代表签字。</w:t>
      </w:r>
    </w:p>
    <w:p>
      <w:pPr>
        <w:pStyle w:val="91"/>
        <w:rPr>
          <w:rFonts w:ascii="Times New Roman" w:hAnsi="Times New Roman"/>
          <w:szCs w:val="21"/>
        </w:rPr>
      </w:pPr>
      <w:r>
        <w:rPr>
          <w:rFonts w:hint="eastAsia" w:ascii="Times New Roman" w:hAnsi="Times New Roman"/>
        </w:rPr>
        <w:t>因响应文件字迹潦草或表达不清所引起的不利后果由响应人承担。</w:t>
      </w:r>
    </w:p>
    <w:p>
      <w:pPr>
        <w:pStyle w:val="44"/>
        <w:numPr>
          <w:ilvl w:val="0"/>
          <w:numId w:val="15"/>
        </w:numPr>
        <w:adjustRightInd/>
        <w:spacing w:line="415" w:lineRule="auto"/>
        <w:jc w:val="both"/>
        <w:textAlignment w:val="auto"/>
        <w:rPr>
          <w:kern w:val="2"/>
        </w:rPr>
      </w:pPr>
      <w:bookmarkStart w:id="61" w:name="_Toc486583477"/>
      <w:r>
        <w:rPr>
          <w:rFonts w:hint="eastAsia"/>
          <w:kern w:val="2"/>
        </w:rPr>
        <w:t>响应文件的递交</w:t>
      </w:r>
      <w:bookmarkEnd w:id="61"/>
    </w:p>
    <w:p>
      <w:pPr>
        <w:pStyle w:val="45"/>
        <w:numPr>
          <w:ilvl w:val="0"/>
          <w:numId w:val="22"/>
        </w:numPr>
        <w:adjustRightInd/>
        <w:spacing w:before="120" w:after="120" w:line="377" w:lineRule="auto"/>
        <w:ind w:left="420"/>
        <w:jc w:val="both"/>
        <w:textAlignment w:val="auto"/>
        <w:rPr>
          <w:rFonts w:ascii="Times New Roman" w:hAnsi="Times New Roman" w:eastAsia="宋体"/>
          <w:kern w:val="2"/>
          <w:sz w:val="24"/>
        </w:rPr>
      </w:pPr>
      <w:r>
        <w:rPr>
          <w:rFonts w:hint="eastAsia" w:ascii="Times New Roman" w:hAnsi="Times New Roman" w:eastAsia="宋体"/>
          <w:kern w:val="2"/>
          <w:sz w:val="24"/>
        </w:rPr>
        <w:t>响应文件的密封及标记</w:t>
      </w:r>
    </w:p>
    <w:p>
      <w:pPr>
        <w:pStyle w:val="91"/>
        <w:rPr>
          <w:rFonts w:ascii="Times New Roman" w:hAnsi="Times New Roman"/>
        </w:rPr>
      </w:pPr>
      <w:r>
        <w:rPr>
          <w:rFonts w:hint="eastAsia" w:ascii="Times New Roman" w:hAnsi="Times New Roman"/>
        </w:rPr>
        <w:t>响应文件应按以下方法分别装袋密封：</w:t>
      </w:r>
    </w:p>
    <w:p>
      <w:pPr>
        <w:numPr>
          <w:ilvl w:val="0"/>
          <w:numId w:val="23"/>
        </w:numPr>
        <w:spacing w:line="400" w:lineRule="exact"/>
        <w:textAlignment w:val="auto"/>
        <w:rPr>
          <w:sz w:val="21"/>
          <w:szCs w:val="21"/>
        </w:rPr>
      </w:pPr>
      <w:r>
        <w:rPr>
          <w:rFonts w:hint="eastAsia"/>
          <w:sz w:val="21"/>
          <w:szCs w:val="21"/>
        </w:rPr>
        <w:t>响应文件正副本、电子文档（如果要求提交）及响应人认为有必要提交的其他资料应密封完好，封口处应有法定代表人（或响应人代表）的签字或响应人公章。</w:t>
      </w:r>
    </w:p>
    <w:p>
      <w:pPr>
        <w:numPr>
          <w:ilvl w:val="0"/>
          <w:numId w:val="23"/>
        </w:numPr>
        <w:spacing w:line="400" w:lineRule="exact"/>
        <w:textAlignment w:val="auto"/>
        <w:rPr>
          <w:sz w:val="21"/>
          <w:szCs w:val="21"/>
        </w:rPr>
      </w:pPr>
      <w:r>
        <w:rPr>
          <w:rFonts w:hint="eastAsia"/>
          <w:sz w:val="21"/>
          <w:szCs w:val="21"/>
        </w:rPr>
        <w:t>报价一览表应单独密封，封口处应有法定代表人（或响应人代表）的签字或响应人公章。</w:t>
      </w:r>
    </w:p>
    <w:p>
      <w:pPr>
        <w:numPr>
          <w:ilvl w:val="0"/>
          <w:numId w:val="23"/>
        </w:numPr>
        <w:spacing w:line="400" w:lineRule="exact"/>
        <w:textAlignment w:val="auto"/>
        <w:rPr>
          <w:sz w:val="21"/>
          <w:szCs w:val="21"/>
        </w:rPr>
      </w:pPr>
      <w:r>
        <w:rPr>
          <w:rFonts w:hint="eastAsia"/>
          <w:sz w:val="21"/>
          <w:szCs w:val="21"/>
        </w:rPr>
        <w:t>法定代表人授权委托书应单独密封，封口处应有法定代表人（或响应人代表）的签字或响应人公章。</w:t>
      </w:r>
    </w:p>
    <w:p>
      <w:pPr>
        <w:numPr>
          <w:ilvl w:val="0"/>
          <w:numId w:val="23"/>
        </w:numPr>
        <w:spacing w:line="400" w:lineRule="exact"/>
        <w:textAlignment w:val="auto"/>
        <w:rPr>
          <w:sz w:val="21"/>
          <w:szCs w:val="21"/>
        </w:rPr>
      </w:pPr>
      <w:r>
        <w:rPr>
          <w:rFonts w:hint="eastAsia"/>
          <w:sz w:val="21"/>
          <w:szCs w:val="21"/>
        </w:rPr>
        <w:t>响应保证金相关材料单独密封。</w:t>
      </w:r>
    </w:p>
    <w:p>
      <w:pPr>
        <w:pStyle w:val="91"/>
        <w:rPr>
          <w:rFonts w:ascii="Times New Roman" w:hAnsi="Times New Roman"/>
          <w:szCs w:val="21"/>
        </w:rPr>
      </w:pPr>
      <w:r>
        <w:rPr>
          <w:rFonts w:hint="eastAsia" w:ascii="Times New Roman" w:hAnsi="Times New Roman"/>
        </w:rPr>
        <w:t>如果响应人未按上述要求对响应文件密封及加写标记，采购人对响应文件的误投和提前启封概不负责。对由此造成提前开封的响应文件，采购人有权予以拒绝，并退回响应人。</w:t>
      </w:r>
    </w:p>
    <w:p>
      <w:pPr>
        <w:pStyle w:val="45"/>
        <w:numPr>
          <w:ilvl w:val="0"/>
          <w:numId w:val="22"/>
        </w:numPr>
        <w:adjustRightInd/>
        <w:spacing w:before="120" w:after="120" w:line="377" w:lineRule="auto"/>
        <w:ind w:left="420"/>
        <w:jc w:val="both"/>
        <w:textAlignment w:val="auto"/>
        <w:rPr>
          <w:rFonts w:ascii="Times New Roman" w:hAnsi="Times New Roman" w:eastAsia="宋体"/>
          <w:kern w:val="2"/>
          <w:sz w:val="24"/>
        </w:rPr>
      </w:pPr>
      <w:r>
        <w:rPr>
          <w:rFonts w:hint="eastAsia" w:ascii="Times New Roman" w:hAnsi="Times New Roman" w:eastAsia="宋体"/>
          <w:kern w:val="2"/>
          <w:sz w:val="24"/>
        </w:rPr>
        <w:t>响应截止时间</w:t>
      </w:r>
    </w:p>
    <w:p>
      <w:pPr>
        <w:pStyle w:val="91"/>
        <w:rPr>
          <w:rFonts w:ascii="Times New Roman" w:hAnsi="Times New Roman"/>
        </w:rPr>
      </w:pPr>
      <w:r>
        <w:rPr>
          <w:rFonts w:hint="eastAsia" w:ascii="Times New Roman" w:hAnsi="Times New Roman"/>
        </w:rPr>
        <w:t>响应文件须按照磋商文件规定的响应时间、地点送达。在响应截止时间以后送达的响应文件，采购人拒绝接收。</w:t>
      </w:r>
    </w:p>
    <w:p>
      <w:pPr>
        <w:pStyle w:val="45"/>
        <w:numPr>
          <w:ilvl w:val="0"/>
          <w:numId w:val="22"/>
        </w:numPr>
        <w:adjustRightInd/>
        <w:spacing w:before="120" w:after="120" w:line="377" w:lineRule="auto"/>
        <w:ind w:left="420"/>
        <w:jc w:val="both"/>
        <w:textAlignment w:val="auto"/>
        <w:rPr>
          <w:rFonts w:ascii="Times New Roman" w:hAnsi="Times New Roman" w:eastAsia="宋体"/>
          <w:kern w:val="2"/>
          <w:sz w:val="24"/>
        </w:rPr>
      </w:pPr>
      <w:r>
        <w:rPr>
          <w:rFonts w:hint="eastAsia" w:ascii="Times New Roman" w:hAnsi="Times New Roman" w:eastAsia="宋体"/>
          <w:kern w:val="2"/>
          <w:sz w:val="24"/>
        </w:rPr>
        <w:t>响应文件的补充、修改和撤回</w:t>
      </w:r>
    </w:p>
    <w:p>
      <w:pPr>
        <w:pStyle w:val="91"/>
        <w:rPr>
          <w:rFonts w:ascii="Times New Roman" w:hAnsi="Times New Roman"/>
        </w:rPr>
      </w:pPr>
      <w:r>
        <w:rPr>
          <w:rFonts w:hint="eastAsia" w:ascii="Times New Roman" w:hAnsi="Times New Roman"/>
        </w:rPr>
        <w:t>响应人可以在响应截止时间前，对所递交的响应文件进行补充、修改或者撤回，并以书面形式通知采购人，补充、修改和撤标要求须经采购人签字确认接受，否则无效。有效的补充、修改的内容作为响应文件的组成部分。补充、修改的内容与响应文件不一致的，以补充、修改的内容为准。</w:t>
      </w:r>
    </w:p>
    <w:p>
      <w:pPr>
        <w:pStyle w:val="91"/>
        <w:rPr>
          <w:rFonts w:ascii="Times New Roman" w:hAnsi="Times New Roman"/>
        </w:rPr>
      </w:pPr>
      <w:r>
        <w:rPr>
          <w:rFonts w:hint="eastAsia" w:ascii="Times New Roman" w:hAnsi="Times New Roman"/>
        </w:rPr>
        <w:t>响应人撤回响应的要求应由响应人法定代表人或响应人代表签署，补充、修改响应文件的书面材料，应当按照磋商文件要求签署、盖章，作为响应文件的组成部分，密封送达采购人，同时应在封套上标明</w:t>
      </w:r>
      <w:r>
        <w:rPr>
          <w:rFonts w:ascii="Times New Roman" w:hAnsi="Times New Roman"/>
        </w:rPr>
        <w:t>“</w:t>
      </w:r>
      <w:r>
        <w:rPr>
          <w:rFonts w:hint="eastAsia" w:ascii="Times New Roman" w:hAnsi="Times New Roman"/>
        </w:rPr>
        <w:t>修改响应文件（并注明项目编号）</w:t>
      </w:r>
      <w:r>
        <w:rPr>
          <w:rFonts w:ascii="Times New Roman" w:hAnsi="Times New Roman"/>
        </w:rPr>
        <w:t>”</w:t>
      </w:r>
      <w:r>
        <w:rPr>
          <w:rFonts w:hint="eastAsia" w:ascii="Times New Roman" w:hAnsi="Times New Roman"/>
        </w:rPr>
        <w:t>和</w:t>
      </w:r>
      <w:r>
        <w:rPr>
          <w:rFonts w:ascii="Times New Roman" w:hAnsi="Times New Roman"/>
        </w:rPr>
        <w:t>“</w:t>
      </w:r>
      <w:r>
        <w:rPr>
          <w:rFonts w:hint="eastAsia" w:ascii="Times New Roman" w:hAnsi="Times New Roman"/>
        </w:rPr>
        <w:t>磋商时启封</w:t>
      </w:r>
      <w:r>
        <w:rPr>
          <w:rFonts w:ascii="Times New Roman" w:hAnsi="Times New Roman"/>
        </w:rPr>
        <w:t>”</w:t>
      </w:r>
      <w:r>
        <w:rPr>
          <w:rFonts w:hint="eastAsia" w:ascii="Times New Roman" w:hAnsi="Times New Roman"/>
        </w:rPr>
        <w:t>字样。</w:t>
      </w:r>
    </w:p>
    <w:p>
      <w:pPr>
        <w:pStyle w:val="91"/>
        <w:rPr>
          <w:rFonts w:ascii="Times New Roman" w:hAnsi="Times New Roman"/>
          <w:szCs w:val="21"/>
        </w:rPr>
      </w:pPr>
      <w:r>
        <w:rPr>
          <w:rFonts w:hint="eastAsia" w:ascii="Times New Roman" w:hAnsi="Times New Roman"/>
        </w:rPr>
        <w:t>在响应截止时间之后，响应人不得撤回响应。</w:t>
      </w:r>
    </w:p>
    <w:p>
      <w:pPr>
        <w:pStyle w:val="44"/>
        <w:numPr>
          <w:ilvl w:val="0"/>
          <w:numId w:val="15"/>
        </w:numPr>
        <w:adjustRightInd/>
        <w:spacing w:line="415" w:lineRule="auto"/>
        <w:jc w:val="both"/>
        <w:textAlignment w:val="auto"/>
        <w:rPr>
          <w:kern w:val="2"/>
        </w:rPr>
      </w:pPr>
      <w:bookmarkStart w:id="62" w:name="_Toc486583478"/>
      <w:r>
        <w:rPr>
          <w:rFonts w:hint="eastAsia"/>
          <w:kern w:val="2"/>
        </w:rPr>
        <w:t>磋商步骤和要求</w:t>
      </w:r>
      <w:bookmarkEnd w:id="62"/>
      <w:r>
        <w:rPr>
          <w:kern w:val="2"/>
        </w:rPr>
        <w:t xml:space="preserve"> </w:t>
      </w:r>
    </w:p>
    <w:p>
      <w:pPr>
        <w:pStyle w:val="45"/>
        <w:numPr>
          <w:ilvl w:val="0"/>
          <w:numId w:val="24"/>
        </w:numPr>
        <w:adjustRightInd/>
        <w:spacing w:before="120" w:after="120" w:line="377" w:lineRule="auto"/>
        <w:ind w:left="420"/>
        <w:jc w:val="both"/>
        <w:textAlignment w:val="auto"/>
        <w:rPr>
          <w:rFonts w:ascii="Times New Roman" w:hAnsi="Times New Roman" w:eastAsia="宋体"/>
          <w:kern w:val="2"/>
          <w:sz w:val="24"/>
        </w:rPr>
      </w:pPr>
      <w:r>
        <w:rPr>
          <w:rFonts w:hint="eastAsia" w:ascii="Times New Roman" w:hAnsi="Times New Roman" w:eastAsia="宋体"/>
          <w:kern w:val="2"/>
          <w:sz w:val="24"/>
        </w:rPr>
        <w:t>组建磋商小组</w:t>
      </w:r>
    </w:p>
    <w:p>
      <w:pPr>
        <w:pStyle w:val="91"/>
        <w:rPr>
          <w:rFonts w:ascii="Times New Roman" w:hAnsi="Times New Roman"/>
        </w:rPr>
      </w:pPr>
      <w:r>
        <w:rPr>
          <w:rFonts w:hint="eastAsia" w:ascii="Times New Roman" w:hAnsi="Times New Roman"/>
        </w:rPr>
        <w:t>采购人根据有关法律法规和本磋商文件的规定，结合本磋商项目的特点组建磋商小组，对具备实质性响应的响应文件进行评估和比较。磋商小组由三人以上单数组成，其中经济、技术等方面的专家不少于磋商小组成员总数的三分之二。</w:t>
      </w:r>
    </w:p>
    <w:p>
      <w:pPr>
        <w:pStyle w:val="91"/>
        <w:rPr>
          <w:rFonts w:ascii="Times New Roman" w:hAnsi="Times New Roman"/>
        </w:rPr>
      </w:pPr>
      <w:r>
        <w:rPr>
          <w:rFonts w:hint="eastAsia" w:ascii="Times New Roman" w:hAnsi="Times New Roman"/>
        </w:rPr>
        <w:t>采购人就磋商文件征询过意见的专家</w:t>
      </w:r>
      <w:r>
        <w:rPr>
          <w:rFonts w:ascii="Times New Roman" w:hAnsi="Times New Roman"/>
        </w:rPr>
        <w:t>,</w:t>
      </w:r>
      <w:r>
        <w:rPr>
          <w:rFonts w:hint="eastAsia" w:ascii="Times New Roman" w:hAnsi="Times New Roman"/>
        </w:rPr>
        <w:t>不作为评审专家参加评标，采购人代表不能以专家身份参与评标，采购人工作人员不得参加评标。</w:t>
      </w:r>
    </w:p>
    <w:p>
      <w:pPr>
        <w:pStyle w:val="45"/>
        <w:numPr>
          <w:ilvl w:val="0"/>
          <w:numId w:val="24"/>
        </w:numPr>
        <w:adjustRightInd/>
        <w:spacing w:before="120" w:after="120" w:line="377" w:lineRule="auto"/>
        <w:ind w:left="420"/>
        <w:jc w:val="both"/>
        <w:textAlignment w:val="auto"/>
        <w:rPr>
          <w:rFonts w:ascii="Times New Roman" w:hAnsi="Times New Roman" w:eastAsia="宋体"/>
          <w:kern w:val="2"/>
          <w:sz w:val="24"/>
        </w:rPr>
      </w:pPr>
      <w:r>
        <w:rPr>
          <w:rFonts w:hint="eastAsia" w:ascii="Times New Roman" w:hAnsi="Times New Roman" w:eastAsia="宋体"/>
          <w:kern w:val="2"/>
          <w:sz w:val="24"/>
        </w:rPr>
        <w:t>磋商准备与初步评审</w:t>
      </w:r>
    </w:p>
    <w:p>
      <w:pPr>
        <w:pStyle w:val="91"/>
        <w:rPr>
          <w:rFonts w:ascii="Times New Roman" w:hAnsi="Times New Roman"/>
        </w:rPr>
      </w:pPr>
      <w:r>
        <w:rPr>
          <w:rFonts w:hint="eastAsia" w:ascii="Times New Roman" w:hAnsi="Times New Roman"/>
        </w:rPr>
        <w:t>磋商小组所有成员应当集中与单一供应商分别进行磋商，并给予所有参加磋商的供应商平等的磋商机会。</w:t>
      </w:r>
    </w:p>
    <w:p>
      <w:pPr>
        <w:pStyle w:val="91"/>
        <w:rPr>
          <w:rFonts w:ascii="Times New Roman" w:hAnsi="Times New Roman"/>
        </w:rPr>
      </w:pPr>
      <w:r>
        <w:rPr>
          <w:rFonts w:hint="eastAsia" w:ascii="Times New Roman" w:hAnsi="Times New Roman"/>
        </w:rPr>
        <w:t>响应截止时间后，磋商小组将审查响应文件是否符合磋商文件的基本要求：内容是否完整、资格证明文件是否齐全、有无计算错误、文件签署是否齐全及验证保证金。</w:t>
      </w:r>
    </w:p>
    <w:p>
      <w:pPr>
        <w:pStyle w:val="91"/>
        <w:rPr>
          <w:rFonts w:ascii="Times New Roman" w:hAnsi="Times New Roman"/>
        </w:rPr>
      </w:pPr>
      <w:r>
        <w:rPr>
          <w:rFonts w:hint="eastAsia" w:ascii="Times New Roman" w:hAnsi="Times New Roman"/>
        </w:rPr>
        <w:t>在详细评审之前，磋商小组要审查每份响应文件是否实质上响应了磋商文件的要求：</w:t>
      </w:r>
    </w:p>
    <w:p>
      <w:pPr>
        <w:pStyle w:val="91"/>
        <w:rPr>
          <w:rFonts w:ascii="Times New Roman" w:hAnsi="Times New Roman"/>
        </w:rPr>
      </w:pPr>
      <w:r>
        <w:rPr>
          <w:rFonts w:hint="eastAsia" w:ascii="Times New Roman" w:hAnsi="Times New Roman"/>
        </w:rPr>
        <w:t>实质上响应是指与磋商文件的主要条款、条件和规格相符，没有重大偏离或保留。</w:t>
      </w:r>
    </w:p>
    <w:p>
      <w:pPr>
        <w:pStyle w:val="91"/>
        <w:rPr>
          <w:rFonts w:ascii="Times New Roman" w:hAnsi="Times New Roman"/>
        </w:rPr>
      </w:pPr>
      <w:r>
        <w:rPr>
          <w:rFonts w:hint="eastAsia" w:ascii="Times New Roman" w:hAnsi="Times New Roman"/>
        </w:rPr>
        <w:t>重大偏离或保留系指响应产品的质量、数量和交货期限等明显不能满足磋商文件的要求，或者实质上与磋商文件不一致，而且限制了采购人的权利或响应人的义务，纠正这些偏离或保留将对其他实质上响应要求的响应人的竞争地位产生不公正的影响。包括但不限于：</w:t>
      </w:r>
    </w:p>
    <w:p>
      <w:pPr>
        <w:numPr>
          <w:ilvl w:val="0"/>
          <w:numId w:val="25"/>
        </w:numPr>
        <w:spacing w:line="400" w:lineRule="exact"/>
        <w:textAlignment w:val="auto"/>
        <w:rPr>
          <w:sz w:val="21"/>
          <w:szCs w:val="21"/>
        </w:rPr>
      </w:pPr>
      <w:r>
        <w:rPr>
          <w:rFonts w:hint="eastAsia"/>
          <w:sz w:val="21"/>
          <w:szCs w:val="21"/>
        </w:rPr>
        <w:t>应当交纳响应保证金的响应人未提交响应保证金或金额不足的；</w:t>
      </w:r>
    </w:p>
    <w:p>
      <w:pPr>
        <w:numPr>
          <w:ilvl w:val="0"/>
          <w:numId w:val="25"/>
        </w:numPr>
        <w:spacing w:line="400" w:lineRule="exact"/>
        <w:textAlignment w:val="auto"/>
        <w:rPr>
          <w:sz w:val="21"/>
          <w:szCs w:val="21"/>
        </w:rPr>
      </w:pPr>
      <w:r>
        <w:rPr>
          <w:rFonts w:hint="eastAsia"/>
          <w:sz w:val="21"/>
          <w:szCs w:val="21"/>
        </w:rPr>
        <w:t>本文件</w:t>
      </w:r>
      <w:r>
        <w:rPr>
          <w:sz w:val="21"/>
          <w:szCs w:val="21"/>
        </w:rPr>
        <w:t>“</w:t>
      </w:r>
      <w:r>
        <w:rPr>
          <w:rFonts w:hint="eastAsia"/>
          <w:sz w:val="21"/>
          <w:szCs w:val="21"/>
        </w:rPr>
        <w:t>响应人须知</w:t>
      </w:r>
      <w:r>
        <w:rPr>
          <w:sz w:val="21"/>
          <w:szCs w:val="21"/>
        </w:rPr>
        <w:t>”</w:t>
      </w:r>
      <w:r>
        <w:rPr>
          <w:rFonts w:hint="eastAsia"/>
          <w:sz w:val="21"/>
          <w:szCs w:val="21"/>
        </w:rPr>
        <w:t>第</w:t>
      </w:r>
      <w:r>
        <w:rPr>
          <w:sz w:val="21"/>
          <w:szCs w:val="21"/>
        </w:rPr>
        <w:t>7-9</w:t>
      </w:r>
      <w:r>
        <w:rPr>
          <w:rFonts w:hint="eastAsia"/>
          <w:sz w:val="21"/>
          <w:szCs w:val="21"/>
        </w:rPr>
        <w:t>条部分中，带</w:t>
      </w:r>
      <w:r>
        <w:rPr>
          <w:sz w:val="21"/>
          <w:szCs w:val="21"/>
        </w:rPr>
        <w:t>*</w:t>
      </w:r>
      <w:r>
        <w:rPr>
          <w:rFonts w:hint="eastAsia"/>
          <w:sz w:val="21"/>
          <w:szCs w:val="21"/>
        </w:rPr>
        <w:t>的资格证明文件不全或无效的；</w:t>
      </w:r>
    </w:p>
    <w:p>
      <w:pPr>
        <w:numPr>
          <w:ilvl w:val="0"/>
          <w:numId w:val="25"/>
        </w:numPr>
        <w:spacing w:line="400" w:lineRule="exact"/>
        <w:textAlignment w:val="auto"/>
        <w:rPr>
          <w:sz w:val="21"/>
          <w:szCs w:val="21"/>
        </w:rPr>
      </w:pPr>
      <w:r>
        <w:rPr>
          <w:rFonts w:hint="eastAsia"/>
          <w:sz w:val="21"/>
          <w:szCs w:val="21"/>
        </w:rPr>
        <w:t>响应文件未按磋商文件的规定密封、签署、盖章的；</w:t>
      </w:r>
    </w:p>
    <w:p>
      <w:pPr>
        <w:numPr>
          <w:ilvl w:val="0"/>
          <w:numId w:val="25"/>
        </w:numPr>
        <w:spacing w:line="400" w:lineRule="exact"/>
        <w:textAlignment w:val="auto"/>
        <w:rPr>
          <w:sz w:val="21"/>
          <w:szCs w:val="21"/>
        </w:rPr>
      </w:pPr>
      <w:r>
        <w:rPr>
          <w:rFonts w:hint="eastAsia"/>
          <w:sz w:val="21"/>
          <w:szCs w:val="21"/>
        </w:rPr>
        <w:t>响应有效期不足的；</w:t>
      </w:r>
    </w:p>
    <w:p>
      <w:pPr>
        <w:numPr>
          <w:ilvl w:val="0"/>
          <w:numId w:val="25"/>
        </w:numPr>
        <w:spacing w:line="400" w:lineRule="exact"/>
        <w:textAlignment w:val="auto"/>
        <w:rPr>
          <w:sz w:val="21"/>
          <w:szCs w:val="21"/>
        </w:rPr>
      </w:pPr>
      <w:r>
        <w:rPr>
          <w:rFonts w:hint="eastAsia"/>
          <w:sz w:val="21"/>
          <w:szCs w:val="21"/>
        </w:rPr>
        <w:t>响应产品性能、规格、数量、交货时间、货物包装方式、检验标准和方法、售后服务承诺等不满足磋商文件中的相关要求和超出采购人可接受的偏差范围的；</w:t>
      </w:r>
    </w:p>
    <w:p>
      <w:pPr>
        <w:numPr>
          <w:ilvl w:val="0"/>
          <w:numId w:val="25"/>
        </w:numPr>
        <w:spacing w:line="400" w:lineRule="exact"/>
        <w:textAlignment w:val="auto"/>
        <w:rPr>
          <w:sz w:val="21"/>
          <w:szCs w:val="21"/>
        </w:rPr>
      </w:pPr>
      <w:r>
        <w:rPr>
          <w:rFonts w:hint="eastAsia"/>
          <w:sz w:val="21"/>
          <w:szCs w:val="21"/>
        </w:rPr>
        <w:t>未按照磋商文件规定报价的；</w:t>
      </w:r>
    </w:p>
    <w:p>
      <w:pPr>
        <w:numPr>
          <w:ilvl w:val="0"/>
          <w:numId w:val="25"/>
        </w:numPr>
        <w:spacing w:line="400" w:lineRule="exact"/>
        <w:textAlignment w:val="auto"/>
        <w:rPr>
          <w:sz w:val="21"/>
          <w:szCs w:val="21"/>
        </w:rPr>
      </w:pPr>
      <w:r>
        <w:rPr>
          <w:rFonts w:hint="eastAsia"/>
          <w:sz w:val="21"/>
          <w:szCs w:val="21"/>
        </w:rPr>
        <w:t>不符合磋商文件有关分包、转包规定的；</w:t>
      </w:r>
    </w:p>
    <w:p>
      <w:pPr>
        <w:numPr>
          <w:ilvl w:val="0"/>
          <w:numId w:val="25"/>
        </w:numPr>
        <w:spacing w:line="400" w:lineRule="exact"/>
        <w:textAlignment w:val="auto"/>
        <w:rPr>
          <w:sz w:val="21"/>
          <w:szCs w:val="21"/>
        </w:rPr>
      </w:pPr>
      <w:r>
        <w:rPr>
          <w:rFonts w:hint="eastAsia"/>
          <w:sz w:val="21"/>
          <w:szCs w:val="21"/>
        </w:rPr>
        <w:t>联合体响应文件未附联合体响应协议书的；</w:t>
      </w:r>
    </w:p>
    <w:p>
      <w:pPr>
        <w:numPr>
          <w:ilvl w:val="0"/>
          <w:numId w:val="25"/>
        </w:numPr>
        <w:spacing w:line="400" w:lineRule="exact"/>
        <w:textAlignment w:val="auto"/>
        <w:rPr>
          <w:sz w:val="21"/>
          <w:szCs w:val="21"/>
        </w:rPr>
      </w:pPr>
      <w:r>
        <w:rPr>
          <w:rFonts w:hint="eastAsia"/>
          <w:sz w:val="21"/>
          <w:szCs w:val="21"/>
        </w:rPr>
        <w:t>响应文件附有采购人不能接受的条件；</w:t>
      </w:r>
    </w:p>
    <w:p>
      <w:pPr>
        <w:numPr>
          <w:ilvl w:val="0"/>
          <w:numId w:val="25"/>
        </w:numPr>
        <w:spacing w:line="400" w:lineRule="exact"/>
        <w:textAlignment w:val="auto"/>
        <w:rPr>
          <w:sz w:val="21"/>
          <w:szCs w:val="21"/>
        </w:rPr>
      </w:pPr>
      <w:r>
        <w:rPr>
          <w:rFonts w:hint="eastAsia"/>
          <w:sz w:val="21"/>
          <w:szCs w:val="21"/>
        </w:rPr>
        <w:t>不符合磋商文件中规定的其他实质性要求。</w:t>
      </w:r>
    </w:p>
    <w:p>
      <w:pPr>
        <w:pStyle w:val="91"/>
        <w:rPr>
          <w:rFonts w:ascii="Times New Roman" w:hAnsi="Times New Roman"/>
        </w:rPr>
      </w:pPr>
      <w:r>
        <w:rPr>
          <w:rFonts w:hint="eastAsia" w:ascii="Times New Roman" w:hAnsi="Times New Roman"/>
        </w:rPr>
        <w:t>重大偏离不允许在响应截止时间后修正，但磋商小组将允许修正响应中不构成重大偏离的地方，这些修正不会对其他实质上响应磋商文件要求的响应人的竞争地位产生不公正的影响。</w:t>
      </w:r>
    </w:p>
    <w:p>
      <w:pPr>
        <w:pStyle w:val="91"/>
        <w:rPr>
          <w:rFonts w:ascii="Times New Roman" w:hAnsi="Times New Roman"/>
        </w:rPr>
      </w:pPr>
      <w:r>
        <w:rPr>
          <w:rFonts w:hint="eastAsia" w:ascii="Times New Roman" w:hAnsi="Times New Roman"/>
        </w:rPr>
        <w:t>如果响应文件实质上没有响应磋商文件的要求，磋商小组将予以拒绝，响应人不得再对响应文件进行任何修正从而使其响应成为实质上响应的响应。</w:t>
      </w:r>
    </w:p>
    <w:p>
      <w:pPr>
        <w:pStyle w:val="91"/>
        <w:rPr>
          <w:rFonts w:ascii="Times New Roman" w:hAnsi="Times New Roman"/>
        </w:rPr>
      </w:pPr>
      <w:r>
        <w:rPr>
          <w:rFonts w:hint="eastAsia" w:ascii="Times New Roman" w:hAnsi="Times New Roman"/>
        </w:rPr>
        <w:t>响应文件的细微偏差是指在实质上响应磋商文件要求，但在个别地方存在漏项或者提供了不完整的技术信息和数据等情况，并且补正这些遗漏或者不完整不会对其他响应人造成不公平的结果。细微偏差不影响响应文件的有效性。</w:t>
      </w:r>
    </w:p>
    <w:p>
      <w:pPr>
        <w:pStyle w:val="91"/>
        <w:rPr>
          <w:rFonts w:ascii="Times New Roman" w:hAnsi="Times New Roman"/>
        </w:rPr>
      </w:pPr>
      <w:r>
        <w:rPr>
          <w:rFonts w:hint="eastAsia" w:ascii="Times New Roman" w:hAnsi="Times New Roman"/>
        </w:rPr>
        <w:t>初审中，对明显的文字和计算错误按下述原则处理，若出现相互矛盾之处，应以排列在先的原则为准优先处理：</w:t>
      </w:r>
    </w:p>
    <w:p>
      <w:pPr>
        <w:numPr>
          <w:ilvl w:val="0"/>
          <w:numId w:val="26"/>
        </w:numPr>
        <w:spacing w:line="400" w:lineRule="exact"/>
        <w:textAlignment w:val="auto"/>
        <w:rPr>
          <w:sz w:val="21"/>
          <w:szCs w:val="21"/>
        </w:rPr>
      </w:pPr>
      <w:r>
        <w:rPr>
          <w:rFonts w:hint="eastAsia"/>
          <w:sz w:val="21"/>
          <w:szCs w:val="21"/>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sz w:val="21"/>
          <w:szCs w:val="21"/>
        </w:rPr>
        <w:t>,</w:t>
      </w:r>
      <w:r>
        <w:rPr>
          <w:rFonts w:hint="eastAsia"/>
          <w:sz w:val="21"/>
          <w:szCs w:val="21"/>
        </w:rPr>
        <w:t>以报价一览表为准。</w:t>
      </w:r>
    </w:p>
    <w:p>
      <w:pPr>
        <w:numPr>
          <w:ilvl w:val="0"/>
          <w:numId w:val="26"/>
        </w:numPr>
        <w:spacing w:line="400" w:lineRule="exact"/>
        <w:textAlignment w:val="auto"/>
        <w:rPr>
          <w:sz w:val="21"/>
          <w:szCs w:val="21"/>
        </w:rPr>
      </w:pPr>
      <w:r>
        <w:rPr>
          <w:rFonts w:hint="eastAsia"/>
          <w:sz w:val="21"/>
          <w:szCs w:val="21"/>
        </w:rPr>
        <w:t>如果以文字表示的数据与数字表示的有差别，以文字为准修正数字。如果大小写金额不一致的，以大写金额为准。</w:t>
      </w:r>
    </w:p>
    <w:p>
      <w:pPr>
        <w:numPr>
          <w:ilvl w:val="0"/>
          <w:numId w:val="26"/>
        </w:numPr>
        <w:spacing w:line="400" w:lineRule="exact"/>
        <w:textAlignment w:val="auto"/>
        <w:rPr>
          <w:sz w:val="21"/>
          <w:szCs w:val="21"/>
        </w:rPr>
      </w:pPr>
      <w:r>
        <w:rPr>
          <w:rFonts w:hint="eastAsia"/>
          <w:sz w:val="21"/>
          <w:szCs w:val="21"/>
        </w:rPr>
        <w:t>如果报价一览表响应总价与分项报价之和不符，应以响应总价为准，若未注明所调整的分项报价，将按相差比例修正所有分项报价；如果报价一览表响应总价与响应文件正本报价明细表总价不一致，以报价一览表响应总价为准，若未注明所调整的分项报价，将按相差比例修正报价明细表所有单价及总价。</w:t>
      </w:r>
    </w:p>
    <w:p>
      <w:pPr>
        <w:numPr>
          <w:ilvl w:val="0"/>
          <w:numId w:val="26"/>
        </w:numPr>
        <w:spacing w:line="400" w:lineRule="exact"/>
        <w:textAlignment w:val="auto"/>
        <w:rPr>
          <w:sz w:val="21"/>
          <w:szCs w:val="21"/>
        </w:rPr>
      </w:pPr>
      <w:r>
        <w:rPr>
          <w:rFonts w:hint="eastAsia"/>
          <w:sz w:val="21"/>
          <w:szCs w:val="21"/>
        </w:rPr>
        <w:t>调整后的数据应对响应人具有约束力，响应人不同意以上修正，其响应将被拒绝。</w:t>
      </w:r>
    </w:p>
    <w:p>
      <w:pPr>
        <w:pStyle w:val="91"/>
        <w:rPr>
          <w:rFonts w:ascii="Times New Roman" w:hAnsi="Times New Roman"/>
        </w:rPr>
      </w:pPr>
      <w:r>
        <w:rPr>
          <w:rFonts w:hint="eastAsia" w:ascii="Times New Roman" w:hAnsi="Times New Roman"/>
        </w:rPr>
        <w:t>磋商小组对响应文件的判定</w:t>
      </w:r>
      <w:r>
        <w:rPr>
          <w:rFonts w:ascii="Times New Roman" w:hAnsi="Times New Roman"/>
        </w:rPr>
        <w:t>,</w:t>
      </w:r>
      <w:r>
        <w:rPr>
          <w:rFonts w:hint="eastAsia" w:ascii="Times New Roman" w:hAnsi="Times New Roman"/>
        </w:rPr>
        <w:t>只依据响应文件内容本身</w:t>
      </w:r>
      <w:r>
        <w:rPr>
          <w:rFonts w:ascii="Times New Roman" w:hAnsi="Times New Roman"/>
        </w:rPr>
        <w:t>,</w:t>
      </w:r>
      <w:r>
        <w:rPr>
          <w:rFonts w:hint="eastAsia" w:ascii="Times New Roman" w:hAnsi="Times New Roman"/>
        </w:rPr>
        <w:t>不依据任何外来证明。</w:t>
      </w:r>
    </w:p>
    <w:p>
      <w:pPr>
        <w:pStyle w:val="45"/>
        <w:numPr>
          <w:ilvl w:val="0"/>
          <w:numId w:val="24"/>
        </w:numPr>
        <w:adjustRightInd/>
        <w:spacing w:before="120" w:after="120" w:line="377" w:lineRule="auto"/>
        <w:ind w:left="420"/>
        <w:jc w:val="both"/>
        <w:textAlignment w:val="auto"/>
        <w:rPr>
          <w:rFonts w:ascii="Times New Roman" w:hAnsi="Times New Roman" w:eastAsia="宋体"/>
          <w:kern w:val="2"/>
          <w:sz w:val="24"/>
        </w:rPr>
      </w:pPr>
      <w:r>
        <w:rPr>
          <w:rFonts w:hint="eastAsia" w:ascii="Times New Roman" w:hAnsi="Times New Roman" w:eastAsia="宋体"/>
          <w:kern w:val="2"/>
          <w:sz w:val="24"/>
        </w:rPr>
        <w:t>响应的澄清</w:t>
      </w:r>
    </w:p>
    <w:p>
      <w:pPr>
        <w:pStyle w:val="91"/>
        <w:rPr>
          <w:rFonts w:ascii="Times New Roman" w:hAnsi="Times New Roman"/>
        </w:rPr>
      </w:pPr>
      <w:r>
        <w:rPr>
          <w:rFonts w:hint="eastAsia" w:ascii="Times New Roman" w:hAnsi="Times New Roman"/>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并由磋商小组专家签字。供应商的澄清、说明或者更正应当由法定代表人或其授权代表签字或者加盖公章。由授权代表签字的，应当附法定代表人授权书。供应商为自然人的，应当由本人签字并附身份证明。</w:t>
      </w:r>
    </w:p>
    <w:p>
      <w:pPr>
        <w:pStyle w:val="91"/>
        <w:rPr>
          <w:rFonts w:ascii="Times New Roman" w:hAnsi="Times New Roman"/>
        </w:rPr>
      </w:pPr>
      <w:r>
        <w:rPr>
          <w:rFonts w:hint="eastAsia" w:ascii="Times New Roman" w:hAnsi="Times New Roman"/>
        </w:rPr>
        <w:t>响应人必须按照磋商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磋商小组可拒绝该响应。</w:t>
      </w:r>
    </w:p>
    <w:p>
      <w:pPr>
        <w:pStyle w:val="91"/>
        <w:rPr>
          <w:rFonts w:ascii="Times New Roman" w:hAnsi="Times New Roman"/>
        </w:rPr>
      </w:pPr>
      <w:r>
        <w:rPr>
          <w:rFonts w:hint="eastAsia" w:ascii="Times New Roman" w:hAnsi="Times New Roman"/>
        </w:rPr>
        <w:t>如磋商小组一致认为某个响应人的报价与各响应人报价的平均报价价差较大，存在明显不合理，有低于成本价或降低质量、不能诚信履行的可能，影响公平竞争时，磋商小组有权决定是否通知响应人限期进行书面解释或提供相关证明材料。若已要求，而该响应人在规定期限内未做出解释、作出的解释不合理或不能提供证明材料的，磋商小组可拒绝该响应。</w:t>
      </w:r>
    </w:p>
    <w:p>
      <w:pPr>
        <w:pStyle w:val="45"/>
        <w:numPr>
          <w:ilvl w:val="0"/>
          <w:numId w:val="24"/>
        </w:numPr>
        <w:adjustRightInd/>
        <w:spacing w:before="120" w:after="120" w:line="377" w:lineRule="auto"/>
        <w:ind w:left="420"/>
        <w:jc w:val="both"/>
        <w:textAlignment w:val="auto"/>
        <w:rPr>
          <w:rFonts w:ascii="Times New Roman" w:hAnsi="Times New Roman" w:eastAsia="宋体"/>
          <w:kern w:val="2"/>
          <w:sz w:val="24"/>
        </w:rPr>
      </w:pPr>
      <w:r>
        <w:rPr>
          <w:rFonts w:hint="eastAsia" w:ascii="Times New Roman" w:hAnsi="Times New Roman" w:eastAsia="宋体"/>
          <w:kern w:val="2"/>
          <w:sz w:val="24"/>
        </w:rPr>
        <w:t>对响应文件的详细评审</w:t>
      </w:r>
    </w:p>
    <w:p>
      <w:pPr>
        <w:pStyle w:val="91"/>
        <w:rPr>
          <w:rFonts w:ascii="Times New Roman" w:hAnsi="Times New Roman"/>
        </w:rPr>
      </w:pPr>
      <w:r>
        <w:rPr>
          <w:rFonts w:hint="eastAsia" w:ascii="Times New Roman" w:hAnsi="Times New Roman"/>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91"/>
        <w:rPr>
          <w:rFonts w:ascii="Times New Roman" w:hAnsi="Times New Roman"/>
        </w:rPr>
      </w:pPr>
      <w:r>
        <w:rPr>
          <w:rFonts w:hint="eastAsia" w:ascii="Times New Roman" w:hAnsi="Times New Roman"/>
        </w:rPr>
        <w:t>磋商文件能够详细列明采购标的的技术、服务要求的，磋商结束后，磋商小组应当要求所有实质性响应的供应商在规定时间内提交最后报价，提交最后报价的供应商不得少于</w:t>
      </w:r>
      <w:r>
        <w:rPr>
          <w:rFonts w:ascii="Times New Roman" w:hAnsi="Times New Roman"/>
        </w:rPr>
        <w:t>2</w:t>
      </w:r>
      <w:r>
        <w:rPr>
          <w:rFonts w:hint="eastAsia" w:ascii="Times New Roman" w:hAnsi="Times New Roman"/>
        </w:rPr>
        <w:t>家。磋商文件不能详细列明采购标的的技术、服务要求，需经磋商由供应商提供最终设计方案或解决方案的，磋商结束后，磋商小组应当按照少数服从多数的原则投票推荐</w:t>
      </w:r>
      <w:r>
        <w:rPr>
          <w:rFonts w:ascii="Times New Roman" w:hAnsi="Times New Roman"/>
        </w:rPr>
        <w:t>2</w:t>
      </w:r>
      <w:r>
        <w:rPr>
          <w:rFonts w:hint="eastAsia" w:ascii="Times New Roman" w:hAnsi="Times New Roman"/>
        </w:rPr>
        <w:t>家以上供应商的设计方案或者解决方案，并要求其在规定时间内提交最后报价。最后报价是供应商响应文件的有效组成部分。</w:t>
      </w:r>
    </w:p>
    <w:p>
      <w:pPr>
        <w:pStyle w:val="91"/>
        <w:rPr>
          <w:rFonts w:ascii="Times New Roman" w:hAnsi="Times New Roman"/>
        </w:rPr>
      </w:pPr>
      <w:r>
        <w:rPr>
          <w:rFonts w:hint="eastAsia" w:ascii="Times New Roman" w:hAnsi="Times New Roman"/>
        </w:rPr>
        <w:t>已提交响应文件的供应商，在提交最后报价之前，可以根据磋商情况退出磋商。采购人、采购代理机构应当退还退出磋商的供应商的响应保证金。</w:t>
      </w:r>
    </w:p>
    <w:p>
      <w:pPr>
        <w:pStyle w:val="91"/>
        <w:rPr>
          <w:rFonts w:ascii="Times New Roman" w:hAnsi="Times New Roman"/>
        </w:rPr>
      </w:pPr>
      <w:r>
        <w:rPr>
          <w:rFonts w:hint="eastAsia" w:ascii="Times New Roman" w:hAnsi="Times New Roman"/>
        </w:rPr>
        <w:t>经磋商确定最终采购需求和提交最后报价的供应商后，由磋商小组采用</w:t>
      </w:r>
      <w:r>
        <w:rPr>
          <w:rFonts w:ascii="Times New Roman" w:hAnsi="Times New Roman"/>
        </w:rPr>
        <w:t>“</w:t>
      </w:r>
      <w:r>
        <w:fldChar w:fldCharType="begin"/>
      </w:r>
      <w:r>
        <w:instrText xml:space="preserve"> REF 评标标准和评标办法 \h  \* MERGEFORMAT </w:instrText>
      </w:r>
      <w:r>
        <w:fldChar w:fldCharType="separate"/>
      </w:r>
      <w:r>
        <w:rPr>
          <w:rFonts w:hint="eastAsia" w:ascii="Times New Roman" w:hAnsi="Times New Roman"/>
        </w:rPr>
        <w:t>评标标准和评标办法</w:t>
      </w:r>
      <w:r>
        <w:fldChar w:fldCharType="end"/>
      </w:r>
      <w:r>
        <w:rPr>
          <w:rFonts w:ascii="Times New Roman" w:hAnsi="Times New Roman"/>
        </w:rPr>
        <w:t>”</w:t>
      </w:r>
      <w:r>
        <w:rPr>
          <w:rFonts w:hint="eastAsia" w:ascii="Times New Roman" w:hAnsi="Times New Roman"/>
        </w:rPr>
        <w:t>中约定的办法对提交最后报价的供应商进行评分。</w:t>
      </w:r>
    </w:p>
    <w:p>
      <w:pPr>
        <w:pStyle w:val="91"/>
        <w:rPr>
          <w:rFonts w:ascii="Times New Roman" w:hAnsi="Times New Roman"/>
          <w:szCs w:val="21"/>
        </w:rPr>
      </w:pPr>
      <w:r>
        <w:rPr>
          <w:rFonts w:hint="eastAsia" w:ascii="Times New Roman" w:hAnsi="Times New Roman"/>
        </w:rPr>
        <w:t>磋商小组只对实质上响应磋商文件的响应进行评价和比较，评审应严格按照磋商文件的要求和条件进行；磋商文件中没有规定的评审标准不得作为评审依据，具体评审原则、方法和成交条件详见磋商文件</w:t>
      </w:r>
      <w:r>
        <w:rPr>
          <w:rFonts w:ascii="Times New Roman" w:hAnsi="Times New Roman"/>
        </w:rPr>
        <w:t>“</w:t>
      </w:r>
      <w:r>
        <w:fldChar w:fldCharType="begin"/>
      </w:r>
      <w:r>
        <w:instrText xml:space="preserve"> REF 评标标准和评标办法 \h  \* MERGEFORMAT </w:instrText>
      </w:r>
      <w:r>
        <w:fldChar w:fldCharType="separate"/>
      </w:r>
      <w:r>
        <w:rPr>
          <w:rFonts w:hint="eastAsia" w:ascii="Times New Roman" w:hAnsi="Times New Roman"/>
        </w:rPr>
        <w:t>评标标准和评标办法</w:t>
      </w:r>
      <w:r>
        <w:fldChar w:fldCharType="end"/>
      </w:r>
      <w:r>
        <w:rPr>
          <w:rFonts w:ascii="Times New Roman" w:hAnsi="Times New Roman"/>
        </w:rPr>
        <w:t>”</w:t>
      </w:r>
      <w:r>
        <w:rPr>
          <w:rFonts w:hint="eastAsia" w:ascii="Times New Roman" w:hAnsi="Times New Roman"/>
        </w:rPr>
        <w:t>。</w:t>
      </w:r>
    </w:p>
    <w:p>
      <w:pPr>
        <w:pStyle w:val="45"/>
        <w:numPr>
          <w:ilvl w:val="0"/>
          <w:numId w:val="24"/>
        </w:numPr>
        <w:adjustRightInd/>
        <w:spacing w:before="120" w:after="120" w:line="377" w:lineRule="auto"/>
        <w:ind w:left="420"/>
        <w:jc w:val="both"/>
        <w:textAlignment w:val="auto"/>
        <w:rPr>
          <w:rFonts w:ascii="Times New Roman" w:hAnsi="Times New Roman" w:eastAsia="宋体"/>
          <w:kern w:val="2"/>
          <w:sz w:val="24"/>
        </w:rPr>
      </w:pPr>
      <w:r>
        <w:rPr>
          <w:rFonts w:hint="eastAsia" w:ascii="Times New Roman" w:hAnsi="Times New Roman" w:eastAsia="宋体"/>
          <w:kern w:val="2"/>
          <w:sz w:val="24"/>
        </w:rPr>
        <w:t>确定成交人</w:t>
      </w:r>
    </w:p>
    <w:p>
      <w:pPr>
        <w:pStyle w:val="91"/>
        <w:rPr>
          <w:rFonts w:ascii="Times New Roman" w:hAnsi="Times New Roman"/>
        </w:rPr>
      </w:pPr>
      <w:r>
        <w:rPr>
          <w:rFonts w:hint="eastAsia" w:ascii="Times New Roman" w:hAnsi="Times New Roman"/>
        </w:rPr>
        <w:t>磋商小组应当根据综合评分情况，按照评审得分由高到低顺序推荐</w:t>
      </w:r>
      <w:r>
        <w:rPr>
          <w:rFonts w:ascii="Times New Roman" w:hAnsi="Times New Roman"/>
        </w:rPr>
        <w:t>2</w:t>
      </w:r>
      <w:r>
        <w:rPr>
          <w:rFonts w:hint="eastAsia" w:ascii="Times New Roman" w:hAnsi="Times New Roman"/>
        </w:rPr>
        <w:t>名以上成交候选供应商，并编写评审报告。评审得分相同的，按照最后报价由低到高的顺序推荐。评审得分且最后报价相同的，按照技术指标优劣顺序推荐。</w:t>
      </w:r>
    </w:p>
    <w:p>
      <w:pPr>
        <w:pStyle w:val="91"/>
        <w:rPr>
          <w:rFonts w:ascii="Times New Roman" w:hAnsi="Times New Roman"/>
        </w:rPr>
      </w:pPr>
      <w:r>
        <w:rPr>
          <w:rFonts w:hint="eastAsia" w:ascii="Times New Roman" w:hAnsi="Times New Roman"/>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91"/>
        <w:rPr>
          <w:rFonts w:ascii="Times New Roman" w:hAnsi="Times New Roman"/>
        </w:rPr>
      </w:pPr>
      <w:r>
        <w:rPr>
          <w:rFonts w:hint="eastAsia" w:ascii="Times New Roman" w:hAnsi="Times New Roman"/>
        </w:rPr>
        <w:t>采购人将确定排名第一的成交候选人为成交人并向其授予合同。排名第一的成交候选人因不可抗力或者自身原因不能履行合同，采购人可以从成交候选人中顺序选择确定其他供应商作为成交供应商并签订政府采购合同。</w:t>
      </w:r>
    </w:p>
    <w:p>
      <w:pPr>
        <w:pStyle w:val="91"/>
        <w:rPr>
          <w:rFonts w:ascii="Times New Roman" w:hAnsi="Times New Roman"/>
        </w:rPr>
      </w:pPr>
      <w:r>
        <w:rPr>
          <w:rFonts w:hint="eastAsia" w:ascii="Times New Roman" w:hAnsi="Times New Roman"/>
        </w:rPr>
        <w:t>采购人也可授权磋商小组按本条规定直接确定成交人。</w:t>
      </w:r>
    </w:p>
    <w:p>
      <w:pPr>
        <w:pStyle w:val="91"/>
        <w:rPr>
          <w:rFonts w:ascii="Times New Roman" w:hAnsi="Times New Roman"/>
        </w:rPr>
      </w:pPr>
      <w:r>
        <w:rPr>
          <w:rFonts w:hint="eastAsia" w:ascii="Times New Roman" w:hAnsi="Times New Roman"/>
        </w:rPr>
        <w:t>除资格性检查认定错误、分值汇总计算错误、分项评分超出评分标准范围、客观分评分不一致、经磋商小组一致认定评分畸高、畸低的情形外，采购人不得以任何理由组织重新评审。采购人发现磋商小组未按照磋商文件规定的评审标准进行评审的，应当重新开展采购活动，并同时书面报告本级财政部门。</w:t>
      </w:r>
    </w:p>
    <w:p>
      <w:pPr>
        <w:pStyle w:val="91"/>
        <w:rPr>
          <w:rFonts w:ascii="Times New Roman" w:hAnsi="Times New Roman"/>
        </w:rPr>
      </w:pPr>
      <w:r>
        <w:rPr>
          <w:rFonts w:hint="eastAsia" w:ascii="Times New Roman" w:hAnsi="Times New Roman"/>
        </w:rPr>
        <w:t>采购人不得通过对样品进行检测、对供应商进行考察等方式改变评审结果。</w:t>
      </w:r>
    </w:p>
    <w:p>
      <w:pPr>
        <w:pStyle w:val="45"/>
        <w:numPr>
          <w:ilvl w:val="0"/>
          <w:numId w:val="24"/>
        </w:numPr>
        <w:adjustRightInd/>
        <w:spacing w:before="120" w:after="120" w:line="377" w:lineRule="auto"/>
        <w:ind w:left="420"/>
        <w:jc w:val="both"/>
        <w:textAlignment w:val="auto"/>
        <w:rPr>
          <w:rFonts w:ascii="Times New Roman" w:hAnsi="Times New Roman" w:eastAsia="宋体"/>
          <w:kern w:val="2"/>
          <w:sz w:val="24"/>
        </w:rPr>
      </w:pPr>
      <w:r>
        <w:rPr>
          <w:rFonts w:hint="eastAsia" w:ascii="Times New Roman" w:hAnsi="Times New Roman" w:eastAsia="宋体"/>
          <w:kern w:val="2"/>
          <w:sz w:val="24"/>
        </w:rPr>
        <w:t>评标过程保密</w:t>
      </w:r>
    </w:p>
    <w:p>
      <w:pPr>
        <w:pStyle w:val="91"/>
        <w:rPr>
          <w:rFonts w:ascii="Times New Roman" w:hAnsi="Times New Roman"/>
        </w:rPr>
      </w:pPr>
      <w:r>
        <w:rPr>
          <w:rFonts w:hint="eastAsia" w:ascii="Times New Roman" w:hAnsi="Times New Roman"/>
        </w:rPr>
        <w:t>响应截止时间之后，直到授予响应人合同止，凡是属于审查、澄清、评价和比较响应的有关资料以及授标意向等，均不向响应人或其他与评标无关的人员透露。</w:t>
      </w:r>
    </w:p>
    <w:p>
      <w:pPr>
        <w:pStyle w:val="91"/>
        <w:rPr>
          <w:rFonts w:ascii="Times New Roman" w:hAnsi="Times New Roman"/>
        </w:rPr>
      </w:pPr>
      <w:r>
        <w:rPr>
          <w:rFonts w:hint="eastAsia" w:ascii="Times New Roman" w:hAnsi="Times New Roman"/>
        </w:rPr>
        <w:t>在评标期间，响应人企图影响采购人或磋商小组的任何活动，将导致响应被拒绝，并由其承担相应的法律责任。</w:t>
      </w:r>
    </w:p>
    <w:p>
      <w:pPr>
        <w:pStyle w:val="91"/>
        <w:rPr>
          <w:rFonts w:ascii="Times New Roman" w:hAnsi="Times New Roman"/>
        </w:rPr>
      </w:pPr>
      <w:r>
        <w:rPr>
          <w:rFonts w:hint="eastAsia" w:ascii="Times New Roman" w:hAnsi="Times New Roman"/>
        </w:rPr>
        <w:t>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pStyle w:val="45"/>
        <w:numPr>
          <w:ilvl w:val="0"/>
          <w:numId w:val="24"/>
        </w:numPr>
        <w:adjustRightInd/>
        <w:spacing w:before="120" w:after="120" w:line="377" w:lineRule="auto"/>
        <w:ind w:left="420"/>
        <w:jc w:val="both"/>
        <w:textAlignment w:val="auto"/>
        <w:rPr>
          <w:rFonts w:ascii="Times New Roman" w:hAnsi="Times New Roman" w:eastAsia="宋体"/>
          <w:kern w:val="2"/>
          <w:sz w:val="24"/>
        </w:rPr>
      </w:pPr>
      <w:r>
        <w:rPr>
          <w:rFonts w:hint="eastAsia" w:ascii="Times New Roman" w:hAnsi="Times New Roman" w:eastAsia="宋体"/>
          <w:kern w:val="2"/>
          <w:sz w:val="24"/>
        </w:rPr>
        <w:t>关于响应人瑕疵滞后发现的处理规则：</w:t>
      </w:r>
    </w:p>
    <w:p>
      <w:pPr>
        <w:pStyle w:val="91"/>
        <w:rPr>
          <w:rFonts w:ascii="Times New Roman" w:hAnsi="Times New Roman"/>
        </w:rPr>
      </w:pPr>
      <w:r>
        <w:rPr>
          <w:rFonts w:hint="eastAsia" w:ascii="Times New Roman" w:hAnsi="Times New Roman"/>
        </w:rPr>
        <w:t>无论基于何种原因，各项本应作拒绝处理的情形即便未被及时发现而使该响应人进入初审、详细评审或其它后续程序，包括已经签约的情形，一旦该响应人被拒绝或该响应人的此前评议结果被取消，其现有的位置将被其他响应人依序替代，相关的一切损失均由该响应人承担。</w:t>
      </w:r>
    </w:p>
    <w:p>
      <w:pPr>
        <w:pStyle w:val="91"/>
        <w:rPr>
          <w:rFonts w:ascii="Times New Roman" w:hAnsi="Times New Roman"/>
        </w:rPr>
      </w:pPr>
      <w:r>
        <w:rPr>
          <w:rFonts w:hint="eastAsia" w:ascii="Times New Roman" w:hAnsi="Times New Roman"/>
        </w:rPr>
        <w:t>但若已经超过质疑期限而没有被发现且已经签署了相关的合同，之后才发现存在上述情形，经采购人再行审查认为其在技术、必要资质等方面并不存在问题而仅属于商务方面存在瑕疵的问题，且若一旦取消该响应人的此前评议结果或采取类似的处理措施将对本次采购更为不利的情形除外，该等情形包括：一旦予以拒绝或采取类似的处理措施将使本次采购的成本大幅上升、延误期限以至可能给采购人造成较大损失、采购人或主要用户出具明确要求维持既定结果的书面意见等。</w:t>
      </w:r>
    </w:p>
    <w:p>
      <w:pPr>
        <w:pStyle w:val="91"/>
        <w:rPr>
          <w:rFonts w:ascii="Times New Roman" w:hAnsi="Times New Roman"/>
        </w:rPr>
      </w:pPr>
      <w:r>
        <w:rPr>
          <w:rFonts w:hint="eastAsia" w:ascii="Times New Roman" w:hAnsi="Times New Roman"/>
        </w:rPr>
        <w:t>在上述考虑维持结果的情形下，采购人有权要求该存在瑕疵的响应人提供特别担保金用以承担可能产生的赔偿责任，若其拒绝提供该等担保或实际提供的担保金额不足要求金额，采购人有权并且应当决定取消该响应人的此前评议结果或采取类似的处理措施。</w:t>
      </w:r>
    </w:p>
    <w:p>
      <w:pPr>
        <w:pStyle w:val="45"/>
        <w:numPr>
          <w:ilvl w:val="0"/>
          <w:numId w:val="24"/>
        </w:numPr>
        <w:adjustRightInd/>
        <w:spacing w:before="120" w:after="120" w:line="377" w:lineRule="auto"/>
        <w:ind w:left="420"/>
        <w:jc w:val="both"/>
        <w:textAlignment w:val="auto"/>
        <w:rPr>
          <w:rFonts w:ascii="Times New Roman" w:hAnsi="Times New Roman" w:eastAsia="宋体"/>
          <w:kern w:val="2"/>
          <w:sz w:val="24"/>
        </w:rPr>
      </w:pPr>
      <w:r>
        <w:rPr>
          <w:rFonts w:hint="eastAsia" w:ascii="Times New Roman" w:hAnsi="Times New Roman" w:eastAsia="宋体"/>
          <w:kern w:val="2"/>
          <w:sz w:val="24"/>
        </w:rPr>
        <w:t>采购项目废标</w:t>
      </w:r>
    </w:p>
    <w:p>
      <w:pPr>
        <w:pStyle w:val="91"/>
        <w:rPr>
          <w:szCs w:val="21"/>
        </w:rPr>
      </w:pPr>
      <w:r>
        <w:rPr>
          <w:rFonts w:hint="eastAsia" w:ascii="Times New Roman" w:hAnsi="Times New Roman"/>
        </w:rPr>
        <w:t>在评标过程中，磋商小组发现有下列情形之一的，应对采购项目予以废标：</w:t>
      </w:r>
    </w:p>
    <w:p>
      <w:pPr>
        <w:numPr>
          <w:ilvl w:val="0"/>
          <w:numId w:val="27"/>
        </w:numPr>
        <w:spacing w:line="400" w:lineRule="exact"/>
        <w:textAlignment w:val="auto"/>
        <w:rPr>
          <w:sz w:val="21"/>
          <w:szCs w:val="21"/>
        </w:rPr>
      </w:pPr>
      <w:r>
        <w:rPr>
          <w:rFonts w:hint="eastAsia"/>
          <w:sz w:val="21"/>
          <w:szCs w:val="21"/>
        </w:rPr>
        <w:t>出现影响采购公正的违法、违规行为的；</w:t>
      </w:r>
    </w:p>
    <w:p>
      <w:pPr>
        <w:numPr>
          <w:ilvl w:val="0"/>
          <w:numId w:val="27"/>
        </w:numPr>
        <w:spacing w:line="400" w:lineRule="exact"/>
        <w:textAlignment w:val="auto"/>
        <w:rPr>
          <w:sz w:val="21"/>
          <w:szCs w:val="21"/>
        </w:rPr>
      </w:pPr>
      <w:r>
        <w:rPr>
          <w:rFonts w:hint="eastAsia"/>
          <w:sz w:val="21"/>
          <w:szCs w:val="21"/>
        </w:rPr>
        <w:t>在采购过程中符合要求的供应商或者报价未超过采购预算的供应商不足</w:t>
      </w:r>
      <w:r>
        <w:rPr>
          <w:sz w:val="21"/>
          <w:szCs w:val="21"/>
        </w:rPr>
        <w:t>2</w:t>
      </w:r>
      <w:r>
        <w:rPr>
          <w:rFonts w:hint="eastAsia"/>
          <w:sz w:val="21"/>
          <w:szCs w:val="21"/>
        </w:rPr>
        <w:t>家的。</w:t>
      </w:r>
    </w:p>
    <w:p>
      <w:pPr>
        <w:pStyle w:val="91"/>
        <w:rPr>
          <w:rFonts w:ascii="Times New Roman" w:hAnsi="Times New Roman"/>
        </w:rPr>
      </w:pPr>
      <w:r>
        <w:rPr>
          <w:rFonts w:hint="eastAsia" w:ascii="Times New Roman" w:hAnsi="Times New Roman"/>
        </w:rPr>
        <w:t>采购项目废标后，磋商小组应作出书面报告。</w:t>
      </w:r>
    </w:p>
    <w:p>
      <w:pPr>
        <w:pStyle w:val="91"/>
        <w:rPr>
          <w:rFonts w:ascii="Times New Roman" w:hAnsi="Times New Roman"/>
        </w:rPr>
      </w:pPr>
      <w:r>
        <w:rPr>
          <w:rFonts w:hint="eastAsia" w:ascii="Times New Roman" w:hAnsi="Times New Roman"/>
        </w:rPr>
        <w:t>在采购活动中因重大变故，采购任务取消的，采购人或者采购代理机构应当终止采购活动，通知所有参加采购活动的供应商。</w:t>
      </w:r>
    </w:p>
    <w:p>
      <w:pPr>
        <w:pStyle w:val="91"/>
        <w:rPr>
          <w:rFonts w:ascii="Times New Roman" w:hAnsi="Times New Roman"/>
        </w:rPr>
      </w:pPr>
      <w:r>
        <w:rPr>
          <w:rFonts w:hint="eastAsia" w:ascii="Times New Roman" w:hAnsi="Times New Roman"/>
        </w:rPr>
        <w:t>废标后，采购人应当将废标原因通知所有响应人。</w:t>
      </w:r>
    </w:p>
    <w:p>
      <w:pPr>
        <w:pStyle w:val="44"/>
        <w:numPr>
          <w:ilvl w:val="0"/>
          <w:numId w:val="15"/>
        </w:numPr>
        <w:adjustRightInd/>
        <w:spacing w:line="415" w:lineRule="auto"/>
        <w:jc w:val="both"/>
        <w:textAlignment w:val="auto"/>
        <w:rPr>
          <w:kern w:val="2"/>
        </w:rPr>
      </w:pPr>
      <w:bookmarkStart w:id="63" w:name="_Toc486583479"/>
      <w:r>
        <w:rPr>
          <w:rFonts w:hint="eastAsia"/>
          <w:kern w:val="2"/>
        </w:rPr>
        <w:t>签订合同</w:t>
      </w:r>
      <w:bookmarkEnd w:id="63"/>
    </w:p>
    <w:p>
      <w:pPr>
        <w:pStyle w:val="45"/>
        <w:numPr>
          <w:ilvl w:val="0"/>
          <w:numId w:val="28"/>
        </w:numPr>
        <w:adjustRightInd/>
        <w:spacing w:before="120" w:after="120" w:line="377" w:lineRule="auto"/>
        <w:ind w:left="420"/>
        <w:jc w:val="both"/>
        <w:textAlignment w:val="auto"/>
        <w:rPr>
          <w:rFonts w:ascii="Times New Roman" w:hAnsi="Times New Roman" w:eastAsia="宋体"/>
          <w:kern w:val="2"/>
          <w:sz w:val="24"/>
        </w:rPr>
      </w:pPr>
      <w:r>
        <w:rPr>
          <w:rFonts w:hint="eastAsia" w:ascii="Times New Roman" w:hAnsi="Times New Roman" w:eastAsia="宋体"/>
          <w:kern w:val="2"/>
          <w:sz w:val="24"/>
        </w:rPr>
        <w:t>成交通知</w:t>
      </w:r>
    </w:p>
    <w:p>
      <w:pPr>
        <w:pStyle w:val="91"/>
        <w:rPr>
          <w:rFonts w:ascii="Times New Roman" w:hAnsi="Times New Roman"/>
        </w:rPr>
      </w:pPr>
      <w:r>
        <w:rPr>
          <w:rFonts w:hint="eastAsia" w:ascii="Times New Roman" w:hAnsi="Times New Roman"/>
        </w:rPr>
        <w:t>采购人应当在成交供应商确定后</w:t>
      </w:r>
      <w:r>
        <w:rPr>
          <w:rFonts w:ascii="Times New Roman" w:hAnsi="Times New Roman"/>
        </w:rPr>
        <w:t>2</w:t>
      </w:r>
      <w:r>
        <w:rPr>
          <w:rFonts w:hint="eastAsia" w:ascii="Times New Roman" w:hAnsi="Times New Roman"/>
        </w:rPr>
        <w:t>个工作日内，在省级以上财政部门指定的政府采购信息发布媒体上公告成交结果，同时向成交供应商发出成交通知书，并将磋商文件随成交结果同时公告。但该成交结果的有效性不依赖于未成交的响应人是否已经收到该通知。成交通知书对采购人和成交人具有同等法律效力。成交通知书发出以后，采购人改变成交结果或者成交供应商放弃成交，应当承担相应的法律责任。</w:t>
      </w:r>
    </w:p>
    <w:p>
      <w:pPr>
        <w:pStyle w:val="91"/>
        <w:rPr>
          <w:rFonts w:ascii="Times New Roman" w:hAnsi="Times New Roman"/>
          <w:szCs w:val="21"/>
        </w:rPr>
      </w:pPr>
      <w:r>
        <w:rPr>
          <w:rFonts w:hint="eastAsia" w:ascii="Times New Roman" w:hAnsi="Times New Roman"/>
        </w:rPr>
        <w:t>成交通知书是合同的组成部分。</w:t>
      </w:r>
    </w:p>
    <w:p>
      <w:pPr>
        <w:pStyle w:val="45"/>
        <w:numPr>
          <w:ilvl w:val="0"/>
          <w:numId w:val="28"/>
        </w:numPr>
        <w:adjustRightInd/>
        <w:spacing w:before="120" w:after="120" w:line="377" w:lineRule="auto"/>
        <w:ind w:left="420"/>
        <w:jc w:val="both"/>
        <w:textAlignment w:val="auto"/>
        <w:rPr>
          <w:rFonts w:ascii="Times New Roman" w:hAnsi="Times New Roman" w:eastAsia="宋体"/>
          <w:kern w:val="2"/>
          <w:sz w:val="24"/>
        </w:rPr>
      </w:pPr>
      <w:r>
        <w:rPr>
          <w:rFonts w:hint="eastAsia" w:ascii="Times New Roman" w:hAnsi="Times New Roman" w:eastAsia="宋体"/>
          <w:kern w:val="2"/>
          <w:sz w:val="24"/>
        </w:rPr>
        <w:t>签订合同</w:t>
      </w:r>
    </w:p>
    <w:p>
      <w:pPr>
        <w:pStyle w:val="91"/>
        <w:rPr>
          <w:rFonts w:ascii="Times New Roman" w:hAnsi="Times New Roman"/>
        </w:rPr>
      </w:pPr>
      <w:r>
        <w:rPr>
          <w:rFonts w:hint="eastAsia" w:ascii="Times New Roman" w:hAnsi="Times New Roman"/>
        </w:rPr>
        <w:t>采购人与成交供应商应当在成交通知书发出之日起</w:t>
      </w:r>
      <w:r>
        <w:rPr>
          <w:rFonts w:ascii="Times New Roman" w:hAnsi="Times New Roman"/>
        </w:rPr>
        <w:t>30</w:t>
      </w:r>
      <w:r>
        <w:rPr>
          <w:rFonts w:hint="eastAsia" w:ascii="Times New Roman" w:hAnsi="Times New Roman"/>
        </w:rPr>
        <w:t>个日规定，按照磋商文件确定的合同文本以及采购标的、规格型号、采购金额、采购数量、技术和服务要求等事项签订政府采购合同。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91"/>
        <w:rPr>
          <w:rFonts w:ascii="Times New Roman" w:hAnsi="Times New Roman"/>
        </w:rPr>
      </w:pPr>
      <w:r>
        <w:rPr>
          <w:rFonts w:hint="eastAsia" w:ascii="Times New Roman" w:hAnsi="Times New Roman"/>
        </w:rPr>
        <w:t>采购人如需追加与合同标的相同的货物，在不改变合同其他条款的前提下，成交人可与采购人协商签订补充合同，但所有补充合同的采购金额不得超过原合同金额的百分之十。</w:t>
      </w:r>
    </w:p>
    <w:p>
      <w:pPr>
        <w:pStyle w:val="91"/>
        <w:rPr>
          <w:rFonts w:ascii="Times New Roman" w:hAnsi="Times New Roman"/>
        </w:rPr>
      </w:pPr>
      <w:r>
        <w:rPr>
          <w:rFonts w:hint="eastAsia" w:ascii="Times New Roman" w:hAnsi="Times New Roman"/>
        </w:rPr>
        <w:t>成交供应商拒绝签订政府采购合同的，采购人可以按照本办法第二十八条第二款规定的原则确定其他供应商作为成交供应商并签订政府采购合同，也可以重新开展采购活动。拒绝签订政府采购合同的成交供应商不得参加对该项目重新开展的采购活动。</w:t>
      </w:r>
    </w:p>
    <w:p>
      <w:pPr>
        <w:pStyle w:val="91"/>
        <w:rPr>
          <w:rFonts w:ascii="Times New Roman" w:hAnsi="Times New Roman"/>
        </w:rPr>
      </w:pPr>
      <w:r>
        <w:rPr>
          <w:rFonts w:hint="eastAsia" w:ascii="Times New Roman" w:hAnsi="Times New Roman"/>
        </w:rPr>
        <w:t>成交人一旦成交，及签订合同后，未经采购人事先给予书面同意不得转包、分包，亦不得将合同全部及任何权利、义务向第三方转让，否则将被视为严重违约，采购人有权决定按照成交人成交后毁标、终止或解除合同等依约处理。</w:t>
      </w:r>
    </w:p>
    <w:p>
      <w:pPr>
        <w:pStyle w:val="91"/>
        <w:rPr>
          <w:rFonts w:ascii="Times New Roman" w:hAnsi="Times New Roman"/>
        </w:rPr>
      </w:pPr>
      <w:r>
        <w:rPr>
          <w:rFonts w:hint="eastAsia" w:ascii="Times New Roman" w:hAnsi="Times New Roman"/>
        </w:rPr>
        <w:t>采购人或者采购代理机构应当在采购活动结束后及时退还供应商的磋商保证金，但因供应商自身原因导致无法及时退还的除外。未成交供应商的磋商保证金应当在成交通知书发出后</w:t>
      </w:r>
      <w:r>
        <w:rPr>
          <w:rFonts w:ascii="Times New Roman" w:hAnsi="Times New Roman"/>
        </w:rPr>
        <w:t>5</w:t>
      </w:r>
      <w:r>
        <w:rPr>
          <w:rFonts w:hint="eastAsia" w:ascii="Times New Roman" w:hAnsi="Times New Roman"/>
        </w:rPr>
        <w:t>个工作日内退还，成交供应商的磋商保证金应当在采购合同签订后</w:t>
      </w:r>
      <w:r>
        <w:rPr>
          <w:rFonts w:ascii="Times New Roman" w:hAnsi="Times New Roman"/>
        </w:rPr>
        <w:t>5</w:t>
      </w:r>
      <w:r>
        <w:rPr>
          <w:rFonts w:hint="eastAsia" w:ascii="Times New Roman" w:hAnsi="Times New Roman"/>
        </w:rPr>
        <w:t>个工作日内退还。</w:t>
      </w:r>
    </w:p>
    <w:p>
      <w:pPr>
        <w:pStyle w:val="91"/>
        <w:rPr>
          <w:rFonts w:ascii="Times New Roman" w:hAnsi="Times New Roman"/>
          <w:szCs w:val="21"/>
        </w:rPr>
      </w:pPr>
      <w:r>
        <w:rPr>
          <w:rFonts w:hint="eastAsia" w:ascii="Times New Roman" w:hAnsi="Times New Roman"/>
        </w:rPr>
        <w:t>违反</w:t>
      </w:r>
      <w:r>
        <w:rPr>
          <w:rFonts w:ascii="Times New Roman" w:hAnsi="Times New Roman"/>
        </w:rPr>
        <w:t>25.1</w:t>
      </w:r>
      <w:r>
        <w:rPr>
          <w:rFonts w:hint="eastAsia" w:ascii="Times New Roman" w:hAnsi="Times New Roman"/>
        </w:rPr>
        <w:t>条、</w:t>
      </w:r>
      <w:r>
        <w:rPr>
          <w:rFonts w:ascii="Times New Roman" w:hAnsi="Times New Roman"/>
        </w:rPr>
        <w:t>25.2</w:t>
      </w:r>
      <w:r>
        <w:rPr>
          <w:rFonts w:hint="eastAsia" w:ascii="Times New Roman" w:hAnsi="Times New Roman"/>
        </w:rPr>
        <w:t>的规定，给对方造成损失的，应承担赔偿责任。</w:t>
      </w:r>
    </w:p>
    <w:p>
      <w:pPr>
        <w:pStyle w:val="44"/>
        <w:numPr>
          <w:ilvl w:val="0"/>
          <w:numId w:val="15"/>
        </w:numPr>
        <w:adjustRightInd/>
        <w:spacing w:line="415" w:lineRule="auto"/>
        <w:jc w:val="both"/>
        <w:textAlignment w:val="auto"/>
        <w:rPr>
          <w:kern w:val="2"/>
        </w:rPr>
      </w:pPr>
      <w:bookmarkStart w:id="64" w:name="_Toc486583480"/>
      <w:r>
        <w:rPr>
          <w:rFonts w:hint="eastAsia"/>
          <w:kern w:val="2"/>
        </w:rPr>
        <w:t>成交服务费</w:t>
      </w:r>
      <w:bookmarkEnd w:id="64"/>
    </w:p>
    <w:p>
      <w:pPr>
        <w:pStyle w:val="91"/>
        <w:rPr>
          <w:rFonts w:ascii="Times New Roman" w:hAnsi="Times New Roman"/>
        </w:rPr>
      </w:pPr>
      <w:r>
        <w:rPr>
          <w:rFonts w:hint="eastAsia" w:ascii="Times New Roman" w:hAnsi="Times New Roman"/>
        </w:rPr>
        <w:t>本次磋商收取</w:t>
      </w:r>
      <w:r>
        <w:rPr>
          <w:rFonts w:hint="eastAsia" w:ascii="Times New Roman" w:hAnsi="Times New Roman"/>
          <w:b/>
          <w:bCs/>
        </w:rPr>
        <w:t>成交服务费人民币4000元</w:t>
      </w:r>
      <w:r>
        <w:rPr>
          <w:rFonts w:hint="eastAsia" w:ascii="Times New Roman" w:hAnsi="Times New Roman"/>
        </w:rPr>
        <w:t>，请响应人在测算响应报价时充分考虑这一因素。</w:t>
      </w:r>
    </w:p>
    <w:p>
      <w:pPr>
        <w:pStyle w:val="44"/>
        <w:numPr>
          <w:ilvl w:val="0"/>
          <w:numId w:val="15"/>
        </w:numPr>
        <w:adjustRightInd/>
        <w:spacing w:line="415" w:lineRule="auto"/>
        <w:jc w:val="both"/>
        <w:textAlignment w:val="auto"/>
        <w:rPr>
          <w:kern w:val="2"/>
        </w:rPr>
      </w:pPr>
      <w:bookmarkStart w:id="65" w:name="_Toc486583481"/>
      <w:r>
        <w:rPr>
          <w:rFonts w:hint="eastAsia"/>
          <w:kern w:val="2"/>
        </w:rPr>
        <w:t>处罚、询问和质疑</w:t>
      </w:r>
      <w:bookmarkEnd w:id="65"/>
    </w:p>
    <w:p>
      <w:pPr>
        <w:pStyle w:val="91"/>
        <w:rPr>
          <w:rFonts w:ascii="Times New Roman" w:hAnsi="Times New Roman"/>
        </w:rPr>
      </w:pPr>
      <w:r>
        <w:rPr>
          <w:rFonts w:hint="eastAsia" w:ascii="Times New Roman" w:hAnsi="Times New Roman"/>
        </w:rPr>
        <w:t>发生下列情况之一，响应人的响应保证金将被没收，并被列入不良记录名单，响应人今后参与同类政府采购项目的机会可能会受到影响：</w:t>
      </w:r>
    </w:p>
    <w:p>
      <w:pPr>
        <w:numPr>
          <w:ilvl w:val="0"/>
          <w:numId w:val="29"/>
        </w:numPr>
        <w:spacing w:line="400" w:lineRule="exact"/>
        <w:textAlignment w:val="auto"/>
        <w:rPr>
          <w:sz w:val="21"/>
          <w:szCs w:val="21"/>
        </w:rPr>
      </w:pPr>
      <w:r>
        <w:rPr>
          <w:rFonts w:hint="eastAsia"/>
          <w:sz w:val="21"/>
          <w:szCs w:val="21"/>
        </w:rPr>
        <w:t>供应商在提交响应文件截止时间后撤回响应文件的；</w:t>
      </w:r>
    </w:p>
    <w:p>
      <w:pPr>
        <w:numPr>
          <w:ilvl w:val="0"/>
          <w:numId w:val="29"/>
        </w:numPr>
        <w:spacing w:line="400" w:lineRule="exact"/>
        <w:textAlignment w:val="auto"/>
        <w:rPr>
          <w:sz w:val="21"/>
          <w:szCs w:val="21"/>
        </w:rPr>
      </w:pPr>
      <w:r>
        <w:rPr>
          <w:rFonts w:hint="eastAsia"/>
          <w:sz w:val="21"/>
          <w:szCs w:val="21"/>
        </w:rPr>
        <w:t>供应商在响应文件中提供虚假材料的；</w:t>
      </w:r>
    </w:p>
    <w:p>
      <w:pPr>
        <w:numPr>
          <w:ilvl w:val="0"/>
          <w:numId w:val="29"/>
        </w:numPr>
        <w:spacing w:line="400" w:lineRule="exact"/>
        <w:textAlignment w:val="auto"/>
        <w:rPr>
          <w:sz w:val="21"/>
          <w:szCs w:val="21"/>
        </w:rPr>
      </w:pPr>
      <w:r>
        <w:rPr>
          <w:rFonts w:hint="eastAsia"/>
          <w:sz w:val="21"/>
          <w:szCs w:val="21"/>
        </w:rPr>
        <w:t>除因不可抗力或磋商文件认可的情形以外，成交供应商不与采购人签订合同的；</w:t>
      </w:r>
    </w:p>
    <w:p>
      <w:pPr>
        <w:numPr>
          <w:ilvl w:val="0"/>
          <w:numId w:val="29"/>
        </w:numPr>
        <w:spacing w:line="400" w:lineRule="exact"/>
        <w:textAlignment w:val="auto"/>
        <w:rPr>
          <w:sz w:val="21"/>
          <w:szCs w:val="21"/>
        </w:rPr>
      </w:pPr>
      <w:r>
        <w:rPr>
          <w:rFonts w:hint="eastAsia"/>
          <w:sz w:val="21"/>
          <w:szCs w:val="21"/>
        </w:rPr>
        <w:t>供应商与采购人、其他供应商或者采购代理机构恶意串通的；</w:t>
      </w:r>
    </w:p>
    <w:p>
      <w:pPr>
        <w:tabs>
          <w:tab w:val="left" w:pos="709"/>
        </w:tabs>
        <w:spacing w:line="400" w:lineRule="exact"/>
        <w:ind w:firstLine="420" w:firstLineChars="200"/>
        <w:textAlignment w:val="auto"/>
      </w:pPr>
      <w:r>
        <w:rPr>
          <w:rFonts w:hint="eastAsia"/>
          <w:sz w:val="21"/>
          <w:szCs w:val="21"/>
        </w:rPr>
        <w:t>磋商文件规定的其他情形。</w:t>
      </w:r>
    </w:p>
    <w:p>
      <w:pPr>
        <w:pStyle w:val="91"/>
        <w:rPr>
          <w:rFonts w:ascii="Times New Roman" w:hAnsi="Times New Roman"/>
        </w:rPr>
      </w:pPr>
      <w:r>
        <w:rPr>
          <w:rFonts w:hint="eastAsia" w:ascii="Times New Roman" w:hAnsi="Times New Roman"/>
        </w:rPr>
        <w:t>响应人有权就磋商事宜提出质疑</w:t>
      </w:r>
    </w:p>
    <w:p>
      <w:pPr>
        <w:pStyle w:val="91"/>
        <w:rPr>
          <w:rFonts w:ascii="Times New Roman" w:hAnsi="Times New Roman"/>
        </w:rPr>
      </w:pPr>
      <w:r>
        <w:rPr>
          <w:rFonts w:hint="eastAsia" w:ascii="Times New Roman" w:hAnsi="Times New Roman"/>
        </w:rPr>
        <w:t>响应人对采购事项有疑问的，可以向采购人或采购人提出询问。</w:t>
      </w:r>
    </w:p>
    <w:p>
      <w:pPr>
        <w:pStyle w:val="91"/>
        <w:rPr>
          <w:rFonts w:ascii="Times New Roman" w:hAnsi="Times New Roman"/>
        </w:rPr>
      </w:pPr>
      <w:r>
        <w:rPr>
          <w:rFonts w:hint="eastAsia" w:ascii="Times New Roman" w:hAnsi="Times New Roman"/>
        </w:rPr>
        <w:t>磋商程序受《中华人民共和国政府采购法》和相关法律法规的约束，并受到严格的内部监察，以确保授予合同过程的公平公正。</w:t>
      </w:r>
    </w:p>
    <w:p>
      <w:pPr>
        <w:pStyle w:val="91"/>
        <w:rPr>
          <w:rFonts w:ascii="Times New Roman" w:hAnsi="Times New Roman"/>
        </w:rPr>
      </w:pPr>
      <w:r>
        <w:rPr>
          <w:rFonts w:hint="eastAsia" w:ascii="Times New Roman" w:hAnsi="Times New Roman"/>
        </w:rPr>
        <w:t>响应人对磋商文件条款或技术参数有异议的，应当在响应截止时间前通过澄清或修改程序提出。响应人已经参与响应，并于响应截止时间后对磋商文件提出质疑的，其质疑应当被视为无效质疑。</w:t>
      </w:r>
    </w:p>
    <w:p>
      <w:pPr>
        <w:pStyle w:val="91"/>
        <w:rPr>
          <w:rFonts w:ascii="Times New Roman" w:hAnsi="Times New Roman"/>
        </w:rPr>
      </w:pPr>
      <w:r>
        <w:rPr>
          <w:rFonts w:hint="eastAsia" w:ascii="Times New Roman" w:hAnsi="Times New Roman"/>
        </w:rPr>
        <w:t>若响应人认为其响应未获公平评审或采购过程和成交结果使自己的合法权益受到损害的，可以在知道或者应知其权益受到损害之日起</w:t>
      </w:r>
      <w:r>
        <w:rPr>
          <w:rFonts w:ascii="Times New Roman" w:hAnsi="Times New Roman"/>
        </w:rPr>
        <w:t>7</w:t>
      </w:r>
      <w:r>
        <w:rPr>
          <w:rFonts w:hint="eastAsia" w:ascii="Times New Roman" w:hAnsi="Times New Roman"/>
        </w:rPr>
        <w:t>个工作日内提出质疑。</w:t>
      </w:r>
      <w:r>
        <w:rPr>
          <w:rFonts w:ascii="Times New Roman" w:hAnsi="Times New Roman"/>
        </w:rPr>
        <w:t xml:space="preserve"> </w:t>
      </w:r>
    </w:p>
    <w:p>
      <w:pPr>
        <w:pStyle w:val="91"/>
        <w:rPr>
          <w:rFonts w:ascii="Times New Roman" w:hAnsi="Times New Roman"/>
        </w:rPr>
      </w:pPr>
      <w:r>
        <w:rPr>
          <w:rFonts w:hint="eastAsia" w:ascii="Times New Roman" w:hAnsi="Times New Roman"/>
        </w:rPr>
        <w:t>质疑应当以书面形式向采购人或采购人提出，经法定代表人签字并加盖公章。</w:t>
      </w:r>
    </w:p>
    <w:p>
      <w:pPr>
        <w:pStyle w:val="91"/>
        <w:rPr>
          <w:rFonts w:ascii="Times New Roman" w:hAnsi="Times New Roman"/>
        </w:rPr>
      </w:pPr>
      <w:r>
        <w:rPr>
          <w:rFonts w:hint="eastAsia" w:ascii="Times New Roman" w:hAnsi="Times New Roman"/>
        </w:rPr>
        <w:t>质疑书应当包括以下主要内容：被质疑项目名称、项目编号、包号、磋商公告发布时间、质疑事项、法律依据（具体条款）、法定代表人签字、盖章、有效联系方式（包括手机、传真号码）。按照</w:t>
      </w:r>
      <w:r>
        <w:rPr>
          <w:rFonts w:ascii="Times New Roman" w:hAnsi="Times New Roman"/>
        </w:rPr>
        <w:t>“</w:t>
      </w:r>
      <w:r>
        <w:rPr>
          <w:rFonts w:hint="eastAsia" w:ascii="Times New Roman" w:hAnsi="Times New Roman"/>
        </w:rPr>
        <w:t>谁主张、谁举证</w:t>
      </w:r>
      <w:r>
        <w:rPr>
          <w:rFonts w:ascii="Times New Roman" w:hAnsi="Times New Roman"/>
        </w:rPr>
        <w:t>”</w:t>
      </w:r>
      <w:r>
        <w:rPr>
          <w:rFonts w:hint="eastAsia" w:ascii="Times New Roman" w:hAnsi="Times New Roman"/>
        </w:rPr>
        <w:t>的原则，质疑书应当附上相关证明材料，否则质疑将视为无有效证据支持，将被予以驳回。</w:t>
      </w:r>
    </w:p>
    <w:p>
      <w:pPr>
        <w:pStyle w:val="91"/>
        <w:rPr>
          <w:rFonts w:ascii="Times New Roman" w:hAnsi="Times New Roman"/>
        </w:rPr>
      </w:pPr>
      <w:r>
        <w:rPr>
          <w:rFonts w:hint="eastAsia" w:ascii="Times New Roman" w:hAnsi="Times New Roman"/>
        </w:rPr>
        <w:t>有下列情形之一的，属于无效质疑，采购人可不予受理：</w:t>
      </w:r>
    </w:p>
    <w:p>
      <w:pPr>
        <w:numPr>
          <w:ilvl w:val="0"/>
          <w:numId w:val="30"/>
        </w:numPr>
        <w:spacing w:line="400" w:lineRule="exact"/>
        <w:textAlignment w:val="auto"/>
        <w:rPr>
          <w:sz w:val="21"/>
          <w:szCs w:val="21"/>
        </w:rPr>
      </w:pPr>
      <w:r>
        <w:rPr>
          <w:rFonts w:hint="eastAsia"/>
          <w:sz w:val="21"/>
          <w:szCs w:val="21"/>
        </w:rPr>
        <w:t>未在有效期限内提出质疑的；</w:t>
      </w:r>
    </w:p>
    <w:p>
      <w:pPr>
        <w:numPr>
          <w:ilvl w:val="0"/>
          <w:numId w:val="30"/>
        </w:numPr>
        <w:spacing w:line="400" w:lineRule="exact"/>
        <w:textAlignment w:val="auto"/>
        <w:rPr>
          <w:sz w:val="21"/>
          <w:szCs w:val="21"/>
        </w:rPr>
      </w:pPr>
      <w:r>
        <w:rPr>
          <w:rFonts w:hint="eastAsia"/>
          <w:sz w:val="21"/>
          <w:szCs w:val="21"/>
        </w:rPr>
        <w:t>质疑未以书面形式提出的；</w:t>
      </w:r>
    </w:p>
    <w:p>
      <w:pPr>
        <w:numPr>
          <w:ilvl w:val="0"/>
          <w:numId w:val="30"/>
        </w:numPr>
        <w:spacing w:line="400" w:lineRule="exact"/>
        <w:textAlignment w:val="auto"/>
        <w:rPr>
          <w:sz w:val="21"/>
          <w:szCs w:val="21"/>
        </w:rPr>
      </w:pPr>
      <w:r>
        <w:rPr>
          <w:rFonts w:hint="eastAsia"/>
          <w:sz w:val="21"/>
          <w:szCs w:val="21"/>
        </w:rPr>
        <w:t>所提交材料未明示属于质疑材料的；</w:t>
      </w:r>
    </w:p>
    <w:p>
      <w:pPr>
        <w:numPr>
          <w:ilvl w:val="0"/>
          <w:numId w:val="30"/>
        </w:numPr>
        <w:spacing w:line="400" w:lineRule="exact"/>
        <w:textAlignment w:val="auto"/>
        <w:rPr>
          <w:sz w:val="21"/>
          <w:szCs w:val="21"/>
        </w:rPr>
      </w:pPr>
      <w:r>
        <w:rPr>
          <w:rFonts w:hint="eastAsia"/>
          <w:sz w:val="21"/>
          <w:szCs w:val="21"/>
        </w:rPr>
        <w:t>质疑书没有法定代表人签署本人姓名或印盖本人姓名章并加盖单位公章；质疑书由参加采购项目的授权代表签署本人姓名或印盖本人姓名章的，没有法定代表人的特别授权；质疑书加盖合同专用章的；</w:t>
      </w:r>
    </w:p>
    <w:p>
      <w:pPr>
        <w:numPr>
          <w:ilvl w:val="0"/>
          <w:numId w:val="30"/>
        </w:numPr>
        <w:spacing w:line="400" w:lineRule="exact"/>
        <w:textAlignment w:val="auto"/>
        <w:rPr>
          <w:sz w:val="21"/>
          <w:szCs w:val="21"/>
        </w:rPr>
      </w:pPr>
      <w:r>
        <w:rPr>
          <w:rFonts w:hint="eastAsia"/>
          <w:sz w:val="21"/>
          <w:szCs w:val="21"/>
        </w:rPr>
        <w:t>质疑书未提供有效联系人或联系方式的；</w:t>
      </w:r>
    </w:p>
    <w:p>
      <w:pPr>
        <w:numPr>
          <w:ilvl w:val="0"/>
          <w:numId w:val="30"/>
        </w:numPr>
        <w:spacing w:line="400" w:lineRule="exact"/>
        <w:textAlignment w:val="auto"/>
        <w:rPr>
          <w:sz w:val="21"/>
          <w:szCs w:val="21"/>
        </w:rPr>
      </w:pPr>
      <w:r>
        <w:rPr>
          <w:rFonts w:hint="eastAsia"/>
          <w:sz w:val="21"/>
          <w:szCs w:val="21"/>
        </w:rPr>
        <w:t>质疑事项已经进入投诉或者诉讼程序的；</w:t>
      </w:r>
    </w:p>
    <w:p>
      <w:pPr>
        <w:numPr>
          <w:ilvl w:val="0"/>
          <w:numId w:val="30"/>
        </w:numPr>
        <w:spacing w:line="400" w:lineRule="exact"/>
        <w:textAlignment w:val="auto"/>
        <w:rPr>
          <w:sz w:val="21"/>
          <w:szCs w:val="21"/>
        </w:rPr>
      </w:pPr>
      <w:r>
        <w:rPr>
          <w:rFonts w:hint="eastAsia"/>
          <w:sz w:val="21"/>
          <w:szCs w:val="21"/>
        </w:rPr>
        <w:t>其它不符合受理条件的情形。</w:t>
      </w:r>
    </w:p>
    <w:p>
      <w:pPr>
        <w:pStyle w:val="91"/>
        <w:rPr>
          <w:rFonts w:ascii="Times New Roman" w:hAnsi="Times New Roman"/>
        </w:rPr>
      </w:pPr>
      <w:r>
        <w:rPr>
          <w:rFonts w:hint="eastAsia" w:ascii="Times New Roman" w:hAnsi="Times New Roman"/>
        </w:rPr>
        <w:t>采购人或采购人将在收到书面质疑后</w:t>
      </w:r>
      <w:r>
        <w:rPr>
          <w:rFonts w:ascii="Times New Roman" w:hAnsi="Times New Roman"/>
        </w:rPr>
        <w:t>7</w:t>
      </w:r>
      <w:r>
        <w:rPr>
          <w:rFonts w:hint="eastAsia" w:ascii="Times New Roman" w:hAnsi="Times New Roman"/>
        </w:rPr>
        <w:t>个工作日内审查质疑事项，作出答复或相关处理决定，并以书面形式通知质疑响应人和其他有关供应商，但答复的内容不涉及商业秘密。若质疑涉及政府采购制度或程序，将被转交政府采购的管理部门审查。</w:t>
      </w:r>
    </w:p>
    <w:p>
      <w:pPr>
        <w:pStyle w:val="91"/>
        <w:rPr>
          <w:rFonts w:ascii="Times New Roman" w:hAnsi="Times New Roman"/>
        </w:rPr>
      </w:pPr>
      <w:r>
        <w:rPr>
          <w:rFonts w:hint="eastAsia" w:ascii="Times New Roman" w:hAnsi="Times New Roman"/>
        </w:rPr>
        <w:t>质疑人有下列情形之一的，采购人应驳回质疑：</w:t>
      </w:r>
    </w:p>
    <w:p>
      <w:pPr>
        <w:numPr>
          <w:ilvl w:val="0"/>
          <w:numId w:val="31"/>
        </w:numPr>
        <w:spacing w:line="400" w:lineRule="exact"/>
        <w:textAlignment w:val="auto"/>
        <w:rPr>
          <w:sz w:val="21"/>
          <w:szCs w:val="21"/>
        </w:rPr>
      </w:pPr>
      <w:r>
        <w:rPr>
          <w:rFonts w:hint="eastAsia"/>
          <w:sz w:val="21"/>
          <w:szCs w:val="21"/>
        </w:rPr>
        <w:t>质疑缺乏事实和法律依据的；</w:t>
      </w:r>
    </w:p>
    <w:p>
      <w:pPr>
        <w:numPr>
          <w:ilvl w:val="0"/>
          <w:numId w:val="31"/>
        </w:numPr>
        <w:spacing w:line="400" w:lineRule="exact"/>
        <w:textAlignment w:val="auto"/>
        <w:rPr>
          <w:sz w:val="21"/>
          <w:szCs w:val="21"/>
        </w:rPr>
      </w:pPr>
      <w:r>
        <w:rPr>
          <w:rFonts w:hint="eastAsia"/>
          <w:sz w:val="21"/>
          <w:szCs w:val="21"/>
        </w:rPr>
        <w:t>质疑人捏造事实、提供虚假材料，或在一定期限内多次质疑而无实据的；</w:t>
      </w:r>
    </w:p>
    <w:p>
      <w:pPr>
        <w:numPr>
          <w:ilvl w:val="0"/>
          <w:numId w:val="31"/>
        </w:numPr>
        <w:spacing w:line="400" w:lineRule="exact"/>
        <w:textAlignment w:val="auto"/>
        <w:rPr>
          <w:sz w:val="21"/>
          <w:szCs w:val="21"/>
        </w:rPr>
      </w:pPr>
      <w:r>
        <w:rPr>
          <w:rFonts w:hint="eastAsia"/>
          <w:sz w:val="21"/>
          <w:szCs w:val="21"/>
        </w:rPr>
        <w:t>质疑已经处理并答复后，质疑人就同一事项又提起质疑且未提供新的有效证据的；</w:t>
      </w:r>
    </w:p>
    <w:p>
      <w:pPr>
        <w:numPr>
          <w:ilvl w:val="0"/>
          <w:numId w:val="31"/>
        </w:numPr>
        <w:spacing w:line="400" w:lineRule="exact"/>
        <w:textAlignment w:val="auto"/>
        <w:rPr>
          <w:sz w:val="21"/>
          <w:szCs w:val="21"/>
        </w:rPr>
      </w:pPr>
      <w:r>
        <w:rPr>
          <w:rFonts w:hint="eastAsia"/>
          <w:sz w:val="21"/>
          <w:szCs w:val="21"/>
        </w:rPr>
        <w:t>其他根据相关法律、法规应当予以驳回的情形。</w:t>
      </w:r>
    </w:p>
    <w:p>
      <w:pPr>
        <w:pStyle w:val="91"/>
        <w:rPr>
          <w:rFonts w:ascii="Times New Roman" w:hAnsi="Times New Roman"/>
        </w:rPr>
      </w:pPr>
      <w:r>
        <w:rPr>
          <w:rFonts w:hint="eastAsia" w:ascii="Times New Roman" w:hAnsi="Times New Roman"/>
        </w:rPr>
        <w:t>供应商进行虚假和恶意质疑的，采购人可以提请有关部门将其列入不良记录名单，在一至三年内禁止参加政府采购活动，并将处理决定在相关政府采购媒体上公布。</w:t>
      </w:r>
    </w:p>
    <w:p>
      <w:pPr>
        <w:pStyle w:val="91"/>
        <w:rPr>
          <w:rFonts w:ascii="Times New Roman" w:hAnsi="Times New Roman"/>
          <w:szCs w:val="21"/>
        </w:rPr>
      </w:pPr>
      <w:r>
        <w:rPr>
          <w:rFonts w:hint="eastAsia" w:ascii="Times New Roman" w:hAnsi="Times New Roman"/>
        </w:rPr>
        <w:t>质疑响应人对采购人的答复不满意以及采购人未在规定的时间内做出答复的，可以在答复期满后</w:t>
      </w:r>
      <w:r>
        <w:rPr>
          <w:rFonts w:ascii="Times New Roman" w:hAnsi="Times New Roman"/>
        </w:rPr>
        <w:t>15</w:t>
      </w:r>
      <w:r>
        <w:rPr>
          <w:rFonts w:hint="eastAsia" w:ascii="Times New Roman" w:hAnsi="Times New Roman"/>
        </w:rPr>
        <w:t>个工作日内向财政部投诉。</w:t>
      </w:r>
    </w:p>
    <w:p>
      <w:pPr>
        <w:pStyle w:val="44"/>
        <w:numPr>
          <w:ilvl w:val="0"/>
          <w:numId w:val="15"/>
        </w:numPr>
        <w:adjustRightInd/>
        <w:spacing w:line="415" w:lineRule="auto"/>
        <w:jc w:val="both"/>
        <w:textAlignment w:val="auto"/>
        <w:rPr>
          <w:kern w:val="2"/>
        </w:rPr>
      </w:pPr>
      <w:bookmarkStart w:id="66" w:name="_Toc486583482"/>
      <w:r>
        <w:rPr>
          <w:rFonts w:hint="eastAsia"/>
          <w:kern w:val="2"/>
        </w:rPr>
        <w:t>保密和披露</w:t>
      </w:r>
      <w:bookmarkEnd w:id="66"/>
    </w:p>
    <w:p>
      <w:pPr>
        <w:pStyle w:val="91"/>
        <w:rPr>
          <w:rFonts w:ascii="Times New Roman" w:hAnsi="Times New Roman"/>
        </w:rPr>
      </w:pPr>
      <w:r>
        <w:rPr>
          <w:rFonts w:hint="eastAsia" w:ascii="Times New Roman" w:hAnsi="Times New Roman"/>
        </w:rPr>
        <w:t>响应人自领取磋商文件之日起，须承诺承担本磋商项目下保密义务，不得将因本次磋商获得的信息向第三人外传。</w:t>
      </w:r>
    </w:p>
    <w:p>
      <w:pPr>
        <w:pStyle w:val="91"/>
        <w:rPr>
          <w:rFonts w:ascii="Times New Roman" w:hAnsi="Times New Roman"/>
        </w:rPr>
      </w:pPr>
      <w:r>
        <w:rPr>
          <w:rFonts w:hint="eastAsia" w:ascii="Times New Roman" w:hAnsi="Times New Roman"/>
        </w:rPr>
        <w:t>采购人有权将响应人提供的所有资料向有关政府部门或评审标书的有关人员披露。</w:t>
      </w:r>
    </w:p>
    <w:p>
      <w:pPr>
        <w:pStyle w:val="91"/>
        <w:rPr>
          <w:rFonts w:ascii="Times New Roman" w:hAnsi="Times New Roman"/>
        </w:rPr>
      </w:pPr>
      <w:r>
        <w:rPr>
          <w:rFonts w:hint="eastAsia" w:ascii="Times New Roman" w:hAnsi="Times New Roman"/>
        </w:rPr>
        <w:t>在采购人认为适当时、国家机关调查、审查、审计时以及其他符合法律规定的情形下，采购人无须事先征求响应人</w:t>
      </w:r>
      <w:r>
        <w:rPr>
          <w:rFonts w:ascii="Times New Roman" w:hAnsi="Times New Roman"/>
        </w:rPr>
        <w:t>/</w:t>
      </w:r>
      <w:r>
        <w:rPr>
          <w:rFonts w:hint="eastAsia" w:ascii="Times New Roman" w:hAnsi="Times New Roman"/>
        </w:rPr>
        <w:t>成交人同意而可以披露关于采购过程、合同文本、签署情况的资料、响应人</w:t>
      </w:r>
      <w:r>
        <w:rPr>
          <w:rFonts w:ascii="Times New Roman" w:hAnsi="Times New Roman"/>
        </w:rPr>
        <w:t>/</w:t>
      </w:r>
      <w:r>
        <w:rPr>
          <w:rFonts w:hint="eastAsia" w:ascii="Times New Roman" w:hAnsi="Times New Roman"/>
        </w:rPr>
        <w:t>成交人的名称及地址、响应文件的有关信息以及补充条款等，但应当在合理的必要范围内。对任何已经公布过的内容或与之内容相同的资料，以及响应人</w:t>
      </w:r>
      <w:r>
        <w:rPr>
          <w:rFonts w:ascii="Times New Roman" w:hAnsi="Times New Roman"/>
        </w:rPr>
        <w:t>/</w:t>
      </w:r>
      <w:r>
        <w:rPr>
          <w:rFonts w:hint="eastAsia" w:ascii="Times New Roman" w:hAnsi="Times New Roman"/>
        </w:rPr>
        <w:t>成交人已经泄露或公开的，无须再承担保密责任。</w:t>
      </w:r>
    </w:p>
    <w:bookmarkEnd w:id="54"/>
    <w:p>
      <w:pPr>
        <w:pStyle w:val="43"/>
        <w:adjustRightInd/>
        <w:spacing w:line="415" w:lineRule="auto"/>
        <w:ind w:left="420" w:hanging="420"/>
        <w:jc w:val="center"/>
        <w:textAlignment w:val="auto"/>
        <w:rPr>
          <w:rFonts w:ascii="Times New Roman" w:hAnsi="Times New Roman" w:eastAsia="宋体"/>
          <w:sz w:val="21"/>
          <w:szCs w:val="21"/>
        </w:rPr>
      </w:pPr>
      <w:r>
        <w:rPr>
          <w:rFonts w:ascii="Times New Roman" w:hAnsi="Times New Roman" w:eastAsia="宋体"/>
          <w:kern w:val="2"/>
        </w:rPr>
        <w:br w:type="page"/>
      </w:r>
      <w:bookmarkStart w:id="67" w:name="_Toc486583483"/>
      <w:bookmarkStart w:id="68" w:name="_Toc477456210"/>
      <w:r>
        <w:rPr>
          <w:rFonts w:hint="eastAsia" w:ascii="Times New Roman" w:hAnsi="Times New Roman" w:eastAsia="宋体"/>
          <w:kern w:val="2"/>
        </w:rPr>
        <w:t>第四部分</w:t>
      </w:r>
      <w:r>
        <w:rPr>
          <w:rFonts w:ascii="Times New Roman" w:hAnsi="Times New Roman" w:eastAsia="宋体"/>
          <w:kern w:val="2"/>
        </w:rPr>
        <w:t xml:space="preserve">  </w:t>
      </w:r>
      <w:bookmarkStart w:id="69" w:name="评标标准和评标办法"/>
      <w:r>
        <w:rPr>
          <w:rFonts w:hint="eastAsia" w:ascii="Times New Roman" w:hAnsi="Times New Roman" w:eastAsia="宋体"/>
          <w:kern w:val="2"/>
        </w:rPr>
        <w:t>评标标准和评标办法</w:t>
      </w:r>
      <w:bookmarkEnd w:id="67"/>
      <w:bookmarkEnd w:id="68"/>
      <w:bookmarkEnd w:id="69"/>
    </w:p>
    <w:p>
      <w:pPr>
        <w:snapToGrid w:val="0"/>
        <w:spacing w:line="400" w:lineRule="exact"/>
        <w:ind w:firstLine="420" w:firstLineChars="200"/>
        <w:rPr>
          <w:sz w:val="21"/>
          <w:szCs w:val="21"/>
        </w:rPr>
      </w:pPr>
      <w:r>
        <w:rPr>
          <w:rFonts w:hint="eastAsia"/>
          <w:sz w:val="21"/>
          <w:szCs w:val="21"/>
        </w:rPr>
        <w:t>此次磋商谈判统一采用综合评分法。综合评分法，是指响应文件满足磋商文件全部实质性要求且按评审因素的量化指标评审得分最高的供应商为成交候选供应商的评审方法。</w:t>
      </w:r>
    </w:p>
    <w:p>
      <w:pPr>
        <w:snapToGrid w:val="0"/>
        <w:spacing w:line="400" w:lineRule="exact"/>
        <w:ind w:firstLine="420" w:firstLineChars="200"/>
        <w:rPr>
          <w:sz w:val="21"/>
          <w:szCs w:val="21"/>
        </w:rPr>
      </w:pPr>
      <w:r>
        <w:rPr>
          <w:rFonts w:hint="eastAsia"/>
          <w:sz w:val="21"/>
          <w:szCs w:val="21"/>
        </w:rPr>
        <w:t>综合评分法评审标准中的分值设置应当与评审因素的量化指标相对应。磋商文件中没有规定的评审标准不得作为评审依据。</w:t>
      </w:r>
    </w:p>
    <w:p>
      <w:pPr>
        <w:snapToGrid w:val="0"/>
        <w:spacing w:line="400" w:lineRule="exact"/>
        <w:ind w:firstLine="420" w:firstLineChars="200"/>
        <w:rPr>
          <w:sz w:val="21"/>
          <w:szCs w:val="21"/>
        </w:rPr>
      </w:pPr>
      <w:r>
        <w:rPr>
          <w:rFonts w:hint="eastAsia"/>
          <w:sz w:val="21"/>
          <w:szCs w:val="21"/>
        </w:rPr>
        <w:t>评审时，磋商小组各成员应当独立对每个有效响应的文件进行评价、打分，然后汇总每个供应商每项评分因素的得分。</w:t>
      </w:r>
    </w:p>
    <w:p>
      <w:pPr>
        <w:snapToGrid w:val="0"/>
        <w:spacing w:line="400" w:lineRule="exact"/>
        <w:ind w:firstLine="420" w:firstLineChars="200"/>
        <w:rPr>
          <w:sz w:val="21"/>
          <w:szCs w:val="21"/>
        </w:rPr>
      </w:pPr>
      <w:r>
        <w:rPr>
          <w:rFonts w:hint="eastAsia"/>
          <w:sz w:val="21"/>
          <w:szCs w:val="21"/>
        </w:rPr>
        <w:t>综合评分法中的价格分统一采用低价优先法计算，即满足磋商文件要求且最后报价最低的供应商的价格为磋商基准价，其价格分为满分。其他供应商的价格分统一按照下列公式计算：</w:t>
      </w:r>
    </w:p>
    <w:p>
      <w:pPr>
        <w:snapToGrid w:val="0"/>
        <w:spacing w:line="400" w:lineRule="exact"/>
        <w:ind w:firstLine="420" w:firstLineChars="200"/>
        <w:rPr>
          <w:sz w:val="21"/>
          <w:szCs w:val="21"/>
        </w:rPr>
      </w:pPr>
      <w:r>
        <w:rPr>
          <w:rFonts w:hint="eastAsia"/>
          <w:sz w:val="21"/>
          <w:szCs w:val="21"/>
        </w:rPr>
        <w:t>磋商报价得分</w:t>
      </w:r>
      <w:r>
        <w:rPr>
          <w:sz w:val="21"/>
          <w:szCs w:val="21"/>
        </w:rPr>
        <w:t>=</w:t>
      </w:r>
      <w:r>
        <w:rPr>
          <w:rFonts w:hint="eastAsia"/>
          <w:sz w:val="21"/>
          <w:szCs w:val="21"/>
        </w:rPr>
        <w:t>（磋商基准价</w:t>
      </w:r>
      <w:r>
        <w:rPr>
          <w:sz w:val="21"/>
          <w:szCs w:val="21"/>
        </w:rPr>
        <w:t>/</w:t>
      </w:r>
      <w:r>
        <w:rPr>
          <w:rFonts w:hint="eastAsia"/>
          <w:sz w:val="21"/>
          <w:szCs w:val="21"/>
        </w:rPr>
        <w:t>最后磋商报价）</w:t>
      </w:r>
      <w:r>
        <w:rPr>
          <w:sz w:val="21"/>
          <w:szCs w:val="21"/>
        </w:rPr>
        <w:t>×</w:t>
      </w:r>
      <w:r>
        <w:rPr>
          <w:rFonts w:hint="eastAsia"/>
          <w:sz w:val="21"/>
          <w:szCs w:val="21"/>
        </w:rPr>
        <w:t>价格权值</w:t>
      </w:r>
      <w:r>
        <w:rPr>
          <w:sz w:val="21"/>
          <w:szCs w:val="21"/>
        </w:rPr>
        <w:t>×100</w:t>
      </w:r>
      <w:r>
        <w:rPr>
          <w:rFonts w:hint="eastAsia"/>
          <w:sz w:val="21"/>
          <w:szCs w:val="21"/>
        </w:rPr>
        <w:t>。</w:t>
      </w:r>
    </w:p>
    <w:p>
      <w:pPr>
        <w:snapToGrid w:val="0"/>
        <w:spacing w:line="400" w:lineRule="exact"/>
        <w:ind w:firstLine="420" w:firstLineChars="200"/>
        <w:rPr>
          <w:sz w:val="21"/>
          <w:szCs w:val="21"/>
        </w:rPr>
      </w:pPr>
      <w:r>
        <w:rPr>
          <w:rFonts w:hint="eastAsia"/>
          <w:sz w:val="21"/>
          <w:szCs w:val="21"/>
        </w:rPr>
        <w:t>项目评审过程中，不得去掉最后报价中的最高报价和最低报价。</w:t>
      </w:r>
    </w:p>
    <w:p>
      <w:pPr>
        <w:spacing w:line="400" w:lineRule="exact"/>
        <w:ind w:firstLine="420" w:firstLineChars="200"/>
        <w:rPr>
          <w:sz w:val="21"/>
          <w:szCs w:val="21"/>
        </w:rPr>
      </w:pPr>
      <w:r>
        <w:rPr>
          <w:rFonts w:hint="eastAsia"/>
          <w:sz w:val="21"/>
          <w:szCs w:val="21"/>
        </w:rPr>
        <w:t>具体评分标准如下：</w:t>
      </w:r>
    </w:p>
    <w:tbl>
      <w:tblPr>
        <w:tblStyle w:val="42"/>
        <w:tblW w:w="9604" w:type="dxa"/>
        <w:tblInd w:w="-34" w:type="dxa"/>
        <w:tblLayout w:type="fixed"/>
        <w:tblCellMar>
          <w:top w:w="0" w:type="dxa"/>
          <w:left w:w="108" w:type="dxa"/>
          <w:bottom w:w="0" w:type="dxa"/>
          <w:right w:w="108" w:type="dxa"/>
        </w:tblCellMar>
      </w:tblPr>
      <w:tblGrid>
        <w:gridCol w:w="9604"/>
      </w:tblGrid>
      <w:tr>
        <w:tblPrEx>
          <w:tblLayout w:type="fixed"/>
          <w:tblCellMar>
            <w:top w:w="0" w:type="dxa"/>
            <w:left w:w="108" w:type="dxa"/>
            <w:bottom w:w="0" w:type="dxa"/>
            <w:right w:w="108" w:type="dxa"/>
          </w:tblCellMar>
        </w:tblPrEx>
        <w:trPr>
          <w:trHeight w:val="285"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rPr>
            </w:pPr>
            <w:r>
              <w:rPr>
                <w:rFonts w:hint="eastAsia" w:ascii="Times New Roman" w:hAnsi="Times New Roman"/>
              </w:rPr>
              <w:t>项</w:t>
            </w:r>
            <w:r>
              <w:rPr>
                <w:rFonts w:ascii="Times New Roman" w:hAnsi="Times New Roman"/>
              </w:rPr>
              <w:t xml:space="preserve">      </w:t>
            </w:r>
            <w:r>
              <w:rPr>
                <w:rFonts w:hint="eastAsia" w:ascii="Times New Roman" w:hAnsi="Times New Roman"/>
              </w:rPr>
              <w:t>目：</w:t>
            </w:r>
            <w:r>
              <w:fldChar w:fldCharType="begin"/>
            </w:r>
            <w:r>
              <w:instrText xml:space="preserve"> REF 项目名称 \h  \* MERGEFORMAT </w:instrText>
            </w:r>
            <w:r>
              <w:fldChar w:fldCharType="separate"/>
            </w:r>
            <w:r>
              <w:rPr>
                <w:rFonts w:ascii="Times New Roman" w:hAnsi="Times New Roman"/>
              </w:rPr>
              <w:t>中央财经大学</w:t>
            </w:r>
            <w:r>
              <w:rPr>
                <w:rFonts w:hint="eastAsia" w:ascii="Times New Roman" w:hAnsi="Times New Roman"/>
              </w:rPr>
              <w:t>沙河校区图书馆</w:t>
            </w:r>
            <w:r>
              <w:rPr>
                <w:rFonts w:ascii="Times New Roman" w:hAnsi="Times New Roman"/>
              </w:rPr>
              <w:t>电梯维保服务采购项目</w:t>
            </w:r>
            <w:r>
              <w:rPr>
                <w:rFonts w:ascii="Times New Roman" w:hAnsi="Times New Roman"/>
              </w:rPr>
              <w:fldChar w:fldCharType="end"/>
            </w:r>
            <w:r>
              <w:rPr>
                <w:rFonts w:ascii="Times New Roman" w:hAnsi="Times New Roman"/>
              </w:rPr>
              <w:t xml:space="preserve">                      </w:t>
            </w:r>
          </w:p>
        </w:tc>
      </w:tr>
      <w:tr>
        <w:tblPrEx>
          <w:tblLayout w:type="fixed"/>
          <w:tblCellMar>
            <w:top w:w="0" w:type="dxa"/>
            <w:left w:w="108" w:type="dxa"/>
            <w:bottom w:w="0" w:type="dxa"/>
            <w:right w:w="108" w:type="dxa"/>
          </w:tblCellMar>
        </w:tblPrEx>
        <w:trPr>
          <w:trHeight w:val="285" w:hRule="atLeast"/>
        </w:trPr>
        <w:tc>
          <w:tcPr>
            <w:tcW w:w="9604" w:type="dxa"/>
            <w:tcBorders>
              <w:top w:val="nil"/>
              <w:left w:val="single" w:color="auto" w:sz="4" w:space="0"/>
              <w:bottom w:val="single" w:color="auto" w:sz="4" w:space="0"/>
              <w:right w:val="single" w:color="auto" w:sz="4" w:space="0"/>
            </w:tcBorders>
            <w:vAlign w:val="center"/>
          </w:tcPr>
          <w:p>
            <w:pPr>
              <w:pStyle w:val="91"/>
              <w:numPr>
                <w:ilvl w:val="0"/>
                <w:numId w:val="32"/>
              </w:numPr>
              <w:ind w:firstLineChars="0"/>
              <w:rPr>
                <w:rFonts w:ascii="Times New Roman" w:hAnsi="Times New Roman"/>
              </w:rPr>
            </w:pPr>
            <w:r>
              <w:rPr>
                <w:rFonts w:hint="eastAsia" w:ascii="Times New Roman" w:hAnsi="Times New Roman"/>
              </w:rPr>
              <w:t>商务部分（</w:t>
            </w:r>
            <w:r>
              <w:rPr>
                <w:rFonts w:ascii="Times New Roman" w:hAnsi="Times New Roman"/>
              </w:rPr>
              <w:t>12</w:t>
            </w:r>
            <w:r>
              <w:rPr>
                <w:rFonts w:hint="eastAsia" w:ascii="Times New Roman" w:hAnsi="Times New Roman"/>
              </w:rPr>
              <w:t>分）（客观分）</w:t>
            </w:r>
          </w:p>
        </w:tc>
      </w:tr>
      <w:tr>
        <w:tblPrEx>
          <w:tblLayout w:type="fixed"/>
          <w:tblCellMar>
            <w:top w:w="0" w:type="dxa"/>
            <w:left w:w="108" w:type="dxa"/>
            <w:bottom w:w="0" w:type="dxa"/>
            <w:right w:w="108" w:type="dxa"/>
          </w:tblCellMar>
        </w:tblPrEx>
        <w:trPr>
          <w:trHeight w:val="402" w:hRule="atLeast"/>
        </w:trPr>
        <w:tc>
          <w:tcPr>
            <w:tcW w:w="9604" w:type="dxa"/>
            <w:tcBorders>
              <w:top w:val="nil"/>
              <w:left w:val="single" w:color="auto" w:sz="4" w:space="0"/>
              <w:bottom w:val="single" w:color="auto" w:sz="4" w:space="0"/>
              <w:right w:val="single" w:color="auto" w:sz="4" w:space="0"/>
            </w:tcBorders>
            <w:vAlign w:val="center"/>
          </w:tcPr>
          <w:p>
            <w:pPr>
              <w:pStyle w:val="91"/>
              <w:numPr>
                <w:ilvl w:val="0"/>
                <w:numId w:val="33"/>
              </w:numPr>
              <w:ind w:firstLineChars="0"/>
              <w:rPr>
                <w:rFonts w:ascii="Times New Roman" w:hAnsi="Times New Roman"/>
              </w:rPr>
            </w:pPr>
            <w:r>
              <w:rPr>
                <w:rFonts w:hint="eastAsia" w:ascii="Times New Roman" w:hAnsi="Times New Roman"/>
              </w:rPr>
              <w:t>标书质量（</w:t>
            </w:r>
            <w:r>
              <w:rPr>
                <w:rFonts w:ascii="Times New Roman" w:hAnsi="Times New Roman"/>
              </w:rPr>
              <w:t>2</w:t>
            </w:r>
            <w:r>
              <w:rPr>
                <w:rFonts w:hint="eastAsia" w:ascii="Times New Roman" w:hAnsi="Times New Roman"/>
              </w:rPr>
              <w:t>分）</w:t>
            </w:r>
          </w:p>
          <w:p>
            <w:pPr>
              <w:pStyle w:val="91"/>
              <w:rPr>
                <w:rFonts w:ascii="Times New Roman" w:hAnsi="Times New Roman"/>
              </w:rPr>
            </w:pPr>
            <w:r>
              <w:rPr>
                <w:rFonts w:hint="eastAsia" w:ascii="Times New Roman" w:hAnsi="Times New Roman"/>
              </w:rPr>
              <w:t>有目录索引、页码无错乱、标题、编号、正文、表格等排版规范得</w:t>
            </w:r>
            <w:r>
              <w:rPr>
                <w:rFonts w:ascii="Times New Roman" w:hAnsi="Times New Roman"/>
              </w:rPr>
              <w:t>1</w:t>
            </w:r>
            <w:r>
              <w:rPr>
                <w:rFonts w:hint="eastAsia" w:ascii="Times New Roman" w:hAnsi="Times New Roman"/>
              </w:rPr>
              <w:t>分，每出现一个错误扣</w:t>
            </w:r>
            <w:r>
              <w:rPr>
                <w:rFonts w:ascii="Times New Roman" w:hAnsi="Times New Roman"/>
              </w:rPr>
              <w:t>0.2</w:t>
            </w:r>
            <w:r>
              <w:rPr>
                <w:rFonts w:hint="eastAsia" w:ascii="Times New Roman" w:hAnsi="Times New Roman"/>
              </w:rPr>
              <w:t>分，扣完为止。</w:t>
            </w:r>
          </w:p>
          <w:p>
            <w:pPr>
              <w:pStyle w:val="91"/>
              <w:rPr>
                <w:rFonts w:ascii="Times New Roman" w:hAnsi="Times New Roman"/>
              </w:rPr>
            </w:pPr>
            <w:r>
              <w:rPr>
                <w:rFonts w:hint="eastAsia" w:ascii="Times New Roman" w:hAnsi="Times New Roman"/>
              </w:rPr>
              <w:t>证件复印、正文内容清晰得</w:t>
            </w:r>
            <w:r>
              <w:rPr>
                <w:rFonts w:ascii="Times New Roman" w:hAnsi="Times New Roman"/>
              </w:rPr>
              <w:t>1</w:t>
            </w:r>
            <w:r>
              <w:rPr>
                <w:rFonts w:hint="eastAsia" w:ascii="Times New Roman" w:hAnsi="Times New Roman"/>
              </w:rPr>
              <w:t>分，每有一个证件或一页不清晰扣</w:t>
            </w:r>
            <w:r>
              <w:rPr>
                <w:rFonts w:ascii="Times New Roman" w:hAnsi="Times New Roman"/>
              </w:rPr>
              <w:t>0.1</w:t>
            </w:r>
            <w:r>
              <w:rPr>
                <w:rFonts w:hint="eastAsia" w:ascii="Times New Roman" w:hAnsi="Times New Roman"/>
              </w:rPr>
              <w:t>分，扣完为止。</w:t>
            </w:r>
          </w:p>
          <w:p>
            <w:pPr>
              <w:pStyle w:val="91"/>
              <w:numPr>
                <w:ilvl w:val="0"/>
                <w:numId w:val="33"/>
              </w:numPr>
              <w:ind w:firstLineChars="0"/>
              <w:rPr>
                <w:rFonts w:ascii="Times New Roman" w:hAnsi="Times New Roman"/>
              </w:rPr>
            </w:pPr>
            <w:r>
              <w:rPr>
                <w:rFonts w:hint="eastAsia" w:ascii="Times New Roman" w:hAnsi="Times New Roman"/>
              </w:rPr>
              <w:t>实施案例（</w:t>
            </w:r>
            <w:r>
              <w:rPr>
                <w:rFonts w:ascii="Times New Roman" w:hAnsi="Times New Roman"/>
              </w:rPr>
              <w:t>10</w:t>
            </w:r>
            <w:r>
              <w:rPr>
                <w:rFonts w:hint="eastAsia" w:ascii="Times New Roman" w:hAnsi="Times New Roman"/>
              </w:rPr>
              <w:t>分）</w:t>
            </w:r>
          </w:p>
          <w:p>
            <w:pPr>
              <w:pStyle w:val="91"/>
              <w:rPr>
                <w:rFonts w:ascii="Times New Roman" w:hAnsi="Times New Roman"/>
              </w:rPr>
            </w:pPr>
            <w:r>
              <w:rPr>
                <w:rFonts w:hint="eastAsia" w:cs="宋体"/>
                <w:color w:val="auto"/>
                <w:szCs w:val="21"/>
              </w:rPr>
              <w:t>近三年内与本采购项目同型号电梯设备维保案例的</w:t>
            </w:r>
            <w:r>
              <w:rPr>
                <w:rFonts w:hint="eastAsia" w:cs="宋体"/>
                <w:color w:val="FF0000"/>
                <w:szCs w:val="21"/>
              </w:rPr>
              <w:t>，</w:t>
            </w:r>
            <w:r>
              <w:rPr>
                <w:rFonts w:hint="eastAsia" w:cs="宋体"/>
                <w:szCs w:val="21"/>
              </w:rPr>
              <w:t>每个案例得</w:t>
            </w:r>
            <w:r>
              <w:rPr>
                <w:rFonts w:cs="宋体"/>
                <w:szCs w:val="21"/>
              </w:rPr>
              <w:t>2</w:t>
            </w:r>
            <w:r>
              <w:rPr>
                <w:rFonts w:hint="eastAsia" w:cs="宋体"/>
                <w:szCs w:val="21"/>
              </w:rPr>
              <w:t>分，最多得</w:t>
            </w:r>
            <w:r>
              <w:rPr>
                <w:rFonts w:cs="宋体"/>
                <w:szCs w:val="21"/>
              </w:rPr>
              <w:t>10</w:t>
            </w:r>
            <w:r>
              <w:rPr>
                <w:rFonts w:hint="eastAsia" w:cs="宋体"/>
                <w:szCs w:val="21"/>
              </w:rPr>
              <w:t>分；案例需提供合同复印件（至少含首页和签字盖章页）否则不得分。</w:t>
            </w:r>
          </w:p>
        </w:tc>
      </w:tr>
      <w:tr>
        <w:tblPrEx>
          <w:tblLayout w:type="fixed"/>
          <w:tblCellMar>
            <w:top w:w="0" w:type="dxa"/>
            <w:left w:w="108" w:type="dxa"/>
            <w:bottom w:w="0" w:type="dxa"/>
            <w:right w:w="108" w:type="dxa"/>
          </w:tblCellMar>
        </w:tblPrEx>
        <w:trPr>
          <w:trHeight w:val="285"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91"/>
              <w:numPr>
                <w:ilvl w:val="0"/>
                <w:numId w:val="32"/>
              </w:numPr>
              <w:ind w:firstLineChars="0"/>
              <w:rPr>
                <w:rFonts w:ascii="Times New Roman" w:hAnsi="Times New Roman"/>
              </w:rPr>
            </w:pPr>
            <w:r>
              <w:rPr>
                <w:rFonts w:hint="eastAsia" w:ascii="Times New Roman" w:hAnsi="Times New Roman"/>
              </w:rPr>
              <w:t>服务部分（40分）（客观分）</w:t>
            </w:r>
          </w:p>
        </w:tc>
      </w:tr>
      <w:tr>
        <w:tblPrEx>
          <w:tblLayout w:type="fixed"/>
          <w:tblCellMar>
            <w:top w:w="0" w:type="dxa"/>
            <w:left w:w="108" w:type="dxa"/>
            <w:bottom w:w="0" w:type="dxa"/>
            <w:right w:w="108" w:type="dxa"/>
          </w:tblCellMar>
        </w:tblPrEx>
        <w:trPr>
          <w:trHeight w:val="1873" w:hRule="atLeast"/>
        </w:trPr>
        <w:tc>
          <w:tcPr>
            <w:tcW w:w="9604" w:type="dxa"/>
            <w:tcBorders>
              <w:top w:val="single" w:color="auto" w:sz="4" w:space="0"/>
              <w:left w:val="single" w:color="auto" w:sz="4" w:space="0"/>
              <w:right w:val="single" w:color="auto" w:sz="4" w:space="0"/>
            </w:tcBorders>
            <w:vAlign w:val="center"/>
          </w:tcPr>
          <w:p>
            <w:pPr>
              <w:pStyle w:val="91"/>
              <w:ind w:firstLine="0" w:firstLineChars="0"/>
              <w:rPr>
                <w:rFonts w:ascii="Times New Roman" w:hAnsi="Times New Roman"/>
              </w:rPr>
            </w:pPr>
            <w:r>
              <w:rPr>
                <w:rFonts w:ascii="Times New Roman" w:hAnsi="Times New Roman"/>
              </w:rPr>
              <w:t>1</w:t>
            </w:r>
            <w:r>
              <w:rPr>
                <w:rFonts w:hint="eastAsia" w:ascii="Times New Roman" w:hAnsi="Times New Roman"/>
              </w:rPr>
              <w:t>、承诺能够在接到电梯设备报修后</w:t>
            </w:r>
            <w:r>
              <w:rPr>
                <w:rFonts w:ascii="Times New Roman" w:hAnsi="Times New Roman"/>
              </w:rPr>
              <w:t>60</w:t>
            </w:r>
            <w:r>
              <w:rPr>
                <w:rFonts w:hint="eastAsia" w:ascii="Times New Roman" w:hAnsi="Times New Roman"/>
              </w:rPr>
              <w:t>分钟内到达现场得5分，＞</w:t>
            </w:r>
            <w:r>
              <w:rPr>
                <w:rFonts w:ascii="Times New Roman" w:hAnsi="Times New Roman"/>
              </w:rPr>
              <w:t>60</w:t>
            </w:r>
            <w:r>
              <w:rPr>
                <w:rFonts w:hint="eastAsia" w:ascii="Times New Roman" w:hAnsi="Times New Roman"/>
              </w:rPr>
              <w:t>分钟不得分；</w:t>
            </w:r>
          </w:p>
          <w:p>
            <w:pPr>
              <w:pStyle w:val="91"/>
              <w:ind w:firstLine="0" w:firstLineChars="0"/>
              <w:rPr>
                <w:rFonts w:ascii="Times New Roman" w:hAnsi="Times New Roman"/>
              </w:rPr>
            </w:pPr>
            <w:r>
              <w:rPr>
                <w:rFonts w:ascii="Times New Roman" w:hAnsi="Times New Roman"/>
              </w:rPr>
              <w:t>2</w:t>
            </w:r>
            <w:r>
              <w:rPr>
                <w:rFonts w:hint="eastAsia" w:ascii="Times New Roman" w:hAnsi="Times New Roman"/>
              </w:rPr>
              <w:t>、承诺能够在接到电梯困人紧急报修后</w:t>
            </w:r>
            <w:r>
              <w:rPr>
                <w:rFonts w:ascii="Times New Roman" w:hAnsi="Times New Roman"/>
              </w:rPr>
              <w:t>30</w:t>
            </w:r>
            <w:r>
              <w:rPr>
                <w:rFonts w:hint="eastAsia" w:ascii="Times New Roman" w:hAnsi="Times New Roman"/>
              </w:rPr>
              <w:t>分钟内到达现场得10分，＞</w:t>
            </w:r>
            <w:r>
              <w:rPr>
                <w:rFonts w:ascii="Times New Roman" w:hAnsi="Times New Roman"/>
              </w:rPr>
              <w:t>30</w:t>
            </w:r>
            <w:r>
              <w:rPr>
                <w:rFonts w:hint="eastAsia" w:ascii="Times New Roman" w:hAnsi="Times New Roman"/>
              </w:rPr>
              <w:t>分钟不得分；</w:t>
            </w:r>
          </w:p>
          <w:p>
            <w:pPr>
              <w:pStyle w:val="91"/>
              <w:ind w:firstLine="0" w:firstLineChars="0"/>
              <w:rPr>
                <w:rFonts w:ascii="Times New Roman" w:hAnsi="Times New Roman"/>
              </w:rPr>
            </w:pPr>
            <w:r>
              <w:rPr>
                <w:rFonts w:ascii="Times New Roman" w:hAnsi="Times New Roman"/>
              </w:rPr>
              <w:t>3</w:t>
            </w:r>
            <w:r>
              <w:rPr>
                <w:rFonts w:hint="eastAsia" w:ascii="Times New Roman" w:hAnsi="Times New Roman"/>
              </w:rPr>
              <w:t>、承诺电梯因零部件故障维修、更换，直至电梯正常使用时间</w:t>
            </w:r>
            <w:r>
              <w:rPr>
                <w:rFonts w:ascii="Times New Roman" w:hAnsi="Times New Roman"/>
              </w:rPr>
              <w:t>3-5</w:t>
            </w:r>
            <w:r>
              <w:rPr>
                <w:rFonts w:hint="eastAsia" w:ascii="Times New Roman" w:hAnsi="Times New Roman"/>
              </w:rPr>
              <w:t>天得</w:t>
            </w:r>
            <w:r>
              <w:rPr>
                <w:rFonts w:ascii="Times New Roman" w:hAnsi="Times New Roman"/>
              </w:rPr>
              <w:t>5</w:t>
            </w:r>
            <w:r>
              <w:rPr>
                <w:rFonts w:hint="eastAsia" w:ascii="Times New Roman" w:hAnsi="Times New Roman"/>
              </w:rPr>
              <w:t>分，</w:t>
            </w:r>
            <w:r>
              <w:rPr>
                <w:rFonts w:ascii="Times New Roman" w:hAnsi="Times New Roman"/>
              </w:rPr>
              <w:t>1-2</w:t>
            </w:r>
            <w:r>
              <w:rPr>
                <w:rFonts w:hint="eastAsia" w:ascii="Times New Roman" w:hAnsi="Times New Roman"/>
              </w:rPr>
              <w:t>天得10分</w:t>
            </w:r>
            <w:r>
              <w:rPr>
                <w:rFonts w:ascii="Times New Roman" w:hAnsi="Times New Roman"/>
              </w:rPr>
              <w:t>,5</w:t>
            </w:r>
            <w:r>
              <w:rPr>
                <w:rFonts w:hint="eastAsia" w:ascii="Times New Roman" w:hAnsi="Times New Roman"/>
              </w:rPr>
              <w:t>天（不含）以上不得分；</w:t>
            </w:r>
          </w:p>
          <w:p>
            <w:pPr>
              <w:pStyle w:val="91"/>
              <w:ind w:firstLine="0" w:firstLineChars="0"/>
              <w:rPr>
                <w:rFonts w:ascii="Times New Roman" w:hAnsi="Times New Roman"/>
              </w:rPr>
            </w:pPr>
            <w:r>
              <w:rPr>
                <w:rFonts w:ascii="Times New Roman" w:hAnsi="Times New Roman"/>
              </w:rPr>
              <w:t>4</w:t>
            </w:r>
            <w:r>
              <w:rPr>
                <w:rFonts w:hint="eastAsia" w:ascii="Times New Roman" w:hAnsi="Times New Roman"/>
              </w:rPr>
              <w:t>、承诺更换全部零配件均为原厂产品得</w:t>
            </w:r>
            <w:r>
              <w:rPr>
                <w:rFonts w:ascii="Times New Roman" w:hAnsi="Times New Roman"/>
              </w:rPr>
              <w:t>1</w:t>
            </w:r>
            <w:r>
              <w:rPr>
                <w:rFonts w:hint="eastAsia" w:ascii="Times New Roman" w:hAnsi="Times New Roman"/>
              </w:rPr>
              <w:t>5分，不承诺提供原厂配件的整个“服务部分”不得分。</w:t>
            </w:r>
          </w:p>
        </w:tc>
      </w:tr>
      <w:tr>
        <w:tblPrEx>
          <w:tblLayout w:type="fixed"/>
          <w:tblCellMar>
            <w:top w:w="0" w:type="dxa"/>
            <w:left w:w="108" w:type="dxa"/>
            <w:bottom w:w="0" w:type="dxa"/>
            <w:right w:w="108" w:type="dxa"/>
          </w:tblCellMar>
        </w:tblPrEx>
        <w:trPr>
          <w:trHeight w:val="315"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91"/>
              <w:numPr>
                <w:ilvl w:val="0"/>
                <w:numId w:val="32"/>
              </w:numPr>
              <w:ind w:firstLineChars="0"/>
              <w:rPr>
                <w:rFonts w:ascii="Times New Roman" w:hAnsi="Times New Roman"/>
              </w:rPr>
            </w:pPr>
            <w:r>
              <w:rPr>
                <w:rFonts w:hint="eastAsia" w:ascii="Times New Roman" w:hAnsi="Times New Roman"/>
              </w:rPr>
              <w:t>技术部分（</w:t>
            </w:r>
            <w:r>
              <w:rPr>
                <w:rFonts w:ascii="Times New Roman" w:hAnsi="Times New Roman"/>
              </w:rPr>
              <w:t>2</w:t>
            </w:r>
            <w:r>
              <w:rPr>
                <w:rFonts w:hint="eastAsia" w:ascii="Times New Roman" w:hAnsi="Times New Roman"/>
              </w:rPr>
              <w:t>8分）（主观分）</w:t>
            </w:r>
          </w:p>
        </w:tc>
      </w:tr>
      <w:tr>
        <w:tblPrEx>
          <w:tblLayout w:type="fixed"/>
          <w:tblCellMar>
            <w:top w:w="0" w:type="dxa"/>
            <w:left w:w="108" w:type="dxa"/>
            <w:bottom w:w="0" w:type="dxa"/>
            <w:right w:w="108" w:type="dxa"/>
          </w:tblCellMar>
        </w:tblPrEx>
        <w:trPr>
          <w:trHeight w:val="255" w:hRule="atLeast"/>
        </w:trPr>
        <w:tc>
          <w:tcPr>
            <w:tcW w:w="9604" w:type="dxa"/>
            <w:tcBorders>
              <w:top w:val="nil"/>
              <w:left w:val="single" w:color="auto" w:sz="4" w:space="0"/>
              <w:bottom w:val="single" w:color="auto" w:sz="4" w:space="0"/>
              <w:right w:val="single" w:color="auto" w:sz="4" w:space="0"/>
            </w:tcBorders>
          </w:tcPr>
          <w:p>
            <w:pPr>
              <w:pStyle w:val="91"/>
              <w:numPr>
                <w:ilvl w:val="0"/>
                <w:numId w:val="34"/>
              </w:numPr>
              <w:ind w:firstLineChars="0"/>
              <w:rPr>
                <w:rFonts w:ascii="Times New Roman" w:hAnsi="Times New Roman"/>
              </w:rPr>
            </w:pPr>
            <w:r>
              <w:rPr>
                <w:rFonts w:hint="eastAsia" w:ascii="Times New Roman" w:hAnsi="Times New Roman"/>
              </w:rPr>
              <w:t>维保方案中维保周期时间明确、能够提供分解到月度的维保计划得</w:t>
            </w:r>
            <w:r>
              <w:rPr>
                <w:rFonts w:ascii="Times New Roman" w:hAnsi="Times New Roman"/>
              </w:rPr>
              <w:t>5</w:t>
            </w:r>
            <w:r>
              <w:rPr>
                <w:rFonts w:hint="eastAsia" w:ascii="Times New Roman" w:hAnsi="Times New Roman"/>
              </w:rPr>
              <w:t>分，提供年度维保次数得</w:t>
            </w:r>
            <w:r>
              <w:rPr>
                <w:rFonts w:ascii="Times New Roman" w:hAnsi="Times New Roman"/>
              </w:rPr>
              <w:t>2</w:t>
            </w:r>
            <w:r>
              <w:rPr>
                <w:rFonts w:hint="eastAsia" w:ascii="Times New Roman" w:hAnsi="Times New Roman"/>
              </w:rPr>
              <w:t>分，没有年度维保计划和维保次数不得分；</w:t>
            </w:r>
          </w:p>
          <w:p>
            <w:pPr>
              <w:pStyle w:val="91"/>
              <w:numPr>
                <w:ilvl w:val="0"/>
                <w:numId w:val="34"/>
              </w:numPr>
              <w:ind w:firstLineChars="0"/>
              <w:rPr>
                <w:rFonts w:ascii="Times New Roman" w:hAnsi="Times New Roman"/>
              </w:rPr>
            </w:pPr>
            <w:r>
              <w:rPr>
                <w:rFonts w:hint="eastAsia" w:ascii="Times New Roman" w:hAnsi="Times New Roman"/>
              </w:rPr>
              <w:t>提供清晰有效的电梯维保人员相关证件，包括但不限于特种设备作业人员资格证、电工证、学历证，提供≥</w:t>
            </w:r>
            <w:r>
              <w:rPr>
                <w:rFonts w:ascii="Times New Roman" w:hAnsi="Times New Roman"/>
              </w:rPr>
              <w:t>3</w:t>
            </w:r>
            <w:r>
              <w:rPr>
                <w:rFonts w:hint="eastAsia" w:ascii="Times New Roman" w:hAnsi="Times New Roman"/>
              </w:rPr>
              <w:t>（含）种以上证书得</w:t>
            </w:r>
            <w:r>
              <w:rPr>
                <w:rFonts w:ascii="Times New Roman" w:hAnsi="Times New Roman"/>
              </w:rPr>
              <w:t>5</w:t>
            </w:r>
            <w:r>
              <w:rPr>
                <w:rFonts w:hint="eastAsia" w:ascii="Times New Roman" w:hAnsi="Times New Roman"/>
              </w:rPr>
              <w:t>分，提供≤</w:t>
            </w:r>
            <w:r>
              <w:rPr>
                <w:rFonts w:ascii="Times New Roman" w:hAnsi="Times New Roman"/>
              </w:rPr>
              <w:t>2</w:t>
            </w:r>
            <w:r>
              <w:rPr>
                <w:rFonts w:hint="eastAsia" w:ascii="Times New Roman" w:hAnsi="Times New Roman"/>
              </w:rPr>
              <w:t>种证书得</w:t>
            </w:r>
            <w:r>
              <w:rPr>
                <w:rFonts w:ascii="Times New Roman" w:hAnsi="Times New Roman"/>
              </w:rPr>
              <w:t>2</w:t>
            </w:r>
            <w:r>
              <w:rPr>
                <w:rFonts w:hint="eastAsia" w:ascii="Times New Roman" w:hAnsi="Times New Roman"/>
              </w:rPr>
              <w:t>分；</w:t>
            </w:r>
          </w:p>
          <w:p>
            <w:pPr>
              <w:pStyle w:val="91"/>
              <w:numPr>
                <w:ilvl w:val="0"/>
                <w:numId w:val="34"/>
              </w:numPr>
              <w:ind w:firstLineChars="0"/>
              <w:rPr>
                <w:rFonts w:ascii="Times New Roman" w:hAnsi="Times New Roman"/>
              </w:rPr>
            </w:pPr>
            <w:r>
              <w:rPr>
                <w:rFonts w:hint="eastAsia" w:ascii="Times New Roman" w:hAnsi="Times New Roman"/>
              </w:rPr>
              <w:t>维保设备配件产地、质保期等报价清晰明确得5分，没有设备配件清单报价不得分；</w:t>
            </w:r>
          </w:p>
          <w:p>
            <w:pPr>
              <w:pStyle w:val="91"/>
              <w:numPr>
                <w:ilvl w:val="0"/>
                <w:numId w:val="34"/>
              </w:numPr>
              <w:ind w:firstLineChars="0"/>
              <w:rPr>
                <w:rFonts w:ascii="Times New Roman" w:hAnsi="Times New Roman"/>
                <w:color w:val="auto"/>
              </w:rPr>
            </w:pPr>
            <w:r>
              <w:rPr>
                <w:rFonts w:hint="eastAsia" w:ascii="Times New Roman" w:hAnsi="Times New Roman"/>
                <w:color w:val="auto"/>
              </w:rPr>
              <w:t>服务承诺、应急抢修时间、维保标准达标情况介绍明确合理得3分，维修点在中央财经大学沙河校区附近的得2分，没有不得分；</w:t>
            </w:r>
            <w:r>
              <w:rPr>
                <w:rFonts w:ascii="Times New Roman" w:hAnsi="Times New Roman"/>
                <w:color w:val="auto"/>
              </w:rPr>
              <w:t xml:space="preserve"> </w:t>
            </w:r>
          </w:p>
          <w:p>
            <w:pPr>
              <w:pStyle w:val="91"/>
              <w:numPr>
                <w:ilvl w:val="0"/>
                <w:numId w:val="34"/>
              </w:numPr>
              <w:ind w:firstLineChars="0"/>
              <w:rPr>
                <w:rFonts w:ascii="Times New Roman" w:hAnsi="Times New Roman"/>
              </w:rPr>
            </w:pPr>
            <w:r>
              <w:rPr>
                <w:rFonts w:cs="黑体"/>
                <w:color w:val="auto"/>
                <w:szCs w:val="21"/>
              </w:rPr>
              <w:t>提供维保人员资格中</w:t>
            </w:r>
            <w:r>
              <w:rPr>
                <w:rFonts w:hint="eastAsia" w:cs="黑体"/>
                <w:color w:val="auto"/>
                <w:szCs w:val="21"/>
              </w:rPr>
              <w:t>，</w:t>
            </w:r>
            <w:r>
              <w:rPr>
                <w:rFonts w:cs="黑体"/>
                <w:color w:val="auto"/>
                <w:szCs w:val="21"/>
              </w:rPr>
              <w:t>全部具有</w:t>
            </w:r>
            <w:r>
              <w:rPr>
                <w:rFonts w:hint="eastAsia" w:cs="黑体"/>
                <w:color w:val="auto"/>
                <w:szCs w:val="21"/>
              </w:rPr>
              <w:t>中</w:t>
            </w:r>
            <w:r>
              <w:rPr>
                <w:rFonts w:cs="黑体"/>
                <w:color w:val="auto"/>
                <w:szCs w:val="21"/>
              </w:rPr>
              <w:t>专以上</w:t>
            </w:r>
            <w:r>
              <w:rPr>
                <w:rFonts w:hint="eastAsia" w:cs="黑体"/>
                <w:color w:val="auto"/>
                <w:szCs w:val="21"/>
              </w:rPr>
              <w:t>（</w:t>
            </w:r>
            <w:r>
              <w:rPr>
                <w:rFonts w:hint="eastAsia" w:cs="黑体"/>
                <w:szCs w:val="21"/>
              </w:rPr>
              <w:t>含）</w:t>
            </w:r>
            <w:r>
              <w:rPr>
                <w:rFonts w:cs="黑体"/>
                <w:szCs w:val="21"/>
              </w:rPr>
              <w:t>学历且维保经验在2年以上的得</w:t>
            </w:r>
            <w:r>
              <w:rPr>
                <w:rFonts w:hint="eastAsia" w:cs="黑体"/>
                <w:szCs w:val="21"/>
              </w:rPr>
              <w:t>3</w:t>
            </w:r>
            <w:r>
              <w:rPr>
                <w:rFonts w:cs="黑体"/>
                <w:szCs w:val="21"/>
              </w:rPr>
              <w:t>分，有≥3人的维保人员具有</w:t>
            </w:r>
            <w:r>
              <w:rPr>
                <w:rFonts w:hint="eastAsia" w:cs="黑体"/>
                <w:szCs w:val="21"/>
              </w:rPr>
              <w:t>大专</w:t>
            </w:r>
            <w:r>
              <w:rPr>
                <w:rFonts w:cs="黑体"/>
                <w:szCs w:val="21"/>
              </w:rPr>
              <w:t>以上</w:t>
            </w:r>
            <w:r>
              <w:rPr>
                <w:rFonts w:hint="eastAsia" w:cs="黑体"/>
                <w:szCs w:val="21"/>
              </w:rPr>
              <w:t>（含）</w:t>
            </w:r>
            <w:r>
              <w:rPr>
                <w:rFonts w:cs="黑体"/>
                <w:szCs w:val="21"/>
              </w:rPr>
              <w:t>学历且维保经验在3年以上的得</w:t>
            </w:r>
            <w:r>
              <w:rPr>
                <w:rFonts w:hint="eastAsia" w:cs="黑体"/>
                <w:szCs w:val="21"/>
              </w:rPr>
              <w:t>4</w:t>
            </w:r>
            <w:r>
              <w:rPr>
                <w:rFonts w:cs="黑体"/>
                <w:szCs w:val="21"/>
              </w:rPr>
              <w:t>-</w:t>
            </w:r>
            <w:r>
              <w:rPr>
                <w:rFonts w:hint="eastAsia" w:cs="黑体"/>
                <w:szCs w:val="21"/>
              </w:rPr>
              <w:t>8</w:t>
            </w:r>
            <w:r>
              <w:rPr>
                <w:rFonts w:cs="黑体"/>
                <w:szCs w:val="21"/>
              </w:rPr>
              <w:t>分</w:t>
            </w:r>
            <w:r>
              <w:rPr>
                <w:rFonts w:hint="eastAsia" w:cs="黑体"/>
                <w:szCs w:val="21"/>
              </w:rPr>
              <w:t>，</w:t>
            </w:r>
            <w:r>
              <w:rPr>
                <w:rFonts w:cs="黑体"/>
                <w:szCs w:val="21"/>
              </w:rPr>
              <w:t>响应人需在响应文件中提供就业资格证</w:t>
            </w:r>
            <w:r>
              <w:rPr>
                <w:rFonts w:hint="eastAsia" w:cs="黑体"/>
                <w:szCs w:val="21"/>
              </w:rPr>
              <w:t>、</w:t>
            </w:r>
            <w:r>
              <w:rPr>
                <w:rFonts w:cs="黑体"/>
                <w:szCs w:val="21"/>
              </w:rPr>
              <w:t>毕业证</w:t>
            </w:r>
            <w:r>
              <w:rPr>
                <w:rFonts w:hint="eastAsia" w:cs="黑体"/>
                <w:szCs w:val="21"/>
                <w:lang w:eastAsia="zh-CN"/>
              </w:rPr>
              <w:t>以及</w:t>
            </w:r>
            <w:r>
              <w:rPr>
                <w:rFonts w:cs="黑体"/>
                <w:szCs w:val="21"/>
              </w:rPr>
              <w:t>学位证等学历证明文件作为评分依据</w:t>
            </w:r>
            <w:r>
              <w:rPr>
                <w:rFonts w:hint="eastAsia" w:cs="黑体"/>
                <w:szCs w:val="21"/>
              </w:rPr>
              <w:t>，</w:t>
            </w:r>
            <w:r>
              <w:rPr>
                <w:rFonts w:cs="黑体"/>
                <w:szCs w:val="21"/>
              </w:rPr>
              <w:t>没有证明文件不得分</w:t>
            </w:r>
            <w:r>
              <w:rPr>
                <w:rFonts w:hint="eastAsia" w:cs="黑体"/>
                <w:szCs w:val="21"/>
              </w:rPr>
              <w:t>；</w:t>
            </w:r>
          </w:p>
        </w:tc>
      </w:tr>
      <w:tr>
        <w:tblPrEx>
          <w:tblLayout w:type="fixed"/>
          <w:tblCellMar>
            <w:top w:w="0" w:type="dxa"/>
            <w:left w:w="108" w:type="dxa"/>
            <w:bottom w:w="0" w:type="dxa"/>
            <w:right w:w="108" w:type="dxa"/>
          </w:tblCellMar>
        </w:tblPrEx>
        <w:trPr>
          <w:trHeight w:val="720"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91"/>
              <w:numPr>
                <w:ilvl w:val="0"/>
                <w:numId w:val="32"/>
              </w:numPr>
              <w:ind w:firstLineChars="0"/>
              <w:rPr>
                <w:rFonts w:ascii="Times New Roman" w:hAnsi="Times New Roman"/>
              </w:rPr>
            </w:pPr>
            <w:r>
              <w:rPr>
                <w:rFonts w:hint="eastAsia" w:ascii="Times New Roman" w:hAnsi="Times New Roman"/>
              </w:rPr>
              <w:t>价格分（2</w:t>
            </w:r>
            <w:r>
              <w:rPr>
                <w:rFonts w:ascii="Times New Roman" w:hAnsi="Times New Roman"/>
              </w:rPr>
              <w:t>0</w:t>
            </w:r>
            <w:r>
              <w:rPr>
                <w:rFonts w:hint="eastAsia" w:ascii="Times New Roman" w:hAnsi="Times New Roman"/>
              </w:rPr>
              <w:t>分）（客观分）</w:t>
            </w:r>
          </w:p>
          <w:p>
            <w:pPr>
              <w:pStyle w:val="91"/>
              <w:rPr>
                <w:rFonts w:ascii="Times New Roman" w:hAnsi="Times New Roman"/>
              </w:rPr>
            </w:pPr>
            <w:r>
              <w:rPr>
                <w:rFonts w:hint="eastAsia" w:ascii="Times New Roman" w:hAnsi="Times New Roman"/>
              </w:rPr>
              <w:t>满足磋商文件要求且价格最低的报价为评标基准价，其价格分为满分。</w:t>
            </w:r>
          </w:p>
          <w:p>
            <w:pPr>
              <w:pStyle w:val="91"/>
              <w:rPr>
                <w:rFonts w:ascii="Times New Roman" w:hAnsi="Times New Roman"/>
              </w:rPr>
            </w:pPr>
            <w:r>
              <w:rPr>
                <w:rFonts w:hint="eastAsia" w:ascii="Times New Roman" w:hAnsi="Times New Roman"/>
              </w:rPr>
              <w:t>其他响应人的价格分统一按照下列公式计算：</w:t>
            </w:r>
          </w:p>
          <w:p>
            <w:pPr>
              <w:pStyle w:val="91"/>
              <w:rPr>
                <w:rFonts w:ascii="Times New Roman" w:hAnsi="Times New Roman"/>
              </w:rPr>
            </w:pPr>
            <w:r>
              <w:rPr>
                <w:rFonts w:hint="eastAsia" w:ascii="Times New Roman" w:hAnsi="Times New Roman"/>
              </w:rPr>
              <w:t>磋商报价得分</w:t>
            </w:r>
            <w:r>
              <w:rPr>
                <w:rFonts w:ascii="Times New Roman" w:hAnsi="Times New Roman"/>
              </w:rPr>
              <w:t>=</w:t>
            </w:r>
            <w:r>
              <w:rPr>
                <w:rFonts w:hint="eastAsia" w:ascii="Times New Roman" w:hAnsi="Times New Roman"/>
              </w:rPr>
              <w:t>（磋商基准价</w:t>
            </w:r>
            <w:r>
              <w:rPr>
                <w:rFonts w:ascii="Times New Roman" w:hAnsi="Times New Roman"/>
              </w:rPr>
              <w:t>/</w:t>
            </w:r>
            <w:r>
              <w:rPr>
                <w:rFonts w:hint="eastAsia" w:ascii="Times New Roman" w:hAnsi="Times New Roman"/>
              </w:rPr>
              <w:t>最后磋商报价）</w:t>
            </w:r>
            <w:r>
              <w:rPr>
                <w:rFonts w:ascii="Times New Roman" w:hAnsi="Times New Roman"/>
              </w:rPr>
              <w:t>×</w:t>
            </w:r>
            <w:r>
              <w:rPr>
                <w:rFonts w:hint="eastAsia" w:ascii="Times New Roman" w:hAnsi="Times New Roman"/>
              </w:rPr>
              <w:t>价格分。</w:t>
            </w:r>
          </w:p>
        </w:tc>
      </w:tr>
      <w:tr>
        <w:tblPrEx>
          <w:tblLayout w:type="fixed"/>
          <w:tblCellMar>
            <w:top w:w="0" w:type="dxa"/>
            <w:left w:w="108" w:type="dxa"/>
            <w:bottom w:w="0" w:type="dxa"/>
            <w:right w:w="108" w:type="dxa"/>
          </w:tblCellMar>
        </w:tblPrEx>
        <w:trPr>
          <w:trHeight w:val="720"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91"/>
              <w:numPr>
                <w:ilvl w:val="0"/>
                <w:numId w:val="32"/>
              </w:numPr>
              <w:ind w:firstLineChars="0"/>
              <w:rPr>
                <w:rFonts w:ascii="Times New Roman" w:hAnsi="Times New Roman"/>
              </w:rPr>
            </w:pPr>
            <w:r>
              <w:rPr>
                <w:rFonts w:hint="eastAsia" w:ascii="Times New Roman" w:hAnsi="Times New Roman"/>
              </w:rPr>
              <w:t>总分计算</w:t>
            </w:r>
          </w:p>
          <w:p>
            <w:pPr>
              <w:pStyle w:val="91"/>
              <w:rPr>
                <w:rFonts w:ascii="Times New Roman" w:hAnsi="Times New Roman"/>
              </w:rPr>
            </w:pPr>
            <w:r>
              <w:rPr>
                <w:rFonts w:hint="eastAsia" w:ascii="Times New Roman" w:hAnsi="Times New Roman"/>
              </w:rPr>
              <w:t>评标总得分＝（</w:t>
            </w:r>
            <w:r>
              <w:rPr>
                <w:rFonts w:ascii="Times New Roman" w:hAnsi="Times New Roman"/>
              </w:rPr>
              <w:t>F1×A1</w:t>
            </w:r>
            <w:r>
              <w:rPr>
                <w:rFonts w:hint="eastAsia" w:ascii="Times New Roman" w:hAnsi="Times New Roman"/>
              </w:rPr>
              <w:t>＋</w:t>
            </w:r>
            <w:r>
              <w:rPr>
                <w:rFonts w:ascii="Times New Roman" w:hAnsi="Times New Roman"/>
              </w:rPr>
              <w:t>F2×A2</w:t>
            </w:r>
            <w:r>
              <w:rPr>
                <w:rFonts w:hint="eastAsia" w:ascii="Times New Roman" w:hAnsi="Times New Roman"/>
              </w:rPr>
              <w:t>＋</w:t>
            </w:r>
            <w:r>
              <w:rPr>
                <w:rFonts w:ascii="Times New Roman" w:hAnsi="Times New Roman"/>
              </w:rPr>
              <w:t>……</w:t>
            </w:r>
            <w:r>
              <w:rPr>
                <w:rFonts w:hint="eastAsia" w:ascii="Times New Roman" w:hAnsi="Times New Roman"/>
              </w:rPr>
              <w:t>＋</w:t>
            </w:r>
            <w:r>
              <w:rPr>
                <w:rFonts w:ascii="Times New Roman" w:hAnsi="Times New Roman"/>
              </w:rPr>
              <w:t>Fn×An</w:t>
            </w:r>
            <w:r>
              <w:rPr>
                <w:rFonts w:hint="eastAsia" w:ascii="Times New Roman" w:hAnsi="Times New Roman"/>
              </w:rPr>
              <w:t>）</w:t>
            </w:r>
            <w:r>
              <w:rPr>
                <w:rFonts w:ascii="Times New Roman" w:hAnsi="Times New Roman"/>
              </w:rPr>
              <w:t>/ 100</w:t>
            </w:r>
            <w:r>
              <w:rPr>
                <w:rFonts w:hint="eastAsia" w:ascii="Times New Roman" w:hAnsi="Times New Roman"/>
              </w:rPr>
              <w:t>；</w:t>
            </w:r>
          </w:p>
          <w:p>
            <w:pPr>
              <w:pStyle w:val="91"/>
              <w:rPr>
                <w:rFonts w:ascii="Times New Roman" w:hAnsi="Times New Roman"/>
              </w:rPr>
            </w:pPr>
            <w:r>
              <w:rPr>
                <w:rFonts w:ascii="Times New Roman" w:hAnsi="Times New Roman"/>
              </w:rPr>
              <w:t>F1</w:t>
            </w:r>
            <w:r>
              <w:rPr>
                <w:rFonts w:hint="eastAsia" w:ascii="Times New Roman" w:hAnsi="Times New Roman"/>
              </w:rPr>
              <w:t>、</w:t>
            </w:r>
            <w:r>
              <w:rPr>
                <w:rFonts w:ascii="Times New Roman" w:hAnsi="Times New Roman"/>
              </w:rPr>
              <w:t>F2……Fn</w:t>
            </w:r>
            <w:r>
              <w:rPr>
                <w:rFonts w:hint="eastAsia" w:ascii="Times New Roman" w:hAnsi="Times New Roman"/>
              </w:rPr>
              <w:t>分别为各项评分因素的汇总得分；</w:t>
            </w:r>
          </w:p>
          <w:p>
            <w:pPr>
              <w:pStyle w:val="91"/>
              <w:rPr>
                <w:rFonts w:ascii="Times New Roman" w:hAnsi="Times New Roman"/>
              </w:rPr>
            </w:pPr>
            <w:r>
              <w:rPr>
                <w:rFonts w:ascii="Times New Roman" w:hAnsi="Times New Roman"/>
              </w:rPr>
              <w:t>A1</w:t>
            </w:r>
            <w:r>
              <w:rPr>
                <w:rFonts w:hint="eastAsia" w:ascii="Times New Roman" w:hAnsi="Times New Roman"/>
              </w:rPr>
              <w:t>、</w:t>
            </w:r>
            <w:r>
              <w:rPr>
                <w:rFonts w:ascii="Times New Roman" w:hAnsi="Times New Roman"/>
              </w:rPr>
              <w:t>A2……An</w:t>
            </w:r>
            <w:r>
              <w:rPr>
                <w:rFonts w:hint="eastAsia" w:ascii="Times New Roman" w:hAnsi="Times New Roman"/>
              </w:rPr>
              <w:t>分别为各项评分因素分值</w:t>
            </w:r>
            <w:r>
              <w:rPr>
                <w:rFonts w:ascii="Times New Roman" w:hAnsi="Times New Roman"/>
              </w:rPr>
              <w:t xml:space="preserve"> (A1</w:t>
            </w:r>
            <w:r>
              <w:rPr>
                <w:rFonts w:hint="eastAsia" w:ascii="Times New Roman" w:hAnsi="Times New Roman"/>
              </w:rPr>
              <w:t>＋</w:t>
            </w:r>
            <w:r>
              <w:rPr>
                <w:rFonts w:ascii="Times New Roman" w:hAnsi="Times New Roman"/>
              </w:rPr>
              <w:t>A2</w:t>
            </w:r>
            <w:r>
              <w:rPr>
                <w:rFonts w:hint="eastAsia" w:ascii="Times New Roman" w:hAnsi="Times New Roman"/>
              </w:rPr>
              <w:t>＋</w:t>
            </w:r>
            <w:r>
              <w:rPr>
                <w:rFonts w:ascii="Times New Roman" w:hAnsi="Times New Roman"/>
              </w:rPr>
              <w:t>……</w:t>
            </w:r>
            <w:r>
              <w:rPr>
                <w:rFonts w:hint="eastAsia" w:ascii="Times New Roman" w:hAnsi="Times New Roman"/>
              </w:rPr>
              <w:t>＋</w:t>
            </w:r>
            <w:r>
              <w:rPr>
                <w:rFonts w:ascii="Times New Roman" w:hAnsi="Times New Roman"/>
              </w:rPr>
              <w:t>An</w:t>
            </w:r>
            <w:r>
              <w:rPr>
                <w:rFonts w:hint="eastAsia" w:ascii="Times New Roman" w:hAnsi="Times New Roman"/>
              </w:rPr>
              <w:t>＝</w:t>
            </w:r>
            <w:r>
              <w:rPr>
                <w:rFonts w:ascii="Times New Roman" w:hAnsi="Times New Roman"/>
              </w:rPr>
              <w:t>100)</w:t>
            </w:r>
            <w:r>
              <w:rPr>
                <w:rFonts w:hint="eastAsia" w:ascii="Times New Roman" w:hAnsi="Times New Roman"/>
              </w:rPr>
              <w:t>。</w:t>
            </w:r>
          </w:p>
        </w:tc>
      </w:tr>
    </w:tbl>
    <w:p>
      <w:pPr>
        <w:spacing w:before="240" w:beforeLines="100" w:line="400" w:lineRule="exact"/>
        <w:ind w:firstLine="420" w:firstLineChars="200"/>
        <w:rPr>
          <w:bCs/>
          <w:sz w:val="21"/>
          <w:szCs w:val="21"/>
        </w:rPr>
      </w:pPr>
      <w:r>
        <w:rPr>
          <w:rFonts w:hint="eastAsia"/>
          <w:bCs/>
          <w:sz w:val="21"/>
          <w:szCs w:val="21"/>
        </w:rPr>
        <w:t>根据财政部发布的《政府采购促进中小企业发展暂行办法》规定，对于非专门面向中小企业的项目，对小型和微型企业产品的价格给予</w:t>
      </w:r>
      <w:r>
        <w:rPr>
          <w:bCs/>
          <w:sz w:val="21"/>
          <w:szCs w:val="21"/>
        </w:rPr>
        <w:t>6%</w:t>
      </w:r>
      <w:r>
        <w:rPr>
          <w:rFonts w:hint="eastAsia"/>
          <w:bCs/>
          <w:sz w:val="21"/>
          <w:szCs w:val="21"/>
        </w:rPr>
        <w:t>的扣除，用扣除后的价格参与评审。</w:t>
      </w:r>
    </w:p>
    <w:p>
      <w:pPr>
        <w:spacing w:line="400" w:lineRule="exact"/>
        <w:ind w:firstLine="422" w:firstLineChars="200"/>
        <w:rPr>
          <w:sz w:val="21"/>
          <w:szCs w:val="21"/>
        </w:rPr>
      </w:pPr>
      <w:r>
        <w:rPr>
          <w:b/>
          <w:bCs/>
          <w:sz w:val="21"/>
          <w:szCs w:val="21"/>
        </w:rPr>
        <w:br w:type="page"/>
      </w:r>
    </w:p>
    <w:p>
      <w:pPr>
        <w:pStyle w:val="43"/>
        <w:adjustRightInd/>
        <w:spacing w:line="415" w:lineRule="auto"/>
        <w:ind w:left="420" w:hanging="420"/>
        <w:jc w:val="center"/>
        <w:textAlignment w:val="auto"/>
        <w:rPr>
          <w:rFonts w:ascii="Times New Roman" w:hAnsi="Times New Roman" w:eastAsia="宋体"/>
          <w:kern w:val="2"/>
        </w:rPr>
      </w:pPr>
      <w:bookmarkStart w:id="70" w:name="_Toc486583484"/>
      <w:bookmarkStart w:id="71" w:name="_Toc477456211"/>
      <w:bookmarkStart w:id="72" w:name="_Ref477961348"/>
      <w:r>
        <w:rPr>
          <w:rFonts w:hint="eastAsia" w:ascii="Times New Roman" w:hAnsi="Times New Roman" w:eastAsia="宋体"/>
          <w:kern w:val="2"/>
        </w:rPr>
        <w:t>第五部分</w:t>
      </w:r>
      <w:r>
        <w:rPr>
          <w:rFonts w:ascii="Times New Roman" w:hAnsi="Times New Roman" w:eastAsia="宋体"/>
          <w:kern w:val="2"/>
        </w:rPr>
        <w:t xml:space="preserve">  </w:t>
      </w:r>
      <w:bookmarkStart w:id="73" w:name="磋商服务具体需求"/>
      <w:r>
        <w:rPr>
          <w:rFonts w:hint="eastAsia" w:ascii="Times New Roman" w:hAnsi="Times New Roman" w:eastAsia="宋体"/>
          <w:kern w:val="2"/>
        </w:rPr>
        <w:t>磋商货物、服务的具体需求</w:t>
      </w:r>
      <w:bookmarkEnd w:id="70"/>
      <w:bookmarkEnd w:id="71"/>
      <w:bookmarkEnd w:id="72"/>
      <w:bookmarkEnd w:id="73"/>
    </w:p>
    <w:p>
      <w:pPr>
        <w:snapToGrid w:val="0"/>
        <w:spacing w:before="120" w:beforeLines="50" w:line="400" w:lineRule="exact"/>
        <w:rPr>
          <w:rFonts w:ascii="宋体" w:hAnsi="宋体" w:cs="宋体"/>
          <w:b/>
          <w:sz w:val="21"/>
          <w:szCs w:val="21"/>
        </w:rPr>
      </w:pPr>
      <w:r>
        <w:rPr>
          <w:rFonts w:hint="eastAsia" w:ascii="宋体" w:hAnsi="宋体"/>
          <w:szCs w:val="21"/>
        </w:rPr>
        <w:t>一、</w:t>
      </w:r>
      <w:r>
        <w:rPr>
          <w:rFonts w:hint="eastAsia" w:ascii="宋体" w:hAnsi="宋体" w:cs="宋体"/>
          <w:b/>
          <w:sz w:val="21"/>
          <w:szCs w:val="21"/>
        </w:rPr>
        <w:t>维保电梯规格、数量及服务区域：</w:t>
      </w:r>
    </w:p>
    <w:tbl>
      <w:tblPr>
        <w:tblStyle w:val="42"/>
        <w:tblW w:w="9923" w:type="dxa"/>
        <w:tblInd w:w="-176" w:type="dxa"/>
        <w:tblLayout w:type="fixed"/>
        <w:tblCellMar>
          <w:top w:w="0" w:type="dxa"/>
          <w:left w:w="108" w:type="dxa"/>
          <w:bottom w:w="0" w:type="dxa"/>
          <w:right w:w="108" w:type="dxa"/>
        </w:tblCellMar>
      </w:tblPr>
      <w:tblGrid>
        <w:gridCol w:w="993"/>
        <w:gridCol w:w="1559"/>
        <w:gridCol w:w="1092"/>
        <w:gridCol w:w="2452"/>
        <w:gridCol w:w="1276"/>
        <w:gridCol w:w="1134"/>
        <w:gridCol w:w="1417"/>
      </w:tblGrid>
      <w:tr>
        <w:tblPrEx>
          <w:tblLayout w:type="fixed"/>
          <w:tblCellMar>
            <w:top w:w="0" w:type="dxa"/>
            <w:left w:w="108" w:type="dxa"/>
            <w:bottom w:w="0" w:type="dxa"/>
            <w:right w:w="108" w:type="dxa"/>
          </w:tblCellMar>
        </w:tblPrEx>
        <w:trPr>
          <w:trHeight w:val="645"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beforeLines="50" w:line="360" w:lineRule="auto"/>
              <w:jc w:val="center"/>
              <w:rPr>
                <w:rFonts w:ascii="宋体" w:hAnsi="宋体" w:cs="宋体"/>
                <w:b/>
                <w:bCs/>
                <w:color w:val="000000"/>
                <w:sz w:val="21"/>
                <w:szCs w:val="21"/>
              </w:rPr>
            </w:pPr>
            <w:r>
              <w:rPr>
                <w:rFonts w:hint="eastAsia" w:ascii="宋体" w:hAnsi="宋体" w:cs="宋体"/>
                <w:b/>
                <w:bCs/>
                <w:color w:val="000000"/>
                <w:sz w:val="21"/>
                <w:szCs w:val="21"/>
              </w:rPr>
              <w:t>序号</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beforeLines="50" w:line="360" w:lineRule="auto"/>
              <w:jc w:val="center"/>
              <w:rPr>
                <w:rFonts w:ascii="宋体" w:hAnsi="宋体" w:cs="宋体"/>
                <w:b/>
                <w:bCs/>
                <w:color w:val="000000"/>
                <w:sz w:val="21"/>
                <w:szCs w:val="21"/>
              </w:rPr>
            </w:pPr>
            <w:r>
              <w:rPr>
                <w:rFonts w:hint="eastAsia" w:ascii="宋体" w:hAnsi="宋体" w:cs="宋体"/>
                <w:b/>
                <w:bCs/>
                <w:color w:val="000000"/>
                <w:sz w:val="21"/>
                <w:szCs w:val="21"/>
              </w:rPr>
              <w:t>设备名称</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beforeLines="50" w:line="360" w:lineRule="auto"/>
              <w:rPr>
                <w:rFonts w:ascii="宋体" w:hAnsi="宋体" w:cs="宋体"/>
                <w:b/>
                <w:bCs/>
                <w:color w:val="000000"/>
                <w:spacing w:val="-10"/>
                <w:sz w:val="21"/>
                <w:szCs w:val="21"/>
              </w:rPr>
            </w:pPr>
            <w:r>
              <w:rPr>
                <w:rFonts w:hint="eastAsia" w:ascii="宋体" w:hAnsi="宋体" w:cs="宋体"/>
                <w:b/>
                <w:bCs/>
                <w:color w:val="000000"/>
                <w:spacing w:val="-10"/>
                <w:sz w:val="21"/>
                <w:szCs w:val="21"/>
              </w:rPr>
              <w:t>数量（台）</w:t>
            </w:r>
          </w:p>
        </w:tc>
        <w:tc>
          <w:tcPr>
            <w:tcW w:w="24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beforeLines="50" w:line="360" w:lineRule="auto"/>
              <w:jc w:val="center"/>
              <w:rPr>
                <w:rFonts w:ascii="宋体" w:hAnsi="宋体" w:cs="宋体"/>
                <w:b/>
                <w:bCs/>
                <w:color w:val="000000"/>
                <w:sz w:val="21"/>
                <w:szCs w:val="21"/>
              </w:rPr>
            </w:pPr>
            <w:r>
              <w:rPr>
                <w:rFonts w:hint="eastAsia" w:ascii="宋体" w:hAnsi="宋体" w:cs="宋体"/>
                <w:b/>
                <w:bCs/>
                <w:color w:val="000000"/>
                <w:sz w:val="21"/>
                <w:szCs w:val="21"/>
              </w:rPr>
              <w:t>型号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beforeLines="50" w:line="360" w:lineRule="auto"/>
              <w:rPr>
                <w:rFonts w:ascii="宋体" w:hAnsi="宋体" w:cs="宋体"/>
                <w:b/>
                <w:bCs/>
                <w:color w:val="000000"/>
                <w:sz w:val="21"/>
                <w:szCs w:val="21"/>
              </w:rPr>
            </w:pPr>
            <w:r>
              <w:rPr>
                <w:rFonts w:hint="eastAsia" w:ascii="宋体" w:hAnsi="宋体" w:cs="宋体"/>
                <w:b/>
                <w:bCs/>
                <w:color w:val="000000"/>
                <w:sz w:val="21"/>
                <w:szCs w:val="21"/>
              </w:rPr>
              <w:t>提升速度</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before="120" w:beforeLines="50" w:line="360" w:lineRule="auto"/>
              <w:jc w:val="center"/>
              <w:rPr>
                <w:rFonts w:ascii="宋体" w:hAnsi="宋体" w:cs="宋体"/>
                <w:b/>
                <w:bCs/>
                <w:color w:val="000000"/>
                <w:sz w:val="21"/>
                <w:szCs w:val="21"/>
              </w:rPr>
            </w:pPr>
            <w:r>
              <w:rPr>
                <w:rFonts w:hint="eastAsia" w:ascii="宋体" w:hAnsi="宋体" w:cs="宋体"/>
                <w:b/>
                <w:bCs/>
                <w:color w:val="000000"/>
                <w:sz w:val="21"/>
                <w:szCs w:val="21"/>
              </w:rPr>
              <w:t>层站</w:t>
            </w:r>
          </w:p>
        </w:tc>
        <w:tc>
          <w:tcPr>
            <w:tcW w:w="1417"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before="120" w:beforeLines="50" w:line="360" w:lineRule="auto"/>
              <w:jc w:val="center"/>
              <w:rPr>
                <w:rFonts w:ascii="宋体" w:hAnsi="宋体" w:cs="宋体"/>
                <w:b/>
                <w:bCs/>
                <w:color w:val="000000"/>
                <w:sz w:val="21"/>
                <w:szCs w:val="21"/>
              </w:rPr>
            </w:pPr>
            <w:r>
              <w:rPr>
                <w:rFonts w:hint="eastAsia" w:ascii="宋体" w:hAnsi="宋体" w:cs="宋体"/>
                <w:b/>
                <w:bCs/>
                <w:color w:val="000000"/>
                <w:sz w:val="21"/>
                <w:szCs w:val="21"/>
              </w:rPr>
              <w:t>设备位置</w:t>
            </w:r>
          </w:p>
        </w:tc>
      </w:tr>
      <w:tr>
        <w:tblPrEx>
          <w:tblLayout w:type="fixed"/>
          <w:tblCellMar>
            <w:top w:w="0" w:type="dxa"/>
            <w:left w:w="108" w:type="dxa"/>
            <w:bottom w:w="0" w:type="dxa"/>
            <w:right w:w="108" w:type="dxa"/>
          </w:tblCellMar>
        </w:tblPrEx>
        <w:trPr>
          <w:trHeight w:val="64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spacing w:before="120" w:beforeLines="50" w:line="360" w:lineRule="auto"/>
              <w:jc w:val="center"/>
              <w:rPr>
                <w:rFonts w:ascii="宋体" w:hAnsi="宋体" w:cs="宋体"/>
                <w:color w:val="000000"/>
                <w:sz w:val="21"/>
                <w:szCs w:val="21"/>
              </w:rPr>
            </w:pPr>
            <w:r>
              <w:rPr>
                <w:rFonts w:hint="eastAsia" w:ascii="宋体" w:hAnsi="宋体" w:cs="宋体"/>
                <w:color w:val="000000"/>
                <w:sz w:val="21"/>
                <w:szCs w:val="21"/>
              </w:rPr>
              <w:t>L1/L2</w:t>
            </w:r>
          </w:p>
        </w:tc>
        <w:tc>
          <w:tcPr>
            <w:tcW w:w="1559" w:type="dxa"/>
            <w:tcBorders>
              <w:top w:val="nil"/>
              <w:left w:val="nil"/>
              <w:bottom w:val="single" w:color="auto" w:sz="4" w:space="0"/>
              <w:right w:val="single" w:color="auto" w:sz="4" w:space="0"/>
            </w:tcBorders>
            <w:shd w:val="clear" w:color="auto" w:fill="auto"/>
            <w:vAlign w:val="center"/>
          </w:tcPr>
          <w:p>
            <w:pPr>
              <w:widowControl/>
              <w:spacing w:before="120" w:beforeLines="50" w:line="360" w:lineRule="auto"/>
              <w:jc w:val="center"/>
              <w:rPr>
                <w:rFonts w:ascii="宋体" w:hAnsi="宋体" w:cs="宋体"/>
                <w:color w:val="000000"/>
                <w:sz w:val="21"/>
                <w:szCs w:val="21"/>
              </w:rPr>
            </w:pPr>
            <w:r>
              <w:rPr>
                <w:rFonts w:hint="eastAsia" w:ascii="宋体" w:hAnsi="宋体" w:cs="宋体"/>
                <w:color w:val="000000"/>
                <w:sz w:val="21"/>
                <w:szCs w:val="21"/>
              </w:rPr>
              <w:t>无机房客梯</w:t>
            </w:r>
          </w:p>
        </w:tc>
        <w:tc>
          <w:tcPr>
            <w:tcW w:w="1092" w:type="dxa"/>
            <w:tcBorders>
              <w:top w:val="nil"/>
              <w:left w:val="nil"/>
              <w:bottom w:val="single" w:color="auto" w:sz="4" w:space="0"/>
              <w:right w:val="single" w:color="auto" w:sz="4" w:space="0"/>
            </w:tcBorders>
            <w:shd w:val="clear" w:color="auto" w:fill="auto"/>
            <w:vAlign w:val="center"/>
          </w:tcPr>
          <w:p>
            <w:pPr>
              <w:widowControl/>
              <w:spacing w:before="120" w:beforeLines="50" w:line="360" w:lineRule="auto"/>
              <w:jc w:val="center"/>
              <w:rPr>
                <w:rFonts w:ascii="宋体" w:hAnsi="宋体" w:cs="宋体"/>
                <w:color w:val="000000"/>
                <w:sz w:val="21"/>
                <w:szCs w:val="21"/>
              </w:rPr>
            </w:pPr>
            <w:r>
              <w:rPr>
                <w:rFonts w:hint="eastAsia" w:ascii="宋体" w:hAnsi="宋体" w:cs="宋体"/>
                <w:color w:val="000000"/>
                <w:sz w:val="21"/>
                <w:szCs w:val="21"/>
              </w:rPr>
              <w:t>2</w:t>
            </w:r>
          </w:p>
        </w:tc>
        <w:tc>
          <w:tcPr>
            <w:tcW w:w="245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sz w:val="21"/>
                <w:szCs w:val="21"/>
              </w:rPr>
              <w:t>GeN2载重量：1000kg 轿厢规格：1.55*1.689m</w:t>
            </w:r>
          </w:p>
        </w:tc>
        <w:tc>
          <w:tcPr>
            <w:tcW w:w="1276" w:type="dxa"/>
            <w:tcBorders>
              <w:top w:val="nil"/>
              <w:left w:val="nil"/>
              <w:bottom w:val="single" w:color="auto" w:sz="4" w:space="0"/>
              <w:right w:val="single" w:color="auto" w:sz="4" w:space="0"/>
            </w:tcBorders>
            <w:shd w:val="clear" w:color="auto" w:fill="auto"/>
            <w:vAlign w:val="center"/>
          </w:tcPr>
          <w:p>
            <w:pPr>
              <w:widowControl/>
              <w:spacing w:before="120" w:beforeLines="50" w:line="360" w:lineRule="auto"/>
              <w:rPr>
                <w:rFonts w:ascii="宋体" w:hAnsi="宋体" w:cs="宋体"/>
                <w:color w:val="000000"/>
                <w:sz w:val="21"/>
                <w:szCs w:val="21"/>
              </w:rPr>
            </w:pPr>
            <w:r>
              <w:rPr>
                <w:rFonts w:hint="eastAsia" w:ascii="宋体" w:hAnsi="宋体" w:cs="宋体"/>
                <w:color w:val="000000"/>
                <w:sz w:val="21"/>
                <w:szCs w:val="21"/>
              </w:rPr>
              <w:t>1.75m/s</w:t>
            </w:r>
          </w:p>
        </w:tc>
        <w:tc>
          <w:tcPr>
            <w:tcW w:w="1134" w:type="dxa"/>
            <w:tcBorders>
              <w:top w:val="nil"/>
              <w:left w:val="nil"/>
              <w:bottom w:val="single" w:color="auto" w:sz="4" w:space="0"/>
              <w:right w:val="single" w:color="auto" w:sz="4" w:space="0"/>
            </w:tcBorders>
            <w:shd w:val="clear" w:color="auto" w:fill="auto"/>
            <w:vAlign w:val="center"/>
          </w:tcPr>
          <w:p>
            <w:pPr>
              <w:widowControl/>
              <w:spacing w:before="120" w:beforeLines="50" w:line="360" w:lineRule="auto"/>
              <w:jc w:val="center"/>
              <w:rPr>
                <w:rFonts w:ascii="宋体" w:hAnsi="宋体" w:cs="宋体"/>
                <w:color w:val="000000"/>
                <w:sz w:val="21"/>
                <w:szCs w:val="21"/>
              </w:rPr>
            </w:pPr>
            <w:r>
              <w:rPr>
                <w:rFonts w:hint="eastAsia" w:ascii="宋体" w:hAnsi="宋体" w:cs="宋体"/>
                <w:color w:val="000000"/>
                <w:sz w:val="21"/>
                <w:szCs w:val="21"/>
              </w:rPr>
              <w:t>7层6站</w:t>
            </w:r>
          </w:p>
        </w:tc>
        <w:tc>
          <w:tcPr>
            <w:tcW w:w="1417" w:type="dxa"/>
            <w:tcBorders>
              <w:top w:val="nil"/>
              <w:left w:val="nil"/>
              <w:bottom w:val="single" w:color="auto" w:sz="4" w:space="0"/>
              <w:right w:val="single" w:color="auto" w:sz="4" w:space="0"/>
            </w:tcBorders>
            <w:shd w:val="clear" w:color="auto" w:fill="auto"/>
            <w:vAlign w:val="center"/>
          </w:tcPr>
          <w:p>
            <w:pPr>
              <w:widowControl/>
              <w:spacing w:before="120" w:beforeLines="50" w:line="360" w:lineRule="auto"/>
              <w:jc w:val="center"/>
              <w:rPr>
                <w:rFonts w:ascii="宋体" w:hAnsi="宋体" w:cs="宋体"/>
                <w:color w:val="000000"/>
                <w:sz w:val="21"/>
                <w:szCs w:val="21"/>
              </w:rPr>
            </w:pPr>
            <w:r>
              <w:rPr>
                <w:rFonts w:hint="eastAsia" w:ascii="宋体" w:hAnsi="宋体" w:cs="宋体"/>
                <w:color w:val="000000"/>
                <w:sz w:val="21"/>
                <w:szCs w:val="21"/>
              </w:rPr>
              <w:t>图书馆北通道中部</w:t>
            </w:r>
          </w:p>
        </w:tc>
      </w:tr>
      <w:tr>
        <w:tblPrEx>
          <w:tblLayout w:type="fixed"/>
          <w:tblCellMar>
            <w:top w:w="0" w:type="dxa"/>
            <w:left w:w="108" w:type="dxa"/>
            <w:bottom w:w="0" w:type="dxa"/>
            <w:right w:w="108" w:type="dxa"/>
          </w:tblCellMar>
        </w:tblPrEx>
        <w:trPr>
          <w:trHeight w:val="64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spacing w:before="120" w:beforeLines="50" w:line="360" w:lineRule="auto"/>
              <w:jc w:val="center"/>
              <w:rPr>
                <w:rFonts w:ascii="宋体" w:hAnsi="宋体" w:cs="宋体"/>
                <w:color w:val="000000"/>
                <w:sz w:val="21"/>
                <w:szCs w:val="21"/>
              </w:rPr>
            </w:pPr>
            <w:r>
              <w:rPr>
                <w:rFonts w:hint="eastAsia" w:ascii="宋体" w:hAnsi="宋体" w:cs="宋体"/>
                <w:color w:val="000000"/>
                <w:sz w:val="21"/>
                <w:szCs w:val="21"/>
              </w:rPr>
              <w:t>L3</w:t>
            </w:r>
          </w:p>
        </w:tc>
        <w:tc>
          <w:tcPr>
            <w:tcW w:w="1559" w:type="dxa"/>
            <w:tcBorders>
              <w:top w:val="nil"/>
              <w:left w:val="nil"/>
              <w:bottom w:val="single" w:color="auto" w:sz="4" w:space="0"/>
              <w:right w:val="single" w:color="auto" w:sz="4" w:space="0"/>
            </w:tcBorders>
            <w:shd w:val="clear" w:color="auto" w:fill="auto"/>
            <w:vAlign w:val="center"/>
          </w:tcPr>
          <w:p>
            <w:pPr>
              <w:widowControl/>
              <w:spacing w:before="120" w:beforeLines="50" w:line="360" w:lineRule="auto"/>
              <w:jc w:val="center"/>
              <w:rPr>
                <w:rFonts w:ascii="宋体" w:hAnsi="宋体" w:cs="宋体"/>
                <w:color w:val="000000"/>
                <w:sz w:val="21"/>
                <w:szCs w:val="21"/>
              </w:rPr>
            </w:pPr>
            <w:r>
              <w:rPr>
                <w:rFonts w:hint="eastAsia" w:ascii="宋体" w:hAnsi="宋体" w:cs="宋体"/>
                <w:color w:val="000000"/>
                <w:sz w:val="21"/>
                <w:szCs w:val="21"/>
              </w:rPr>
              <w:t>无机房货梯</w:t>
            </w:r>
          </w:p>
        </w:tc>
        <w:tc>
          <w:tcPr>
            <w:tcW w:w="1092" w:type="dxa"/>
            <w:tcBorders>
              <w:top w:val="nil"/>
              <w:left w:val="nil"/>
              <w:bottom w:val="single" w:color="auto" w:sz="4" w:space="0"/>
              <w:right w:val="single" w:color="auto" w:sz="4" w:space="0"/>
            </w:tcBorders>
            <w:shd w:val="clear" w:color="auto" w:fill="auto"/>
            <w:vAlign w:val="center"/>
          </w:tcPr>
          <w:p>
            <w:pPr>
              <w:widowControl/>
              <w:spacing w:before="120" w:beforeLines="50" w:line="360" w:lineRule="auto"/>
              <w:jc w:val="center"/>
              <w:rPr>
                <w:rFonts w:ascii="宋体" w:hAnsi="宋体" w:cs="宋体"/>
                <w:color w:val="000000"/>
                <w:sz w:val="21"/>
                <w:szCs w:val="21"/>
              </w:rPr>
            </w:pPr>
            <w:r>
              <w:rPr>
                <w:rFonts w:hint="eastAsia" w:ascii="宋体" w:hAnsi="宋体" w:cs="宋体"/>
                <w:color w:val="000000"/>
                <w:sz w:val="21"/>
                <w:szCs w:val="21"/>
              </w:rPr>
              <w:t>1</w:t>
            </w:r>
          </w:p>
        </w:tc>
        <w:tc>
          <w:tcPr>
            <w:tcW w:w="2452" w:type="dxa"/>
            <w:tcBorders>
              <w:top w:val="nil"/>
              <w:left w:val="nil"/>
              <w:bottom w:val="single" w:color="auto" w:sz="4" w:space="0"/>
              <w:right w:val="single" w:color="auto" w:sz="4" w:space="0"/>
            </w:tcBorders>
            <w:shd w:val="clear" w:color="auto" w:fill="auto"/>
            <w:vAlign w:val="center"/>
          </w:tcPr>
          <w:p>
            <w:pPr>
              <w:widowControl/>
              <w:spacing w:before="120" w:beforeLines="50" w:line="360" w:lineRule="auto"/>
              <w:jc w:val="center"/>
              <w:rPr>
                <w:rFonts w:ascii="宋体" w:hAnsi="宋体" w:cs="宋体"/>
                <w:color w:val="000000"/>
                <w:sz w:val="21"/>
                <w:szCs w:val="21"/>
              </w:rPr>
            </w:pPr>
            <w:r>
              <w:rPr>
                <w:rFonts w:hint="eastAsia" w:ascii="宋体" w:hAnsi="宋体"/>
                <w:sz w:val="21"/>
                <w:szCs w:val="21"/>
              </w:rPr>
              <w:t>GeN2载重量：1600kg 轿厢规格：2.05*1.939m</w:t>
            </w:r>
          </w:p>
        </w:tc>
        <w:tc>
          <w:tcPr>
            <w:tcW w:w="1276" w:type="dxa"/>
            <w:tcBorders>
              <w:top w:val="nil"/>
              <w:left w:val="nil"/>
              <w:bottom w:val="single" w:color="auto" w:sz="4" w:space="0"/>
              <w:right w:val="single" w:color="auto" w:sz="4" w:space="0"/>
            </w:tcBorders>
            <w:shd w:val="clear" w:color="auto" w:fill="auto"/>
            <w:vAlign w:val="center"/>
          </w:tcPr>
          <w:p>
            <w:pPr>
              <w:widowControl/>
              <w:spacing w:before="120" w:beforeLines="50" w:line="360" w:lineRule="auto"/>
              <w:jc w:val="center"/>
              <w:rPr>
                <w:rFonts w:ascii="宋体" w:hAnsi="宋体" w:cs="宋体"/>
                <w:color w:val="000000"/>
                <w:sz w:val="21"/>
                <w:szCs w:val="21"/>
              </w:rPr>
            </w:pPr>
            <w:r>
              <w:rPr>
                <w:rFonts w:hint="eastAsia" w:ascii="宋体" w:hAnsi="宋体" w:cs="宋体"/>
                <w:color w:val="000000"/>
                <w:sz w:val="21"/>
                <w:szCs w:val="21"/>
              </w:rPr>
              <w:t>1.75m/s</w:t>
            </w:r>
          </w:p>
        </w:tc>
        <w:tc>
          <w:tcPr>
            <w:tcW w:w="1134" w:type="dxa"/>
            <w:tcBorders>
              <w:top w:val="nil"/>
              <w:left w:val="nil"/>
              <w:bottom w:val="single" w:color="auto" w:sz="4" w:space="0"/>
              <w:right w:val="single" w:color="auto" w:sz="4" w:space="0"/>
            </w:tcBorders>
            <w:shd w:val="clear" w:color="auto" w:fill="auto"/>
            <w:vAlign w:val="center"/>
          </w:tcPr>
          <w:p>
            <w:pPr>
              <w:widowControl/>
              <w:spacing w:before="120" w:beforeLines="50" w:line="360" w:lineRule="auto"/>
              <w:jc w:val="center"/>
              <w:rPr>
                <w:rFonts w:ascii="宋体" w:hAnsi="宋体" w:cs="宋体"/>
                <w:color w:val="000000"/>
                <w:sz w:val="21"/>
                <w:szCs w:val="21"/>
              </w:rPr>
            </w:pPr>
            <w:r>
              <w:rPr>
                <w:rFonts w:hint="eastAsia" w:ascii="宋体" w:hAnsi="宋体" w:cs="宋体"/>
                <w:color w:val="000000"/>
                <w:sz w:val="21"/>
                <w:szCs w:val="21"/>
              </w:rPr>
              <w:t>7层7站</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sz w:val="21"/>
                <w:szCs w:val="21"/>
              </w:rPr>
              <w:t>图书馆北通道东北侧</w:t>
            </w:r>
          </w:p>
        </w:tc>
      </w:tr>
      <w:tr>
        <w:tblPrEx>
          <w:tblLayout w:type="fixed"/>
          <w:tblCellMar>
            <w:top w:w="0" w:type="dxa"/>
            <w:left w:w="108" w:type="dxa"/>
            <w:bottom w:w="0" w:type="dxa"/>
            <w:right w:w="108" w:type="dxa"/>
          </w:tblCellMar>
        </w:tblPrEx>
        <w:trPr>
          <w:trHeight w:val="64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spacing w:before="120" w:beforeLines="50" w:line="360" w:lineRule="auto"/>
              <w:jc w:val="center"/>
              <w:rPr>
                <w:rFonts w:ascii="宋体" w:hAnsi="宋体" w:cs="宋体"/>
                <w:color w:val="000000"/>
                <w:sz w:val="21"/>
                <w:szCs w:val="21"/>
              </w:rPr>
            </w:pPr>
            <w:r>
              <w:rPr>
                <w:rFonts w:hint="eastAsia" w:ascii="宋体" w:hAnsi="宋体" w:cs="宋体"/>
                <w:color w:val="000000"/>
                <w:sz w:val="21"/>
                <w:szCs w:val="21"/>
              </w:rPr>
              <w:t>L4</w:t>
            </w:r>
          </w:p>
        </w:tc>
        <w:tc>
          <w:tcPr>
            <w:tcW w:w="1559" w:type="dxa"/>
            <w:tcBorders>
              <w:top w:val="nil"/>
              <w:left w:val="nil"/>
              <w:bottom w:val="single" w:color="auto" w:sz="4" w:space="0"/>
              <w:right w:val="single" w:color="auto" w:sz="4" w:space="0"/>
            </w:tcBorders>
            <w:shd w:val="clear" w:color="auto" w:fill="auto"/>
            <w:vAlign w:val="center"/>
          </w:tcPr>
          <w:p>
            <w:pPr>
              <w:widowControl/>
              <w:spacing w:before="120" w:beforeLines="50" w:line="360" w:lineRule="auto"/>
              <w:jc w:val="center"/>
              <w:rPr>
                <w:rFonts w:ascii="宋体" w:hAnsi="宋体" w:cs="宋体"/>
                <w:color w:val="000000"/>
                <w:sz w:val="21"/>
                <w:szCs w:val="21"/>
              </w:rPr>
            </w:pPr>
            <w:r>
              <w:rPr>
                <w:rFonts w:hint="eastAsia" w:ascii="宋体" w:hAnsi="宋体" w:cs="宋体"/>
                <w:color w:val="000000"/>
                <w:sz w:val="21"/>
                <w:szCs w:val="21"/>
              </w:rPr>
              <w:t>无机房货梯</w:t>
            </w:r>
          </w:p>
        </w:tc>
        <w:tc>
          <w:tcPr>
            <w:tcW w:w="1092" w:type="dxa"/>
            <w:tcBorders>
              <w:top w:val="nil"/>
              <w:left w:val="nil"/>
              <w:bottom w:val="single" w:color="auto" w:sz="4" w:space="0"/>
              <w:right w:val="single" w:color="auto" w:sz="4" w:space="0"/>
            </w:tcBorders>
            <w:shd w:val="clear" w:color="auto" w:fill="auto"/>
            <w:vAlign w:val="center"/>
          </w:tcPr>
          <w:p>
            <w:pPr>
              <w:widowControl/>
              <w:spacing w:before="120" w:beforeLines="50" w:line="360" w:lineRule="auto"/>
              <w:jc w:val="center"/>
              <w:rPr>
                <w:rFonts w:ascii="宋体" w:hAnsi="宋体" w:cs="宋体"/>
                <w:color w:val="000000"/>
                <w:sz w:val="21"/>
                <w:szCs w:val="21"/>
              </w:rPr>
            </w:pPr>
            <w:r>
              <w:rPr>
                <w:rFonts w:hint="eastAsia" w:ascii="宋体" w:hAnsi="宋体" w:cs="宋体"/>
                <w:color w:val="000000"/>
                <w:sz w:val="21"/>
                <w:szCs w:val="21"/>
              </w:rPr>
              <w:t>1</w:t>
            </w:r>
          </w:p>
        </w:tc>
        <w:tc>
          <w:tcPr>
            <w:tcW w:w="2452" w:type="dxa"/>
            <w:tcBorders>
              <w:top w:val="nil"/>
              <w:left w:val="nil"/>
              <w:bottom w:val="single" w:color="auto" w:sz="4" w:space="0"/>
              <w:right w:val="single" w:color="auto" w:sz="4" w:space="0"/>
            </w:tcBorders>
            <w:shd w:val="clear" w:color="auto" w:fill="auto"/>
            <w:vAlign w:val="center"/>
          </w:tcPr>
          <w:p>
            <w:pPr>
              <w:widowControl/>
              <w:spacing w:before="120" w:beforeLines="50" w:line="360" w:lineRule="auto"/>
              <w:jc w:val="center"/>
              <w:rPr>
                <w:rFonts w:ascii="宋体" w:hAnsi="宋体" w:cs="宋体"/>
                <w:color w:val="000000"/>
                <w:sz w:val="21"/>
                <w:szCs w:val="21"/>
              </w:rPr>
            </w:pPr>
            <w:r>
              <w:rPr>
                <w:rFonts w:hint="eastAsia" w:ascii="宋体" w:hAnsi="宋体"/>
                <w:sz w:val="21"/>
                <w:szCs w:val="21"/>
              </w:rPr>
              <w:t>GeN2 载重量：1600kg 轿厢规格：2.05*1.939m</w:t>
            </w:r>
          </w:p>
        </w:tc>
        <w:tc>
          <w:tcPr>
            <w:tcW w:w="1276" w:type="dxa"/>
            <w:tcBorders>
              <w:top w:val="nil"/>
              <w:left w:val="nil"/>
              <w:bottom w:val="single" w:color="auto" w:sz="4" w:space="0"/>
              <w:right w:val="single" w:color="auto" w:sz="4" w:space="0"/>
            </w:tcBorders>
            <w:shd w:val="clear" w:color="auto" w:fill="auto"/>
            <w:vAlign w:val="center"/>
          </w:tcPr>
          <w:p>
            <w:pPr>
              <w:widowControl/>
              <w:spacing w:before="120" w:beforeLines="50" w:line="360" w:lineRule="auto"/>
              <w:jc w:val="center"/>
              <w:rPr>
                <w:rFonts w:ascii="宋体" w:hAnsi="宋体" w:cs="宋体"/>
                <w:color w:val="000000"/>
                <w:sz w:val="21"/>
                <w:szCs w:val="21"/>
              </w:rPr>
            </w:pPr>
            <w:r>
              <w:rPr>
                <w:rFonts w:hint="eastAsia" w:ascii="宋体" w:hAnsi="宋体" w:cs="宋体"/>
                <w:color w:val="000000"/>
                <w:sz w:val="21"/>
                <w:szCs w:val="21"/>
              </w:rPr>
              <w:t>1m/s</w:t>
            </w:r>
          </w:p>
        </w:tc>
        <w:tc>
          <w:tcPr>
            <w:tcW w:w="1134" w:type="dxa"/>
            <w:tcBorders>
              <w:top w:val="nil"/>
              <w:left w:val="nil"/>
              <w:bottom w:val="single" w:color="auto" w:sz="4" w:space="0"/>
              <w:right w:val="single" w:color="auto" w:sz="4" w:space="0"/>
            </w:tcBorders>
            <w:shd w:val="clear" w:color="auto" w:fill="auto"/>
            <w:vAlign w:val="center"/>
          </w:tcPr>
          <w:p>
            <w:pPr>
              <w:widowControl/>
              <w:spacing w:before="120" w:beforeLines="50" w:line="360" w:lineRule="auto"/>
              <w:jc w:val="center"/>
              <w:rPr>
                <w:rFonts w:ascii="宋体" w:hAnsi="宋体" w:cs="宋体"/>
                <w:color w:val="000000"/>
                <w:sz w:val="21"/>
                <w:szCs w:val="21"/>
              </w:rPr>
            </w:pPr>
            <w:r>
              <w:rPr>
                <w:rFonts w:hint="eastAsia" w:ascii="宋体" w:hAnsi="宋体" w:cs="宋体"/>
                <w:color w:val="000000"/>
                <w:sz w:val="21"/>
                <w:szCs w:val="21"/>
              </w:rPr>
              <w:t>7层6站</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sz w:val="21"/>
                <w:szCs w:val="21"/>
              </w:rPr>
              <w:t>图书馆北通道东侧</w:t>
            </w:r>
          </w:p>
        </w:tc>
      </w:tr>
      <w:tr>
        <w:tblPrEx>
          <w:tblLayout w:type="fixed"/>
          <w:tblCellMar>
            <w:top w:w="0" w:type="dxa"/>
            <w:left w:w="108" w:type="dxa"/>
            <w:bottom w:w="0" w:type="dxa"/>
            <w:right w:w="108" w:type="dxa"/>
          </w:tblCellMar>
        </w:tblPrEx>
        <w:trPr>
          <w:trHeight w:val="64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spacing w:before="120" w:beforeLines="50" w:line="360" w:lineRule="auto"/>
              <w:jc w:val="center"/>
              <w:rPr>
                <w:rFonts w:ascii="宋体" w:hAnsi="宋体" w:cs="宋体"/>
                <w:color w:val="000000"/>
                <w:sz w:val="21"/>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spacing w:before="120" w:beforeLines="50" w:line="360" w:lineRule="auto"/>
              <w:jc w:val="center"/>
              <w:rPr>
                <w:rFonts w:ascii="宋体" w:hAnsi="宋体" w:cs="宋体"/>
                <w:color w:val="000000"/>
                <w:sz w:val="21"/>
                <w:szCs w:val="21"/>
              </w:rPr>
            </w:pPr>
            <w:r>
              <w:rPr>
                <w:rFonts w:ascii="宋体" w:hAnsi="宋体" w:cs="宋体"/>
                <w:color w:val="000000"/>
                <w:sz w:val="21"/>
                <w:szCs w:val="21"/>
              </w:rPr>
              <w:t>扶梯</w:t>
            </w:r>
          </w:p>
        </w:tc>
        <w:tc>
          <w:tcPr>
            <w:tcW w:w="1092" w:type="dxa"/>
            <w:tcBorders>
              <w:top w:val="nil"/>
              <w:left w:val="nil"/>
              <w:bottom w:val="single" w:color="auto" w:sz="4" w:space="0"/>
              <w:right w:val="single" w:color="auto" w:sz="4" w:space="0"/>
            </w:tcBorders>
            <w:shd w:val="clear" w:color="auto" w:fill="auto"/>
            <w:vAlign w:val="center"/>
          </w:tcPr>
          <w:p>
            <w:pPr>
              <w:widowControl/>
              <w:spacing w:before="120" w:beforeLines="50" w:line="360" w:lineRule="auto"/>
              <w:jc w:val="center"/>
              <w:rPr>
                <w:rFonts w:ascii="宋体" w:hAnsi="宋体" w:cs="宋体"/>
                <w:color w:val="000000"/>
                <w:sz w:val="21"/>
                <w:szCs w:val="21"/>
              </w:rPr>
            </w:pPr>
            <w:r>
              <w:rPr>
                <w:rFonts w:hint="eastAsia" w:ascii="宋体" w:hAnsi="宋体" w:cs="宋体"/>
                <w:color w:val="000000"/>
                <w:sz w:val="21"/>
                <w:szCs w:val="21"/>
              </w:rPr>
              <w:t>8</w:t>
            </w:r>
          </w:p>
        </w:tc>
        <w:tc>
          <w:tcPr>
            <w:tcW w:w="245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1"/>
                <w:szCs w:val="21"/>
              </w:rPr>
            </w:pPr>
            <w:r>
              <w:rPr>
                <w:rFonts w:hint="eastAsia" w:ascii="宋体" w:hAnsi="宋体"/>
                <w:sz w:val="21"/>
                <w:szCs w:val="21"/>
              </w:rPr>
              <w:t>STAR、名义宽度：1000mm 名义速度：0.5m/s 提升高度：4.8m/s</w:t>
            </w:r>
          </w:p>
        </w:tc>
        <w:tc>
          <w:tcPr>
            <w:tcW w:w="1276" w:type="dxa"/>
            <w:tcBorders>
              <w:top w:val="nil"/>
              <w:left w:val="nil"/>
              <w:bottom w:val="single" w:color="auto" w:sz="4" w:space="0"/>
              <w:right w:val="single" w:color="auto" w:sz="4" w:space="0"/>
            </w:tcBorders>
            <w:shd w:val="clear" w:color="auto" w:fill="auto"/>
            <w:vAlign w:val="center"/>
          </w:tcPr>
          <w:p>
            <w:pPr>
              <w:widowControl/>
              <w:spacing w:before="120" w:beforeLines="50" w:line="360" w:lineRule="auto"/>
              <w:jc w:val="center"/>
              <w:rPr>
                <w:rFonts w:ascii="宋体" w:hAnsi="宋体" w:cs="宋体"/>
                <w:color w:val="000000"/>
                <w:sz w:val="21"/>
                <w:szCs w:val="21"/>
              </w:rPr>
            </w:pPr>
            <w:r>
              <w:rPr>
                <w:rFonts w:hint="eastAsia" w:ascii="宋体" w:hAnsi="宋体" w:cs="宋体"/>
                <w:color w:val="000000"/>
                <w:sz w:val="21"/>
                <w:szCs w:val="21"/>
              </w:rPr>
              <w:t>0.5m/s</w:t>
            </w:r>
          </w:p>
        </w:tc>
        <w:tc>
          <w:tcPr>
            <w:tcW w:w="1134" w:type="dxa"/>
            <w:tcBorders>
              <w:top w:val="nil"/>
              <w:left w:val="nil"/>
              <w:bottom w:val="single" w:color="auto" w:sz="4" w:space="0"/>
              <w:right w:val="single" w:color="auto" w:sz="4" w:space="0"/>
            </w:tcBorders>
            <w:shd w:val="clear" w:color="auto" w:fill="auto"/>
            <w:vAlign w:val="center"/>
          </w:tcPr>
          <w:p>
            <w:pPr>
              <w:widowControl/>
              <w:spacing w:before="120" w:beforeLines="50" w:line="360" w:lineRule="auto"/>
              <w:jc w:val="center"/>
              <w:rPr>
                <w:rFonts w:ascii="宋体" w:hAnsi="宋体" w:cs="宋体"/>
                <w:color w:val="000000"/>
                <w:sz w:val="21"/>
                <w:szCs w:val="21"/>
              </w:rPr>
            </w:pPr>
            <w:r>
              <w:rPr>
                <w:rFonts w:hint="eastAsia" w:ascii="宋体" w:hAnsi="宋体" w:cs="宋体"/>
                <w:color w:val="000000"/>
                <w:sz w:val="21"/>
                <w:szCs w:val="21"/>
              </w:rPr>
              <w:t>5层</w:t>
            </w:r>
          </w:p>
        </w:tc>
        <w:tc>
          <w:tcPr>
            <w:tcW w:w="1417" w:type="dxa"/>
            <w:tcBorders>
              <w:top w:val="nil"/>
              <w:left w:val="nil"/>
              <w:bottom w:val="single" w:color="auto" w:sz="4" w:space="0"/>
              <w:right w:val="single" w:color="auto" w:sz="4" w:space="0"/>
            </w:tcBorders>
            <w:shd w:val="clear" w:color="auto" w:fill="auto"/>
            <w:vAlign w:val="center"/>
          </w:tcPr>
          <w:p>
            <w:pPr>
              <w:widowControl/>
              <w:spacing w:before="120" w:beforeLines="50" w:line="360" w:lineRule="auto"/>
              <w:rPr>
                <w:rFonts w:ascii="宋体" w:hAnsi="宋体" w:cs="宋体"/>
                <w:color w:val="000000"/>
                <w:sz w:val="21"/>
                <w:szCs w:val="21"/>
              </w:rPr>
            </w:pPr>
            <w:r>
              <w:rPr>
                <w:rFonts w:hint="eastAsia" w:ascii="宋体" w:hAnsi="宋体" w:cs="宋体"/>
                <w:color w:val="000000"/>
                <w:sz w:val="21"/>
                <w:szCs w:val="21"/>
              </w:rPr>
              <w:t>图书馆大厅</w:t>
            </w:r>
          </w:p>
        </w:tc>
      </w:tr>
      <w:tr>
        <w:tblPrEx>
          <w:tblLayout w:type="fixed"/>
          <w:tblCellMar>
            <w:top w:w="0" w:type="dxa"/>
            <w:left w:w="108" w:type="dxa"/>
            <w:bottom w:w="0" w:type="dxa"/>
            <w:right w:w="108" w:type="dxa"/>
          </w:tblCellMar>
        </w:tblPrEx>
        <w:trPr>
          <w:trHeight w:val="64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spacing w:before="120" w:beforeLines="50" w:line="360" w:lineRule="auto"/>
              <w:rPr>
                <w:rFonts w:ascii="宋体" w:hAnsi="宋体" w:cs="宋体"/>
                <w:color w:val="000000"/>
                <w:sz w:val="21"/>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spacing w:before="120" w:beforeLines="50" w:line="360" w:lineRule="auto"/>
              <w:rPr>
                <w:rFonts w:ascii="宋体" w:hAnsi="宋体" w:cs="宋体"/>
                <w:color w:val="000000"/>
                <w:sz w:val="21"/>
                <w:szCs w:val="21"/>
              </w:rPr>
            </w:pPr>
          </w:p>
        </w:tc>
        <w:tc>
          <w:tcPr>
            <w:tcW w:w="1092" w:type="dxa"/>
            <w:tcBorders>
              <w:top w:val="nil"/>
              <w:left w:val="nil"/>
              <w:bottom w:val="single" w:color="auto" w:sz="4" w:space="0"/>
              <w:right w:val="single" w:color="auto" w:sz="4" w:space="0"/>
            </w:tcBorders>
            <w:shd w:val="clear" w:color="auto" w:fill="auto"/>
            <w:vAlign w:val="center"/>
          </w:tcPr>
          <w:p>
            <w:pPr>
              <w:widowControl/>
              <w:spacing w:before="120" w:beforeLines="50" w:line="360" w:lineRule="auto"/>
              <w:jc w:val="center"/>
              <w:rPr>
                <w:rFonts w:ascii="宋体" w:hAnsi="宋体" w:cs="宋体"/>
                <w:color w:val="000000"/>
                <w:sz w:val="21"/>
                <w:szCs w:val="21"/>
              </w:rPr>
            </w:pPr>
          </w:p>
        </w:tc>
        <w:tc>
          <w:tcPr>
            <w:tcW w:w="2452" w:type="dxa"/>
            <w:tcBorders>
              <w:top w:val="nil"/>
              <w:left w:val="nil"/>
              <w:bottom w:val="single" w:color="auto" w:sz="4" w:space="0"/>
              <w:right w:val="single" w:color="auto" w:sz="4" w:space="0"/>
            </w:tcBorders>
            <w:shd w:val="clear" w:color="auto" w:fill="auto"/>
            <w:vAlign w:val="center"/>
          </w:tcPr>
          <w:p>
            <w:pPr>
              <w:widowControl/>
              <w:spacing w:before="120" w:beforeLines="50" w:line="360" w:lineRule="auto"/>
              <w:rPr>
                <w:rFonts w:ascii="宋体" w:hAnsi="宋体" w:cs="宋体"/>
                <w:color w:val="000000"/>
                <w:sz w:val="21"/>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spacing w:before="120" w:beforeLines="50" w:line="360" w:lineRule="auto"/>
              <w:jc w:val="center"/>
              <w:rPr>
                <w:rFonts w:ascii="宋体" w:hAnsi="宋体" w:cs="宋体"/>
                <w:color w:val="000000"/>
                <w:sz w:val="21"/>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spacing w:before="120" w:beforeLines="50" w:line="360" w:lineRule="auto"/>
              <w:jc w:val="center"/>
              <w:rPr>
                <w:rFonts w:ascii="宋体" w:hAnsi="宋体" w:cs="宋体"/>
                <w:color w:val="000000"/>
                <w:sz w:val="21"/>
                <w:szCs w:val="21"/>
              </w:rPr>
            </w:pPr>
          </w:p>
        </w:tc>
        <w:tc>
          <w:tcPr>
            <w:tcW w:w="1417" w:type="dxa"/>
            <w:tcBorders>
              <w:top w:val="nil"/>
              <w:left w:val="nil"/>
              <w:bottom w:val="single" w:color="auto" w:sz="4" w:space="0"/>
              <w:right w:val="single" w:color="auto" w:sz="4" w:space="0"/>
            </w:tcBorders>
            <w:shd w:val="clear" w:color="auto" w:fill="auto"/>
            <w:vAlign w:val="center"/>
          </w:tcPr>
          <w:p>
            <w:pPr>
              <w:widowControl/>
              <w:spacing w:before="120" w:beforeLines="50" w:line="360" w:lineRule="auto"/>
              <w:rPr>
                <w:rFonts w:ascii="宋体" w:hAnsi="宋体" w:cs="宋体"/>
                <w:color w:val="000000"/>
                <w:sz w:val="21"/>
                <w:szCs w:val="21"/>
              </w:rPr>
            </w:pPr>
          </w:p>
        </w:tc>
      </w:tr>
    </w:tbl>
    <w:p>
      <w:pPr>
        <w:pStyle w:val="91"/>
        <w:rPr>
          <w:szCs w:val="21"/>
        </w:rPr>
      </w:pPr>
      <w:r>
        <w:rPr>
          <w:szCs w:val="21"/>
        </w:rPr>
        <w:t>二</w:t>
      </w:r>
      <w:r>
        <w:rPr>
          <w:rFonts w:hint="eastAsia"/>
          <w:szCs w:val="21"/>
        </w:rPr>
        <w:t>、电梯维保应遵守的标准如下：</w:t>
      </w:r>
    </w:p>
    <w:p>
      <w:pPr>
        <w:pStyle w:val="93"/>
        <w:spacing w:line="400" w:lineRule="exact"/>
        <w:ind w:left="480" w:leftChars="200"/>
        <w:rPr>
          <w:rFonts w:ascii="宋体" w:hAnsi="宋体"/>
          <w:szCs w:val="21"/>
        </w:rPr>
      </w:pPr>
      <w:r>
        <w:rPr>
          <w:rFonts w:ascii="宋体" w:hAnsi="宋体"/>
          <w:szCs w:val="21"/>
        </w:rPr>
        <w:t>2.1电梯使用管理与维修保养规则TSGT5001-2009；</w:t>
      </w:r>
    </w:p>
    <w:p>
      <w:pPr>
        <w:pStyle w:val="93"/>
        <w:spacing w:line="400" w:lineRule="exact"/>
        <w:ind w:left="480" w:leftChars="200"/>
        <w:rPr>
          <w:rFonts w:ascii="宋体" w:hAnsi="宋体"/>
          <w:szCs w:val="21"/>
        </w:rPr>
      </w:pPr>
      <w:r>
        <w:rPr>
          <w:rFonts w:ascii="宋体" w:hAnsi="宋体"/>
          <w:szCs w:val="21"/>
        </w:rPr>
        <w:t>2.2电梯维修规范</w:t>
      </w:r>
      <w:r>
        <w:fldChar w:fldCharType="begin"/>
      </w:r>
      <w:r>
        <w:instrText xml:space="preserve"> HYPERLINK "https://www.baidu.com/link?url=V99yzFw-RVMZ6ajI-zxkvpM21DwA8cnBDh3zaLMmWZYNiFAuzuBcKHvEP8-PjmibfuTm7zGS6HotsWShojdXaFfbtiRBeAdRA9MQObI4SZC&amp;wd=&amp;eqid=fa0495f40002093d000000025913fe9e" \t "_blank" </w:instrText>
      </w:r>
      <w:r>
        <w:fldChar w:fldCharType="separate"/>
      </w:r>
      <w:r>
        <w:rPr>
          <w:rFonts w:ascii="宋体" w:hAnsi="宋体"/>
          <w:szCs w:val="21"/>
        </w:rPr>
        <w:t>GB / T 18775 -2002</w:t>
      </w:r>
      <w:r>
        <w:rPr>
          <w:rFonts w:ascii="宋体" w:hAnsi="宋体"/>
          <w:szCs w:val="21"/>
        </w:rPr>
        <w:fldChar w:fldCharType="end"/>
      </w:r>
      <w:r>
        <w:rPr>
          <w:rFonts w:hint="eastAsia" w:ascii="宋体" w:hAnsi="宋体"/>
          <w:szCs w:val="21"/>
        </w:rPr>
        <w:t>；</w:t>
      </w:r>
    </w:p>
    <w:p>
      <w:pPr>
        <w:pStyle w:val="93"/>
        <w:spacing w:line="400" w:lineRule="exact"/>
        <w:ind w:left="480" w:leftChars="200"/>
        <w:rPr>
          <w:rFonts w:ascii="宋体" w:hAnsi="宋体"/>
          <w:szCs w:val="21"/>
        </w:rPr>
      </w:pPr>
      <w:r>
        <w:rPr>
          <w:rFonts w:ascii="宋体" w:hAnsi="宋体"/>
          <w:szCs w:val="21"/>
        </w:rPr>
        <w:t>2.3电梯日常维护保养规则DB11 418-2007；</w:t>
      </w:r>
    </w:p>
    <w:p>
      <w:pPr>
        <w:pStyle w:val="93"/>
        <w:spacing w:line="400" w:lineRule="exact"/>
        <w:ind w:left="480" w:leftChars="200"/>
        <w:rPr>
          <w:rFonts w:ascii="宋体" w:hAnsi="宋体"/>
          <w:szCs w:val="21"/>
        </w:rPr>
      </w:pPr>
      <w:r>
        <w:rPr>
          <w:rFonts w:ascii="宋体" w:hAnsi="宋体"/>
          <w:szCs w:val="21"/>
        </w:rPr>
        <w:t>2.4电梯安装维修作业安全规范DB11 419-2007；</w:t>
      </w:r>
    </w:p>
    <w:p>
      <w:pPr>
        <w:pStyle w:val="93"/>
        <w:spacing w:line="400" w:lineRule="exact"/>
        <w:ind w:left="480" w:leftChars="200"/>
        <w:rPr>
          <w:rFonts w:ascii="宋体" w:hAnsi="宋体"/>
          <w:szCs w:val="21"/>
        </w:rPr>
      </w:pPr>
      <w:r>
        <w:rPr>
          <w:rFonts w:ascii="宋体" w:hAnsi="宋体"/>
          <w:szCs w:val="21"/>
        </w:rPr>
        <w:t>2.5电梯安装改造重大维修和维护保养的自检规则DB11 420-2007；</w:t>
      </w:r>
    </w:p>
    <w:p>
      <w:pPr>
        <w:pStyle w:val="93"/>
        <w:spacing w:line="400" w:lineRule="exact"/>
        <w:ind w:left="480" w:leftChars="200"/>
        <w:rPr>
          <w:rFonts w:ascii="宋体" w:hAnsi="宋体"/>
          <w:szCs w:val="21"/>
        </w:rPr>
      </w:pPr>
      <w:r>
        <w:rPr>
          <w:rFonts w:ascii="宋体" w:hAnsi="宋体"/>
          <w:szCs w:val="21"/>
        </w:rPr>
        <w:t>2.6电梯安装使用维护说明书；</w:t>
      </w:r>
    </w:p>
    <w:p>
      <w:pPr>
        <w:pStyle w:val="93"/>
        <w:spacing w:line="400" w:lineRule="exact"/>
        <w:ind w:left="480" w:leftChars="200"/>
        <w:rPr>
          <w:rFonts w:ascii="宋体" w:hAnsi="宋体"/>
          <w:szCs w:val="21"/>
        </w:rPr>
      </w:pPr>
      <w:r>
        <w:rPr>
          <w:rFonts w:ascii="宋体" w:hAnsi="宋体"/>
          <w:szCs w:val="21"/>
        </w:rPr>
        <w:t>2.7维保合同。</w:t>
      </w:r>
    </w:p>
    <w:p>
      <w:pPr>
        <w:pStyle w:val="93"/>
        <w:spacing w:line="400" w:lineRule="exact"/>
        <w:ind w:left="480" w:leftChars="200"/>
        <w:rPr>
          <w:rFonts w:ascii="宋体" w:hAnsi="宋体"/>
          <w:szCs w:val="21"/>
        </w:rPr>
      </w:pPr>
      <w:r>
        <w:rPr>
          <w:rFonts w:hint="eastAsia" w:ascii="宋体" w:hAnsi="宋体"/>
          <w:szCs w:val="21"/>
        </w:rPr>
        <w:t>三、维保服务要求：</w:t>
      </w:r>
    </w:p>
    <w:p>
      <w:pPr>
        <w:pStyle w:val="93"/>
        <w:spacing w:line="400" w:lineRule="exact"/>
        <w:ind w:left="900" w:leftChars="200" w:hanging="420" w:hangingChars="200"/>
        <w:rPr>
          <w:rFonts w:ascii="宋体" w:hAnsi="宋体"/>
          <w:szCs w:val="21"/>
        </w:rPr>
      </w:pPr>
      <w:r>
        <w:rPr>
          <w:rFonts w:ascii="宋体" w:hAnsi="宋体"/>
          <w:szCs w:val="21"/>
        </w:rPr>
        <w:t>3.1维保服务时间：自签订合同之日起1</w:t>
      </w:r>
      <w:r>
        <w:rPr>
          <w:rFonts w:hint="eastAsia" w:ascii="宋体" w:hAnsi="宋体"/>
          <w:szCs w:val="21"/>
        </w:rPr>
        <w:t>年。</w:t>
      </w:r>
    </w:p>
    <w:p>
      <w:pPr>
        <w:pStyle w:val="93"/>
        <w:spacing w:line="400" w:lineRule="exact"/>
        <w:ind w:left="900" w:leftChars="200" w:hanging="420" w:hangingChars="200"/>
        <w:rPr>
          <w:rFonts w:ascii="宋体" w:hAnsi="宋体"/>
          <w:szCs w:val="21"/>
        </w:rPr>
      </w:pPr>
      <w:r>
        <w:rPr>
          <w:rFonts w:ascii="宋体" w:hAnsi="宋体"/>
          <w:szCs w:val="21"/>
        </w:rPr>
        <w:t>3.2维保服务方式：全包（除轿厢装饰以外的全部零部件免费更换</w:t>
      </w:r>
      <w:r>
        <w:rPr>
          <w:rFonts w:hint="eastAsia" w:ascii="宋体" w:hAnsi="宋体"/>
          <w:szCs w:val="21"/>
        </w:rPr>
        <w:t>，且零部件须为原厂配件）。</w:t>
      </w:r>
    </w:p>
    <w:p>
      <w:pPr>
        <w:pStyle w:val="93"/>
        <w:spacing w:line="400" w:lineRule="exact"/>
        <w:ind w:left="900" w:leftChars="200" w:hanging="420" w:hangingChars="200"/>
        <w:rPr>
          <w:rFonts w:ascii="宋体" w:hAnsi="宋体"/>
          <w:szCs w:val="21"/>
        </w:rPr>
      </w:pPr>
      <w:r>
        <w:rPr>
          <w:rFonts w:ascii="宋体" w:hAnsi="宋体"/>
          <w:szCs w:val="21"/>
        </w:rPr>
        <w:t>3.3维保期间必须保持所有设备、设施的完整、完好性，更换零部件以不降低电梯的正常功能发挥为原则。</w:t>
      </w:r>
    </w:p>
    <w:p>
      <w:pPr>
        <w:pStyle w:val="93"/>
        <w:spacing w:line="400" w:lineRule="exact"/>
        <w:ind w:left="900" w:leftChars="200" w:hanging="420" w:hangingChars="200"/>
        <w:rPr>
          <w:rFonts w:ascii="宋体" w:hAnsi="宋体"/>
          <w:szCs w:val="21"/>
        </w:rPr>
      </w:pPr>
      <w:r>
        <w:rPr>
          <w:rFonts w:hint="eastAsia" w:ascii="宋体" w:hAnsi="宋体"/>
          <w:szCs w:val="21"/>
        </w:rPr>
        <w:t>3.4重要场合的保驾护航服务，即沙河校区新生入学、毕业生离校或学校大型活动期间，成交供应方须免费提供专业技术人员提供相关服务。</w:t>
      </w:r>
    </w:p>
    <w:p>
      <w:pPr>
        <w:pStyle w:val="93"/>
        <w:spacing w:line="400" w:lineRule="exact"/>
        <w:ind w:left="900" w:leftChars="200" w:hanging="420" w:hangingChars="200"/>
        <w:rPr>
          <w:rFonts w:ascii="宋体" w:hAnsi="宋体"/>
          <w:szCs w:val="21"/>
        </w:rPr>
      </w:pPr>
      <w:r>
        <w:rPr>
          <w:rFonts w:hint="eastAsia" w:ascii="宋体" w:hAnsi="宋体"/>
          <w:szCs w:val="21"/>
        </w:rPr>
        <w:t>3.5由采购方负责承担电梯年检费，因维护保养原因导致电梯年检不合格的，由成交供应方承担电梯恢复及附件费用直至合格为止。</w:t>
      </w:r>
    </w:p>
    <w:p>
      <w:pPr>
        <w:pStyle w:val="93"/>
        <w:spacing w:line="400" w:lineRule="exact"/>
        <w:ind w:left="900" w:leftChars="200" w:hanging="420" w:hangingChars="200"/>
        <w:rPr>
          <w:szCs w:val="18"/>
        </w:rPr>
      </w:pPr>
      <w:r>
        <w:rPr>
          <w:rFonts w:ascii="宋体" w:hAnsi="宋体"/>
          <w:szCs w:val="21"/>
        </w:rPr>
        <w:t>3.</w:t>
      </w:r>
      <w:r>
        <w:rPr>
          <w:rFonts w:hint="eastAsia" w:ascii="宋体" w:hAnsi="宋体"/>
          <w:szCs w:val="21"/>
        </w:rPr>
        <w:t>6</w:t>
      </w:r>
      <w:r>
        <w:rPr>
          <w:rFonts w:hint="eastAsia"/>
          <w:szCs w:val="18"/>
        </w:rPr>
        <w:t>维保期间必须严格遵守采购方和现场管理方所有管理规章制度（包含财务付款制度）。</w:t>
      </w:r>
    </w:p>
    <w:p>
      <w:pPr>
        <w:pStyle w:val="93"/>
        <w:spacing w:line="400" w:lineRule="exact"/>
        <w:ind w:left="900" w:leftChars="200" w:hanging="420" w:hangingChars="200"/>
        <w:rPr>
          <w:rFonts w:ascii="宋体" w:hAnsi="宋体"/>
          <w:szCs w:val="21"/>
        </w:rPr>
      </w:pPr>
      <w:r>
        <w:rPr>
          <w:rFonts w:ascii="宋体" w:hAnsi="宋体"/>
          <w:szCs w:val="21"/>
        </w:rPr>
        <w:t>3.</w:t>
      </w:r>
      <w:r>
        <w:rPr>
          <w:rFonts w:hint="eastAsia" w:ascii="宋体" w:hAnsi="宋体"/>
          <w:szCs w:val="21"/>
        </w:rPr>
        <w:t>7</w:t>
      </w:r>
      <w:r>
        <w:rPr>
          <w:rFonts w:ascii="宋体" w:hAnsi="宋体"/>
          <w:szCs w:val="21"/>
        </w:rPr>
        <w:t>成交供应方须配备专职的电梯维修人员负责本次磋商电梯的日常维保、安全管理服务。未经采购方书面许可，成交供应方不得允许第三方人员从事本次磋商电梯的维护保养工作。</w:t>
      </w:r>
    </w:p>
    <w:p>
      <w:pPr>
        <w:pStyle w:val="93"/>
        <w:spacing w:line="400" w:lineRule="exact"/>
        <w:ind w:left="900" w:leftChars="200" w:hanging="420" w:hangingChars="200"/>
        <w:rPr>
          <w:rFonts w:ascii="宋体" w:hAnsi="宋体"/>
          <w:szCs w:val="21"/>
        </w:rPr>
      </w:pPr>
      <w:r>
        <w:rPr>
          <w:rFonts w:ascii="宋体" w:hAnsi="宋体"/>
          <w:szCs w:val="21"/>
        </w:rPr>
        <w:t>3.</w:t>
      </w:r>
      <w:r>
        <w:rPr>
          <w:rFonts w:hint="eastAsia" w:ascii="宋体" w:hAnsi="宋体"/>
          <w:szCs w:val="21"/>
        </w:rPr>
        <w:t>8</w:t>
      </w:r>
      <w:r>
        <w:rPr>
          <w:rFonts w:ascii="宋体" w:hAnsi="宋体"/>
          <w:szCs w:val="21"/>
        </w:rPr>
        <w:t>成交供应方须按电梯日常维护保养规则的要求，实施维护保养服务，但修理电梯须不少</w:t>
      </w:r>
      <w:r>
        <w:rPr>
          <w:rFonts w:hint="eastAsia" w:ascii="宋体" w:hAnsi="宋体"/>
          <w:szCs w:val="21"/>
        </w:rPr>
        <w:t>于</w:t>
      </w:r>
      <w:r>
        <w:rPr>
          <w:rFonts w:ascii="宋体" w:hAnsi="宋体"/>
          <w:szCs w:val="21"/>
        </w:rPr>
        <w:t>2人（具有三年以上电梯维修保养经验）持证人员作业。</w:t>
      </w:r>
    </w:p>
    <w:p>
      <w:pPr>
        <w:pStyle w:val="93"/>
        <w:spacing w:line="400" w:lineRule="exact"/>
        <w:ind w:left="900" w:leftChars="200" w:hanging="420" w:hangingChars="200"/>
        <w:rPr>
          <w:rFonts w:ascii="宋体" w:hAnsi="宋体"/>
          <w:szCs w:val="21"/>
        </w:rPr>
      </w:pPr>
      <w:r>
        <w:rPr>
          <w:rFonts w:ascii="宋体" w:hAnsi="宋体"/>
          <w:szCs w:val="21"/>
        </w:rPr>
        <w:t>3.</w:t>
      </w:r>
      <w:r>
        <w:rPr>
          <w:rFonts w:hint="eastAsia" w:ascii="宋体" w:hAnsi="宋体"/>
          <w:szCs w:val="21"/>
        </w:rPr>
        <w:t>9</w:t>
      </w:r>
      <w:r>
        <w:rPr>
          <w:rFonts w:ascii="宋体" w:hAnsi="宋体"/>
          <w:szCs w:val="21"/>
        </w:rPr>
        <w:t>维修保养人员的姓名、联系方式以及其有效的特种设备作业人员的资格证书复印件一并制作维保人员公示牌粘贴至电梯轿厢内（须加盖单位印章）。</w:t>
      </w:r>
    </w:p>
    <w:p>
      <w:pPr>
        <w:pStyle w:val="93"/>
        <w:spacing w:line="400" w:lineRule="exact"/>
        <w:ind w:left="900" w:leftChars="200" w:hanging="420" w:hangingChars="200"/>
        <w:rPr>
          <w:rFonts w:ascii="宋体" w:hAnsi="宋体"/>
          <w:szCs w:val="21"/>
        </w:rPr>
      </w:pPr>
      <w:r>
        <w:rPr>
          <w:rFonts w:ascii="宋体" w:hAnsi="宋体"/>
          <w:szCs w:val="21"/>
        </w:rPr>
        <w:t>3.</w:t>
      </w:r>
      <w:r>
        <w:rPr>
          <w:rFonts w:hint="eastAsia" w:ascii="宋体" w:hAnsi="宋体"/>
          <w:szCs w:val="21"/>
        </w:rPr>
        <w:t>10</w:t>
      </w:r>
      <w:r>
        <w:rPr>
          <w:rFonts w:ascii="宋体" w:hAnsi="宋体"/>
          <w:szCs w:val="21"/>
        </w:rPr>
        <w:t>成交供应方在电梯维护过程中发现故障或异常情况，应当立即采取安全措施，并立刻通知采购方并提出处理的相关建议，与此同时必须保证电梯的安全运行。</w:t>
      </w:r>
    </w:p>
    <w:p>
      <w:pPr>
        <w:pStyle w:val="93"/>
        <w:spacing w:line="400" w:lineRule="exact"/>
        <w:ind w:left="900" w:leftChars="200" w:hanging="420" w:hangingChars="200"/>
        <w:rPr>
          <w:rFonts w:ascii="宋体" w:hAnsi="宋体"/>
          <w:szCs w:val="21"/>
        </w:rPr>
      </w:pPr>
      <w:r>
        <w:rPr>
          <w:rFonts w:ascii="宋体" w:hAnsi="宋体"/>
          <w:szCs w:val="21"/>
        </w:rPr>
        <w:t>3.</w:t>
      </w:r>
      <w:r>
        <w:rPr>
          <w:rFonts w:hint="eastAsia" w:ascii="宋体" w:hAnsi="宋体"/>
          <w:szCs w:val="21"/>
        </w:rPr>
        <w:t>12</w:t>
      </w:r>
      <w:r>
        <w:rPr>
          <w:rFonts w:ascii="宋体" w:hAnsi="宋体"/>
          <w:szCs w:val="21"/>
        </w:rPr>
        <w:t>成交供应方建立电梯安全运行的管理制度，保证电梯的用电、消防、防雷、通风、通道、电话通讯、监控摄像和报警装置等系统安全可靠，并保证机房、井道、底坑无漏水、渗水现象，通往机房、底坑、滑轮间、井道安全门的通道畅通、轿厢、照明充分。</w:t>
      </w:r>
    </w:p>
    <w:p>
      <w:pPr>
        <w:pStyle w:val="93"/>
        <w:spacing w:line="400" w:lineRule="exact"/>
        <w:ind w:left="900" w:leftChars="200" w:hanging="420" w:hangingChars="200"/>
        <w:rPr>
          <w:rFonts w:ascii="宋体" w:hAnsi="宋体"/>
          <w:color w:val="FF0000"/>
          <w:szCs w:val="21"/>
        </w:rPr>
      </w:pPr>
      <w:r>
        <w:rPr>
          <w:rFonts w:ascii="宋体" w:hAnsi="宋体"/>
          <w:szCs w:val="21"/>
        </w:rPr>
        <w:t>3.1</w:t>
      </w:r>
      <w:r>
        <w:rPr>
          <w:rFonts w:hint="eastAsia" w:ascii="宋体" w:hAnsi="宋体"/>
          <w:szCs w:val="21"/>
        </w:rPr>
        <w:t>3</w:t>
      </w:r>
      <w:r>
        <w:rPr>
          <w:rFonts w:ascii="宋体" w:hAnsi="宋体"/>
          <w:szCs w:val="21"/>
        </w:rPr>
        <w:t>成交供应方</w:t>
      </w:r>
      <w:r>
        <w:rPr>
          <w:rFonts w:ascii="宋体" w:hAnsi="宋体"/>
          <w:color w:val="auto"/>
          <w:szCs w:val="21"/>
        </w:rPr>
        <w:t>在维保过程中发现自然磨损需更换的配件，需主动更换同品牌电梯（即奥的斯电梯原厂）的配件。</w:t>
      </w:r>
    </w:p>
    <w:p>
      <w:pPr>
        <w:pStyle w:val="93"/>
        <w:spacing w:line="400" w:lineRule="exact"/>
        <w:ind w:left="900" w:leftChars="200" w:hanging="420" w:hangingChars="200"/>
        <w:rPr>
          <w:rFonts w:ascii="宋体" w:hAnsi="宋体"/>
          <w:szCs w:val="21"/>
        </w:rPr>
      </w:pPr>
      <w:r>
        <w:rPr>
          <w:rFonts w:ascii="宋体" w:hAnsi="宋体"/>
          <w:szCs w:val="21"/>
        </w:rPr>
        <w:t>3.</w:t>
      </w:r>
      <w:r>
        <w:rPr>
          <w:rFonts w:hint="eastAsia" w:ascii="宋体" w:hAnsi="宋体"/>
          <w:szCs w:val="21"/>
        </w:rPr>
        <w:t>14</w:t>
      </w:r>
      <w:r>
        <w:rPr>
          <w:rFonts w:ascii="宋体" w:hAnsi="宋体"/>
          <w:szCs w:val="21"/>
        </w:rPr>
        <w:t>成交供应方需提供半年度的电梯维保服务报告，对半年度维保服务周期内的电梯运行状况、维保情况做详细汇总，并就电梯的大中修或更新改造提出可行的建方案。</w:t>
      </w:r>
    </w:p>
    <w:p>
      <w:pPr>
        <w:pStyle w:val="93"/>
        <w:spacing w:line="400" w:lineRule="exact"/>
        <w:ind w:left="900" w:leftChars="200" w:hanging="420" w:hangingChars="200"/>
        <w:rPr>
          <w:rFonts w:ascii="宋体" w:hAnsi="宋体"/>
          <w:szCs w:val="21"/>
        </w:rPr>
      </w:pPr>
      <w:r>
        <w:rPr>
          <w:rFonts w:ascii="宋体" w:hAnsi="宋体"/>
          <w:szCs w:val="21"/>
        </w:rPr>
        <w:t>3.</w:t>
      </w:r>
      <w:r>
        <w:rPr>
          <w:rFonts w:hint="eastAsia" w:ascii="宋体" w:hAnsi="宋体"/>
          <w:szCs w:val="21"/>
        </w:rPr>
        <w:t>15</w:t>
      </w:r>
      <w:r>
        <w:rPr>
          <w:rFonts w:ascii="宋体" w:hAnsi="宋体"/>
          <w:szCs w:val="21"/>
        </w:rPr>
        <w:t>如遇采购方有重大活动，采购方提前2天通知成交供应方的情况下，成交供应方需无偿提供不少于2人的专业技术人员进行现场的保驾护航服务。</w:t>
      </w:r>
    </w:p>
    <w:p>
      <w:pPr>
        <w:pStyle w:val="93"/>
        <w:spacing w:line="400" w:lineRule="exact"/>
        <w:ind w:left="900" w:leftChars="200" w:hanging="420" w:hangingChars="200"/>
        <w:rPr>
          <w:rFonts w:ascii="宋体" w:hAnsi="宋体"/>
          <w:szCs w:val="21"/>
        </w:rPr>
      </w:pPr>
      <w:r>
        <w:rPr>
          <w:rFonts w:ascii="宋体" w:hAnsi="宋体"/>
          <w:szCs w:val="21"/>
        </w:rPr>
        <w:t>3.1</w:t>
      </w:r>
      <w:r>
        <w:rPr>
          <w:rFonts w:hint="eastAsia" w:ascii="宋体" w:hAnsi="宋体"/>
          <w:szCs w:val="21"/>
        </w:rPr>
        <w:t>6</w:t>
      </w:r>
      <w:r>
        <w:rPr>
          <w:rFonts w:ascii="宋体" w:hAnsi="宋体"/>
          <w:szCs w:val="21"/>
        </w:rPr>
        <w:t>国家有关电梯安全标准的法律、规定发生变化时，成交采购方需在变化发生后的15日内书面通知采购方，并为采购方进行电梯的调整和调试工作，相关人工、材料费用由采购方另行承担。</w:t>
      </w:r>
    </w:p>
    <w:p>
      <w:pPr>
        <w:pStyle w:val="93"/>
        <w:spacing w:line="400" w:lineRule="exact"/>
        <w:ind w:left="900" w:leftChars="200" w:hanging="420" w:hangingChars="200"/>
        <w:rPr>
          <w:rFonts w:ascii="宋体" w:hAnsi="宋体"/>
          <w:szCs w:val="21"/>
        </w:rPr>
      </w:pPr>
      <w:r>
        <w:rPr>
          <w:rFonts w:ascii="宋体" w:hAnsi="宋体"/>
          <w:szCs w:val="21"/>
        </w:rPr>
        <w:t>3.1</w:t>
      </w:r>
      <w:r>
        <w:rPr>
          <w:rFonts w:hint="eastAsia" w:ascii="宋体" w:hAnsi="宋体"/>
          <w:szCs w:val="21"/>
        </w:rPr>
        <w:t>7</w:t>
      </w:r>
      <w:r>
        <w:rPr>
          <w:rFonts w:ascii="宋体" w:hAnsi="宋体"/>
          <w:szCs w:val="21"/>
        </w:rPr>
        <w:t>经政府相关部门的事故认定，因成交供应方维护保养原因导致的人身伤亡或设备损坏、丢失的，</w:t>
      </w:r>
      <w:r>
        <w:rPr>
          <w:rFonts w:hint="eastAsia" w:ascii="宋体" w:hAnsi="宋体"/>
          <w:szCs w:val="21"/>
        </w:rPr>
        <w:t>由成交供应方承担由此产生的所有经济损失和人身伤害赔偿。</w:t>
      </w:r>
    </w:p>
    <w:p>
      <w:pPr>
        <w:pStyle w:val="93"/>
        <w:spacing w:line="400" w:lineRule="exact"/>
        <w:ind w:left="900" w:leftChars="200" w:hanging="420" w:hangingChars="200"/>
        <w:rPr>
          <w:rFonts w:ascii="宋体" w:hAnsi="宋体"/>
          <w:szCs w:val="21"/>
        </w:rPr>
      </w:pPr>
      <w:r>
        <w:rPr>
          <w:rFonts w:ascii="宋体" w:hAnsi="宋体"/>
          <w:szCs w:val="21"/>
        </w:rPr>
        <w:t>3.1</w:t>
      </w:r>
      <w:r>
        <w:rPr>
          <w:rFonts w:hint="eastAsia" w:ascii="宋体" w:hAnsi="宋体"/>
          <w:szCs w:val="21"/>
        </w:rPr>
        <w:t>8</w:t>
      </w:r>
      <w:r>
        <w:rPr>
          <w:rFonts w:ascii="宋体" w:hAnsi="宋体"/>
          <w:szCs w:val="21"/>
        </w:rPr>
        <w:t>成交供应方提供的维保人员必须具有特种设备操作证，否则由此产生的一切责任和损失</w:t>
      </w:r>
      <w:r>
        <w:rPr>
          <w:rFonts w:hint="eastAsia" w:ascii="宋体" w:hAnsi="宋体"/>
          <w:szCs w:val="21"/>
        </w:rPr>
        <w:t>由成交供应方承担。</w:t>
      </w:r>
    </w:p>
    <w:p>
      <w:pPr>
        <w:pStyle w:val="93"/>
        <w:spacing w:line="400" w:lineRule="exact"/>
        <w:ind w:left="900" w:leftChars="200" w:hanging="420" w:hangingChars="200"/>
        <w:rPr>
          <w:rFonts w:ascii="宋体" w:hAnsi="宋体"/>
          <w:szCs w:val="21"/>
        </w:rPr>
      </w:pPr>
      <w:r>
        <w:rPr>
          <w:rFonts w:hint="eastAsia" w:ascii="宋体" w:hAnsi="宋体"/>
          <w:szCs w:val="21"/>
        </w:rPr>
        <w:t>四、应急抢修</w:t>
      </w:r>
    </w:p>
    <w:p>
      <w:pPr>
        <w:pStyle w:val="93"/>
        <w:spacing w:line="400" w:lineRule="exact"/>
        <w:ind w:left="900" w:leftChars="200" w:hanging="420" w:hangingChars="200"/>
        <w:rPr>
          <w:rFonts w:ascii="宋体" w:hAnsi="宋体"/>
          <w:szCs w:val="21"/>
        </w:rPr>
      </w:pPr>
      <w:r>
        <w:rPr>
          <w:rFonts w:ascii="宋体" w:hAnsi="宋体"/>
          <w:szCs w:val="21"/>
        </w:rPr>
        <w:t>4.1成交供应方须承诺提供365天全日24小时紧急修理服务。接到采购方的电梯故障或不正常运行现象的通知后，成交供应方须承诺60分钟内到达现场进行故障处理，并能提供有效、连续的服务直至故障或不正常运行现象的排除。</w:t>
      </w:r>
    </w:p>
    <w:p>
      <w:pPr>
        <w:pStyle w:val="93"/>
        <w:spacing w:line="400" w:lineRule="exact"/>
        <w:ind w:left="900" w:leftChars="200" w:hanging="420" w:hangingChars="200"/>
        <w:rPr>
          <w:rFonts w:ascii="宋体" w:hAnsi="宋体"/>
          <w:szCs w:val="21"/>
        </w:rPr>
      </w:pPr>
      <w:r>
        <w:rPr>
          <w:rFonts w:ascii="宋体" w:hAnsi="宋体"/>
          <w:szCs w:val="21"/>
        </w:rPr>
        <w:t>4.2若电梯出现困人事故，要求成交供应方在30分钟内</w:t>
      </w:r>
      <w:r>
        <w:rPr>
          <w:rFonts w:hint="eastAsia" w:ascii="宋体" w:hAnsi="宋体"/>
          <w:szCs w:val="21"/>
        </w:rPr>
        <w:t>到达现场后</w:t>
      </w:r>
      <w:r>
        <w:rPr>
          <w:rFonts w:ascii="宋体" w:hAnsi="宋体"/>
          <w:szCs w:val="21"/>
        </w:rPr>
        <w:t>10分钟内把乘客从轿厢中救出、对常见故障要求在60分钟内排除，同时必须保障电梯设备的安全、正常运行。</w:t>
      </w:r>
    </w:p>
    <w:p>
      <w:pPr>
        <w:pStyle w:val="93"/>
        <w:spacing w:line="400" w:lineRule="exact"/>
        <w:ind w:left="900" w:leftChars="200" w:hanging="420" w:hangingChars="200"/>
        <w:rPr>
          <w:rFonts w:ascii="宋体" w:hAnsi="宋体"/>
          <w:szCs w:val="21"/>
        </w:rPr>
      </w:pPr>
      <w:r>
        <w:rPr>
          <w:rFonts w:ascii="宋体" w:hAnsi="宋体"/>
          <w:szCs w:val="21"/>
        </w:rPr>
        <w:t>4.3更换下来的电子器件、零配件的所有权归采购方，应由采购人保管或由采购人与维保单</w:t>
      </w:r>
      <w:r>
        <w:rPr>
          <w:rFonts w:hint="eastAsia" w:ascii="宋体" w:hAnsi="宋体"/>
          <w:szCs w:val="21"/>
        </w:rPr>
        <w:t>位共同销毁。</w:t>
      </w:r>
      <w:r>
        <w:rPr>
          <w:rFonts w:ascii="宋体" w:hAnsi="宋体"/>
          <w:szCs w:val="21"/>
        </w:rPr>
        <w:t xml:space="preserve">  </w:t>
      </w:r>
    </w:p>
    <w:p>
      <w:pPr>
        <w:widowControl/>
        <w:adjustRightInd/>
        <w:spacing w:line="240" w:lineRule="auto"/>
        <w:textAlignment w:val="auto"/>
        <w:rPr>
          <w:kern w:val="2"/>
          <w:sz w:val="21"/>
          <w:szCs w:val="22"/>
        </w:rPr>
      </w:pPr>
      <w:r>
        <w:br w:type="page"/>
      </w:r>
    </w:p>
    <w:p>
      <w:pPr>
        <w:pStyle w:val="43"/>
        <w:adjustRightInd/>
        <w:spacing w:line="415" w:lineRule="auto"/>
        <w:ind w:left="420" w:hanging="420"/>
        <w:jc w:val="center"/>
        <w:textAlignment w:val="auto"/>
        <w:rPr>
          <w:rFonts w:ascii="Times New Roman" w:hAnsi="Times New Roman" w:eastAsia="宋体"/>
          <w:kern w:val="2"/>
        </w:rPr>
      </w:pPr>
      <w:bookmarkStart w:id="74" w:name="_Toc477456212"/>
      <w:bookmarkStart w:id="75" w:name="_Toc486583485"/>
      <w:r>
        <w:rPr>
          <w:rFonts w:hint="eastAsia" w:ascii="Times New Roman" w:hAnsi="Times New Roman" w:eastAsia="宋体"/>
          <w:kern w:val="2"/>
        </w:rPr>
        <w:t>第六部分</w:t>
      </w:r>
      <w:r>
        <w:rPr>
          <w:rFonts w:ascii="Times New Roman" w:hAnsi="Times New Roman" w:eastAsia="宋体"/>
          <w:kern w:val="2"/>
        </w:rPr>
        <w:t xml:space="preserve">  </w:t>
      </w:r>
      <w:bookmarkStart w:id="76" w:name="_Toc86202632"/>
      <w:bookmarkStart w:id="77" w:name="响应文件格式"/>
      <w:r>
        <w:rPr>
          <w:rFonts w:hint="eastAsia" w:ascii="Times New Roman" w:hAnsi="Times New Roman" w:eastAsia="宋体"/>
          <w:kern w:val="2"/>
        </w:rPr>
        <w:t>响应文件格式</w:t>
      </w:r>
      <w:bookmarkEnd w:id="74"/>
      <w:bookmarkEnd w:id="75"/>
      <w:bookmarkEnd w:id="76"/>
      <w:bookmarkEnd w:id="77"/>
    </w:p>
    <w:p>
      <w:pPr>
        <w:pStyle w:val="44"/>
        <w:numPr>
          <w:ilvl w:val="0"/>
          <w:numId w:val="35"/>
        </w:numPr>
        <w:adjustRightInd/>
        <w:spacing w:line="415" w:lineRule="auto"/>
        <w:jc w:val="both"/>
        <w:textAlignment w:val="auto"/>
        <w:rPr>
          <w:kern w:val="2"/>
        </w:rPr>
      </w:pPr>
      <w:bookmarkStart w:id="78" w:name="_Toc86202633"/>
      <w:bookmarkStart w:id="79" w:name="_Toc486583486"/>
      <w:r>
        <w:rPr>
          <w:rFonts w:hint="eastAsia"/>
          <w:kern w:val="2"/>
        </w:rPr>
        <w:t>响应人提交文件须知</w:t>
      </w:r>
      <w:bookmarkEnd w:id="78"/>
      <w:bookmarkEnd w:id="79"/>
    </w:p>
    <w:p>
      <w:pPr>
        <w:numPr>
          <w:ilvl w:val="0"/>
          <w:numId w:val="36"/>
        </w:numPr>
        <w:spacing w:line="400" w:lineRule="exact"/>
        <w:textAlignment w:val="auto"/>
        <w:rPr>
          <w:sz w:val="21"/>
          <w:szCs w:val="21"/>
        </w:rPr>
      </w:pPr>
      <w:r>
        <w:rPr>
          <w:rFonts w:hint="eastAsia"/>
          <w:sz w:val="21"/>
          <w:szCs w:val="21"/>
        </w:rPr>
        <w:t>响应人应严格按照以下顺序填写和提交下述规定的全部格式文件以及其他有关资料，混乱的编排导致响应文件被误读或查找不到，后果由响应人承担。</w:t>
      </w:r>
    </w:p>
    <w:p>
      <w:pPr>
        <w:numPr>
          <w:ilvl w:val="0"/>
          <w:numId w:val="36"/>
        </w:numPr>
        <w:spacing w:line="400" w:lineRule="exact"/>
        <w:textAlignment w:val="auto"/>
        <w:rPr>
          <w:sz w:val="21"/>
          <w:szCs w:val="21"/>
        </w:rPr>
      </w:pPr>
      <w:r>
        <w:rPr>
          <w:rFonts w:hint="eastAsia"/>
          <w:sz w:val="21"/>
          <w:szCs w:val="21"/>
        </w:rPr>
        <w:t>所附表格中要求回答的全部问题和信息都必须正面回答。</w:t>
      </w:r>
    </w:p>
    <w:p>
      <w:pPr>
        <w:numPr>
          <w:ilvl w:val="0"/>
          <w:numId w:val="36"/>
        </w:numPr>
        <w:spacing w:line="400" w:lineRule="exact"/>
        <w:textAlignment w:val="auto"/>
        <w:rPr>
          <w:sz w:val="21"/>
          <w:szCs w:val="21"/>
        </w:rPr>
      </w:pPr>
      <w:r>
        <w:rPr>
          <w:rFonts w:hint="eastAsia"/>
          <w:sz w:val="21"/>
          <w:szCs w:val="21"/>
        </w:rPr>
        <w:t>本资格声明的签字人应保证全部声明和问题的回答是真实的和准确的。</w:t>
      </w:r>
    </w:p>
    <w:p>
      <w:pPr>
        <w:numPr>
          <w:ilvl w:val="0"/>
          <w:numId w:val="36"/>
        </w:numPr>
        <w:spacing w:line="400" w:lineRule="exact"/>
        <w:textAlignment w:val="auto"/>
        <w:rPr>
          <w:sz w:val="21"/>
          <w:szCs w:val="21"/>
        </w:rPr>
      </w:pPr>
      <w:r>
        <w:rPr>
          <w:rFonts w:hint="eastAsia"/>
          <w:sz w:val="21"/>
          <w:szCs w:val="21"/>
        </w:rPr>
        <w:t>磋商小组将应用响应人提交的资料并根据磋商文件规定决定响应人履行合同的合格性及能力。</w:t>
      </w:r>
    </w:p>
    <w:p>
      <w:pPr>
        <w:numPr>
          <w:ilvl w:val="0"/>
          <w:numId w:val="36"/>
        </w:numPr>
        <w:spacing w:line="400" w:lineRule="exact"/>
        <w:textAlignment w:val="auto"/>
        <w:rPr>
          <w:sz w:val="21"/>
          <w:szCs w:val="21"/>
        </w:rPr>
      </w:pPr>
      <w:r>
        <w:rPr>
          <w:rFonts w:hint="eastAsia"/>
          <w:sz w:val="21"/>
          <w:szCs w:val="21"/>
        </w:rPr>
        <w:t>响应人提交的材料将被保密保存，但不退还。</w:t>
      </w:r>
    </w:p>
    <w:p>
      <w:pPr>
        <w:numPr>
          <w:ilvl w:val="0"/>
          <w:numId w:val="36"/>
        </w:numPr>
        <w:spacing w:line="400" w:lineRule="exact"/>
        <w:textAlignment w:val="auto"/>
        <w:rPr>
          <w:sz w:val="21"/>
          <w:szCs w:val="21"/>
        </w:rPr>
      </w:pPr>
      <w:r>
        <w:rPr>
          <w:rFonts w:hint="eastAsia"/>
          <w:sz w:val="21"/>
          <w:szCs w:val="21"/>
        </w:rPr>
        <w:t>全部文件应按响应人须知中规定的语言和份数提交。</w:t>
      </w:r>
    </w:p>
    <w:p>
      <w:pPr>
        <w:pStyle w:val="44"/>
        <w:numPr>
          <w:ilvl w:val="0"/>
          <w:numId w:val="35"/>
        </w:numPr>
        <w:adjustRightInd/>
        <w:spacing w:line="415" w:lineRule="auto"/>
        <w:jc w:val="both"/>
        <w:textAlignment w:val="auto"/>
        <w:rPr>
          <w:kern w:val="2"/>
        </w:rPr>
      </w:pPr>
      <w:r>
        <w:rPr>
          <w:kern w:val="2"/>
        </w:rPr>
        <w:br w:type="page"/>
      </w:r>
      <w:bookmarkStart w:id="80" w:name="_Toc486583487"/>
      <w:r>
        <w:rPr>
          <w:rFonts w:hint="eastAsia"/>
          <w:kern w:val="2"/>
        </w:rPr>
        <w:t>响应文件顺序</w:t>
      </w:r>
      <w:bookmarkEnd w:id="80"/>
    </w:p>
    <w:p>
      <w:pPr>
        <w:pStyle w:val="91"/>
        <w:rPr>
          <w:rFonts w:ascii="Times New Roman" w:hAnsi="Times New Roman"/>
        </w:rPr>
      </w:pPr>
      <w:r>
        <w:rPr>
          <w:rFonts w:hint="eastAsia" w:ascii="Times New Roman" w:hAnsi="Times New Roman"/>
        </w:rPr>
        <w:t>响应人应严格按照本部分约定的顺序填写和提交规定的全部格式文件以及其他有关资料，混乱的编排导致磋商文件被误读或查找不到，后果由响应人承担。</w:t>
      </w:r>
    </w:p>
    <w:p>
      <w:pPr>
        <w:pStyle w:val="91"/>
        <w:numPr>
          <w:ilvl w:val="0"/>
          <w:numId w:val="37"/>
        </w:numPr>
        <w:ind w:firstLineChars="0"/>
        <w:rPr>
          <w:rFonts w:ascii="Times New Roman" w:hAnsi="Times New Roman"/>
        </w:rPr>
      </w:pPr>
      <w:r>
        <w:fldChar w:fldCharType="begin"/>
      </w:r>
      <w:r>
        <w:instrText xml:space="preserve"> REF _Ref477452230 \h  \* MERGEFORMAT </w:instrText>
      </w:r>
      <w:r>
        <w:fldChar w:fldCharType="separate"/>
      </w:r>
      <w:r>
        <w:rPr>
          <w:rFonts w:ascii="Times New Roman" w:hAnsi="Times New Roman"/>
        </w:rPr>
        <w:t xml:space="preserve">  </w:t>
      </w:r>
      <w:r>
        <w:rPr>
          <w:rFonts w:hint="eastAsia" w:ascii="Times New Roman" w:hAnsi="Times New Roman"/>
        </w:rPr>
        <w:t>响应确认函</w:t>
      </w:r>
      <w:r>
        <w:fldChar w:fldCharType="end"/>
      </w:r>
      <w:r>
        <w:rPr>
          <w:rFonts w:hint="eastAsia" w:ascii="Times New Roman" w:hAnsi="Times New Roman"/>
        </w:rPr>
        <w:t>：见</w:t>
      </w:r>
      <w:r>
        <w:fldChar w:fldCharType="begin"/>
      </w:r>
      <w:r>
        <w:instrText xml:space="preserve"> REF _Ref477452230 \r \h  \* MERGEFORMAT </w:instrText>
      </w:r>
      <w:r>
        <w:fldChar w:fldCharType="separate"/>
      </w:r>
      <w:r>
        <w:rPr>
          <w:rFonts w:ascii="Times New Roman" w:hAnsi="Times New Roman"/>
        </w:rPr>
        <w:t>附件1</w:t>
      </w:r>
      <w:r>
        <w:fldChar w:fldCharType="end"/>
      </w:r>
      <w:r>
        <w:rPr>
          <w:rFonts w:hint="eastAsia" w:ascii="Times New Roman" w:hAnsi="Times New Roman"/>
        </w:rPr>
        <w:t>；</w:t>
      </w:r>
    </w:p>
    <w:p>
      <w:pPr>
        <w:pStyle w:val="91"/>
        <w:numPr>
          <w:ilvl w:val="0"/>
          <w:numId w:val="37"/>
        </w:numPr>
        <w:ind w:firstLineChars="0"/>
        <w:rPr>
          <w:rFonts w:ascii="Times New Roman" w:hAnsi="Times New Roman"/>
        </w:rPr>
      </w:pPr>
      <w:r>
        <w:fldChar w:fldCharType="begin"/>
      </w:r>
      <w:r>
        <w:instrText xml:space="preserve"> REF _Ref477452364 \h  \* MERGEFORMAT </w:instrText>
      </w:r>
      <w:r>
        <w:fldChar w:fldCharType="separate"/>
      </w:r>
      <w:r>
        <w:rPr>
          <w:rFonts w:ascii="Times New Roman" w:hAnsi="Times New Roman"/>
        </w:rPr>
        <w:t xml:space="preserve">  </w:t>
      </w:r>
      <w:r>
        <w:rPr>
          <w:rFonts w:hint="eastAsia" w:ascii="Times New Roman" w:hAnsi="Times New Roman"/>
        </w:rPr>
        <w:t>响应函</w:t>
      </w:r>
      <w:r>
        <w:fldChar w:fldCharType="end"/>
      </w:r>
      <w:r>
        <w:rPr>
          <w:rFonts w:hint="eastAsia" w:ascii="Times New Roman" w:hAnsi="Times New Roman"/>
        </w:rPr>
        <w:t>：见</w:t>
      </w:r>
      <w:r>
        <w:fldChar w:fldCharType="begin"/>
      </w:r>
      <w:r>
        <w:instrText xml:space="preserve"> REF _Ref477452364 \r \h  \* MERGEFORMAT </w:instrText>
      </w:r>
      <w:r>
        <w:fldChar w:fldCharType="separate"/>
      </w:r>
      <w:r>
        <w:rPr>
          <w:rFonts w:ascii="Times New Roman" w:hAnsi="Times New Roman"/>
        </w:rPr>
        <w:t>附件2</w:t>
      </w:r>
      <w:r>
        <w:fldChar w:fldCharType="end"/>
      </w:r>
      <w:r>
        <w:rPr>
          <w:rFonts w:hint="eastAsia" w:ascii="Times New Roman" w:hAnsi="Times New Roman"/>
        </w:rPr>
        <w:t>；</w:t>
      </w:r>
    </w:p>
    <w:p>
      <w:pPr>
        <w:pStyle w:val="91"/>
        <w:numPr>
          <w:ilvl w:val="0"/>
          <w:numId w:val="37"/>
        </w:numPr>
        <w:ind w:firstLineChars="0"/>
        <w:rPr>
          <w:rFonts w:ascii="Times New Roman" w:hAnsi="Times New Roman"/>
        </w:rPr>
      </w:pPr>
      <w:r>
        <w:fldChar w:fldCharType="begin"/>
      </w:r>
      <w:r>
        <w:instrText xml:space="preserve"> REF _Ref477452442 \h  \* MERGEFORMAT </w:instrText>
      </w:r>
      <w:r>
        <w:fldChar w:fldCharType="separate"/>
      </w:r>
      <w:r>
        <w:rPr>
          <w:rFonts w:ascii="Times New Roman" w:hAnsi="Times New Roman"/>
        </w:rPr>
        <w:t xml:space="preserve">  </w:t>
      </w:r>
      <w:r>
        <w:rPr>
          <w:rFonts w:hint="eastAsia" w:ascii="Times New Roman" w:hAnsi="Times New Roman"/>
        </w:rPr>
        <w:t>法定代表人授权委托书</w:t>
      </w:r>
      <w:r>
        <w:fldChar w:fldCharType="end"/>
      </w:r>
      <w:r>
        <w:rPr>
          <w:rFonts w:hint="eastAsia" w:ascii="Times New Roman" w:hAnsi="Times New Roman"/>
        </w:rPr>
        <w:t>：见</w:t>
      </w:r>
      <w:r>
        <w:fldChar w:fldCharType="begin"/>
      </w:r>
      <w:r>
        <w:instrText xml:space="preserve"> REF _Ref477452408 \r \h  \* MERGEFORMAT </w:instrText>
      </w:r>
      <w:r>
        <w:fldChar w:fldCharType="separate"/>
      </w:r>
      <w:r>
        <w:rPr>
          <w:rFonts w:ascii="Times New Roman" w:hAnsi="Times New Roman"/>
        </w:rPr>
        <w:t>附件3</w:t>
      </w:r>
      <w:r>
        <w:fldChar w:fldCharType="end"/>
      </w:r>
      <w:r>
        <w:rPr>
          <w:rFonts w:hint="eastAsia" w:ascii="Times New Roman" w:hAnsi="Times New Roman"/>
        </w:rPr>
        <w:t>；</w:t>
      </w:r>
    </w:p>
    <w:p>
      <w:pPr>
        <w:pStyle w:val="73"/>
        <w:numPr>
          <w:ilvl w:val="0"/>
          <w:numId w:val="37"/>
        </w:numPr>
        <w:ind w:firstLineChars="0"/>
        <w:rPr>
          <w:szCs w:val="22"/>
        </w:rPr>
      </w:pPr>
      <w:r>
        <w:t xml:space="preserve">  </w:t>
      </w:r>
      <w:r>
        <w:rPr>
          <w:rFonts w:hint="eastAsia"/>
          <w:szCs w:val="22"/>
        </w:rPr>
        <w:t>有效的企业法人营业执照或事业单位法人证书、组织机构代码、税务登记证（副本复印件并加盖响应人公章；按规定需要年检的，年检章要清楚）；</w:t>
      </w:r>
    </w:p>
    <w:p>
      <w:pPr>
        <w:pStyle w:val="73"/>
        <w:numPr>
          <w:ilvl w:val="0"/>
          <w:numId w:val="37"/>
        </w:numPr>
        <w:ind w:firstLineChars="0"/>
        <w:rPr>
          <w:szCs w:val="22"/>
        </w:rPr>
      </w:pPr>
      <w:r>
        <w:t xml:space="preserve">  </w:t>
      </w:r>
      <w:r>
        <w:rPr>
          <w:rFonts w:hint="eastAsia"/>
          <w:szCs w:val="22"/>
        </w:rPr>
        <w:t>三年无违法违纪申明、近</w:t>
      </w:r>
      <w:r>
        <w:rPr>
          <w:rFonts w:hint="eastAsia"/>
          <w:szCs w:val="22"/>
          <w:lang w:eastAsia="zh-CN"/>
        </w:rPr>
        <w:t>三</w:t>
      </w:r>
      <w:r>
        <w:rPr>
          <w:rFonts w:hint="eastAsia"/>
          <w:szCs w:val="22"/>
        </w:rPr>
        <w:t>个月缴纳社会保障金证明、近</w:t>
      </w:r>
      <w:r>
        <w:rPr>
          <w:rFonts w:hint="eastAsia"/>
          <w:szCs w:val="22"/>
          <w:lang w:eastAsia="zh-CN"/>
        </w:rPr>
        <w:t>一</w:t>
      </w:r>
      <w:r>
        <w:rPr>
          <w:rFonts w:hint="eastAsia"/>
          <w:szCs w:val="22"/>
        </w:rPr>
        <w:t>个月缴纳税收证明、上一年度财务审计报告（复印件须加盖响应人公章）；</w:t>
      </w:r>
    </w:p>
    <w:p>
      <w:pPr>
        <w:pStyle w:val="73"/>
        <w:numPr>
          <w:ilvl w:val="0"/>
          <w:numId w:val="37"/>
        </w:numPr>
        <w:ind w:firstLineChars="0"/>
        <w:rPr>
          <w:szCs w:val="22"/>
        </w:rPr>
      </w:pPr>
      <w:r>
        <w:t xml:space="preserve">  </w:t>
      </w:r>
      <w:r>
        <w:rPr>
          <w:rFonts w:hint="eastAsia"/>
          <w:szCs w:val="22"/>
        </w:rPr>
        <w:t>按照</w:t>
      </w:r>
      <w:r>
        <w:rPr>
          <w:szCs w:val="22"/>
        </w:rPr>
        <w:t>“</w:t>
      </w:r>
      <w:r>
        <w:rPr>
          <w:rFonts w:hint="eastAsia"/>
          <w:szCs w:val="22"/>
        </w:rPr>
        <w:t>响应人（或响应产品）资质要求</w:t>
      </w:r>
      <w:r>
        <w:rPr>
          <w:szCs w:val="22"/>
        </w:rPr>
        <w:t>”</w:t>
      </w:r>
      <w:r>
        <w:rPr>
          <w:rFonts w:hint="eastAsia"/>
          <w:szCs w:val="22"/>
        </w:rPr>
        <w:t>规定提交的相关证明文件；</w:t>
      </w:r>
    </w:p>
    <w:p>
      <w:pPr>
        <w:pStyle w:val="91"/>
        <w:numPr>
          <w:ilvl w:val="0"/>
          <w:numId w:val="37"/>
        </w:numPr>
        <w:ind w:firstLineChars="0"/>
        <w:rPr>
          <w:rFonts w:ascii="Times New Roman" w:hAnsi="Times New Roman"/>
        </w:rPr>
      </w:pPr>
      <w:r>
        <w:rPr>
          <w:rFonts w:ascii="Times New Roman" w:hAnsi="Times New Roman"/>
        </w:rPr>
        <w:t xml:space="preserve">  </w:t>
      </w:r>
      <w:r>
        <w:rPr>
          <w:rFonts w:hint="eastAsia" w:ascii="Times New Roman" w:hAnsi="Times New Roman"/>
        </w:rPr>
        <w:t>业绩证明材料：（案例、合同介绍及相关证明材料）；</w:t>
      </w:r>
    </w:p>
    <w:p>
      <w:pPr>
        <w:pStyle w:val="91"/>
        <w:numPr>
          <w:ilvl w:val="0"/>
          <w:numId w:val="37"/>
        </w:numPr>
        <w:ind w:firstLineChars="0"/>
        <w:rPr>
          <w:rFonts w:ascii="Times New Roman" w:hAnsi="Times New Roman"/>
        </w:rPr>
      </w:pPr>
      <w:r>
        <w:rPr>
          <w:rFonts w:ascii="Times New Roman" w:hAnsi="Times New Roman"/>
        </w:rPr>
        <w:t xml:space="preserve">  </w:t>
      </w:r>
      <w:r>
        <w:fldChar w:fldCharType="begin"/>
      </w:r>
      <w:r>
        <w:instrText xml:space="preserve"> REF _Ref477454981 \h  \* MERGEFORMAT </w:instrText>
      </w:r>
      <w:r>
        <w:fldChar w:fldCharType="separate"/>
      </w:r>
      <w:r>
        <w:rPr>
          <w:rFonts w:hint="eastAsia" w:ascii="Times New Roman" w:hAnsi="Times New Roman"/>
        </w:rPr>
        <w:t>商务条款偏离表</w:t>
      </w:r>
      <w:r>
        <w:fldChar w:fldCharType="end"/>
      </w:r>
      <w:r>
        <w:rPr>
          <w:rFonts w:hint="eastAsia" w:ascii="Times New Roman" w:hAnsi="Times New Roman"/>
        </w:rPr>
        <w:t>：见</w:t>
      </w:r>
      <w:r>
        <w:fldChar w:fldCharType="begin"/>
      </w:r>
      <w:r>
        <w:instrText xml:space="preserve"> REF _Ref477454981 \r \h  \* MERGEFORMAT </w:instrText>
      </w:r>
      <w:r>
        <w:fldChar w:fldCharType="separate"/>
      </w:r>
      <w:r>
        <w:rPr>
          <w:rFonts w:ascii="Times New Roman" w:hAnsi="Times New Roman"/>
        </w:rPr>
        <w:t>附件4</w:t>
      </w:r>
      <w:r>
        <w:fldChar w:fldCharType="end"/>
      </w:r>
      <w:r>
        <w:rPr>
          <w:rFonts w:hint="eastAsia" w:ascii="Times New Roman" w:hAnsi="Times New Roman"/>
        </w:rPr>
        <w:t>；</w:t>
      </w:r>
    </w:p>
    <w:p>
      <w:pPr>
        <w:pStyle w:val="73"/>
        <w:numPr>
          <w:ilvl w:val="0"/>
          <w:numId w:val="37"/>
        </w:numPr>
        <w:ind w:firstLineChars="0"/>
      </w:pPr>
      <w:r>
        <w:rPr>
          <w:szCs w:val="22"/>
        </w:rPr>
        <w:t xml:space="preserve">  </w:t>
      </w:r>
      <w:r>
        <w:rPr>
          <w:rFonts w:hint="eastAsia"/>
          <w:szCs w:val="22"/>
        </w:rPr>
        <w:t>响应人认为需要提供的其他商务资料；</w:t>
      </w:r>
    </w:p>
    <w:p>
      <w:pPr>
        <w:pStyle w:val="73"/>
        <w:numPr>
          <w:ilvl w:val="0"/>
          <w:numId w:val="37"/>
        </w:numPr>
        <w:ind w:firstLineChars="0"/>
      </w:pPr>
      <w:r>
        <w:t xml:space="preserve">  </w:t>
      </w:r>
      <w:r>
        <w:fldChar w:fldCharType="begin"/>
      </w:r>
      <w:r>
        <w:instrText xml:space="preserve"> REF _Ref477454967 \h  \* MERGEFORMAT </w:instrText>
      </w:r>
      <w:r>
        <w:fldChar w:fldCharType="separate"/>
      </w:r>
      <w:r>
        <w:rPr>
          <w:rFonts w:hint="eastAsia"/>
        </w:rPr>
        <w:t>报价一览表</w:t>
      </w:r>
      <w:r>
        <w:fldChar w:fldCharType="end"/>
      </w:r>
      <w:r>
        <w:rPr>
          <w:rFonts w:hint="eastAsia"/>
        </w:rPr>
        <w:t>：见</w:t>
      </w:r>
      <w:r>
        <w:fldChar w:fldCharType="begin"/>
      </w:r>
      <w:r>
        <w:instrText xml:space="preserve"> REF _Ref477454967 \r \h  \* MERGEFORMAT </w:instrText>
      </w:r>
      <w:r>
        <w:fldChar w:fldCharType="separate"/>
      </w:r>
      <w:r>
        <w:rPr>
          <w:rFonts w:hint="eastAsia"/>
        </w:rPr>
        <w:t>附件5</w:t>
      </w:r>
      <w:r>
        <w:fldChar w:fldCharType="end"/>
      </w:r>
      <w:r>
        <w:rPr>
          <w:rFonts w:hint="eastAsia"/>
        </w:rPr>
        <w:t>；</w:t>
      </w:r>
    </w:p>
    <w:p>
      <w:pPr>
        <w:pStyle w:val="73"/>
        <w:numPr>
          <w:ilvl w:val="0"/>
          <w:numId w:val="37"/>
        </w:numPr>
        <w:ind w:firstLineChars="0"/>
      </w:pPr>
      <w:r>
        <w:t xml:space="preserve">  </w:t>
      </w:r>
      <w:r>
        <w:tab/>
      </w:r>
      <w:r>
        <w:rPr>
          <w:rFonts w:hint="eastAsia"/>
        </w:rPr>
        <w:t>响应人自行编写的技术文件，包括但不限于：</w:t>
      </w:r>
    </w:p>
    <w:p>
      <w:pPr>
        <w:numPr>
          <w:ilvl w:val="0"/>
          <w:numId w:val="38"/>
        </w:numPr>
        <w:spacing w:line="400" w:lineRule="exact"/>
        <w:textAlignment w:val="auto"/>
        <w:rPr>
          <w:sz w:val="21"/>
          <w:szCs w:val="21"/>
        </w:rPr>
      </w:pPr>
      <w:r>
        <w:rPr>
          <w:rFonts w:hint="eastAsia"/>
          <w:sz w:val="21"/>
          <w:szCs w:val="21"/>
        </w:rPr>
        <w:t>技术部分的点对点应答。应答内容应按照磋商文件技术部分需求中的要求进行应答（详见磋商文件技术部分）；</w:t>
      </w:r>
    </w:p>
    <w:p>
      <w:pPr>
        <w:numPr>
          <w:ilvl w:val="0"/>
          <w:numId w:val="38"/>
        </w:numPr>
        <w:spacing w:line="400" w:lineRule="exact"/>
        <w:textAlignment w:val="auto"/>
        <w:rPr>
          <w:sz w:val="21"/>
          <w:szCs w:val="21"/>
        </w:rPr>
      </w:pPr>
      <w:r>
        <w:rPr>
          <w:rFonts w:hint="eastAsia"/>
          <w:sz w:val="21"/>
          <w:szCs w:val="21"/>
        </w:rPr>
        <w:t>服务方案和项目时间安排；</w:t>
      </w:r>
    </w:p>
    <w:p>
      <w:pPr>
        <w:numPr>
          <w:ilvl w:val="0"/>
          <w:numId w:val="38"/>
        </w:numPr>
        <w:spacing w:line="400" w:lineRule="exact"/>
        <w:textAlignment w:val="auto"/>
        <w:rPr>
          <w:sz w:val="21"/>
          <w:szCs w:val="21"/>
        </w:rPr>
      </w:pPr>
      <w:r>
        <w:rPr>
          <w:rFonts w:hint="eastAsia"/>
          <w:sz w:val="21"/>
          <w:szCs w:val="21"/>
        </w:rPr>
        <w:t>项目参与人员简介；</w:t>
      </w:r>
    </w:p>
    <w:p>
      <w:pPr>
        <w:numPr>
          <w:ilvl w:val="0"/>
          <w:numId w:val="38"/>
        </w:numPr>
        <w:spacing w:line="400" w:lineRule="exact"/>
        <w:textAlignment w:val="auto"/>
        <w:rPr>
          <w:sz w:val="21"/>
          <w:szCs w:val="21"/>
        </w:rPr>
      </w:pPr>
      <w:r>
        <w:rPr>
          <w:rFonts w:hint="eastAsia"/>
          <w:sz w:val="21"/>
          <w:szCs w:val="21"/>
        </w:rPr>
        <w:t>技术规格响应；</w:t>
      </w:r>
    </w:p>
    <w:p>
      <w:pPr>
        <w:numPr>
          <w:ilvl w:val="0"/>
          <w:numId w:val="38"/>
        </w:numPr>
        <w:spacing w:line="400" w:lineRule="exact"/>
        <w:textAlignment w:val="auto"/>
        <w:rPr>
          <w:sz w:val="21"/>
          <w:szCs w:val="21"/>
        </w:rPr>
      </w:pPr>
      <w:r>
        <w:rPr>
          <w:rFonts w:hint="eastAsia"/>
          <w:sz w:val="21"/>
          <w:szCs w:val="21"/>
        </w:rPr>
        <w:t>响应人所提供的服务，应符合本文件中提出的要求，如响应人对技术规格提出合理建议或更改，应在响应服务项目偏离表中注明。如未附任何表示与磋商文件所要求的技术规范存在偏差的偏离表，则表示提供的服务与磋商文件中的要求完全符合；</w:t>
      </w:r>
    </w:p>
    <w:p>
      <w:pPr>
        <w:numPr>
          <w:ilvl w:val="0"/>
          <w:numId w:val="38"/>
        </w:numPr>
        <w:spacing w:line="400" w:lineRule="exact"/>
        <w:textAlignment w:val="auto"/>
        <w:rPr>
          <w:sz w:val="21"/>
          <w:szCs w:val="21"/>
        </w:rPr>
      </w:pPr>
      <w:r>
        <w:rPr>
          <w:rFonts w:hint="eastAsia"/>
          <w:sz w:val="21"/>
          <w:szCs w:val="21"/>
        </w:rPr>
        <w:t>服务网点、服务环境及路线；</w:t>
      </w:r>
    </w:p>
    <w:p>
      <w:pPr>
        <w:numPr>
          <w:ilvl w:val="0"/>
          <w:numId w:val="38"/>
        </w:numPr>
        <w:spacing w:line="400" w:lineRule="exact"/>
        <w:textAlignment w:val="auto"/>
        <w:rPr>
          <w:sz w:val="21"/>
          <w:szCs w:val="21"/>
        </w:rPr>
      </w:pPr>
      <w:r>
        <w:rPr>
          <w:rFonts w:hint="eastAsia"/>
          <w:sz w:val="21"/>
          <w:szCs w:val="21"/>
        </w:rPr>
        <w:t>项目组织实施保障方案；</w:t>
      </w:r>
    </w:p>
    <w:p>
      <w:pPr>
        <w:numPr>
          <w:ilvl w:val="0"/>
          <w:numId w:val="38"/>
        </w:numPr>
        <w:spacing w:line="400" w:lineRule="exact"/>
        <w:textAlignment w:val="auto"/>
        <w:rPr>
          <w:sz w:val="21"/>
          <w:szCs w:val="21"/>
        </w:rPr>
      </w:pPr>
      <w:r>
        <w:rPr>
          <w:rFonts w:hint="eastAsia"/>
          <w:sz w:val="21"/>
          <w:szCs w:val="21"/>
        </w:rPr>
        <w:t>应急预案；</w:t>
      </w:r>
    </w:p>
    <w:p>
      <w:pPr>
        <w:numPr>
          <w:ilvl w:val="0"/>
          <w:numId w:val="38"/>
        </w:numPr>
        <w:spacing w:line="400" w:lineRule="exact"/>
        <w:textAlignment w:val="auto"/>
        <w:rPr>
          <w:sz w:val="21"/>
          <w:szCs w:val="21"/>
        </w:rPr>
      </w:pPr>
      <w:r>
        <w:rPr>
          <w:rFonts w:hint="eastAsia"/>
          <w:sz w:val="21"/>
          <w:szCs w:val="21"/>
        </w:rPr>
        <w:t>节能减排方案；</w:t>
      </w:r>
    </w:p>
    <w:p>
      <w:pPr>
        <w:numPr>
          <w:ilvl w:val="0"/>
          <w:numId w:val="38"/>
        </w:numPr>
        <w:spacing w:line="400" w:lineRule="exact"/>
        <w:textAlignment w:val="auto"/>
        <w:rPr>
          <w:sz w:val="21"/>
          <w:szCs w:val="21"/>
        </w:rPr>
      </w:pPr>
      <w:r>
        <w:rPr>
          <w:rFonts w:hint="eastAsia"/>
          <w:sz w:val="21"/>
          <w:szCs w:val="21"/>
        </w:rPr>
        <w:t>其他需要说明的问题。</w:t>
      </w:r>
    </w:p>
    <w:p>
      <w:pPr>
        <w:pStyle w:val="73"/>
        <w:numPr>
          <w:ilvl w:val="0"/>
          <w:numId w:val="37"/>
        </w:numPr>
        <w:ind w:firstLineChars="0"/>
      </w:pPr>
      <w:r>
        <w:t xml:space="preserve">  </w:t>
      </w:r>
      <w:r>
        <w:fldChar w:fldCharType="begin"/>
      </w:r>
      <w:r>
        <w:instrText xml:space="preserve"> REF _Ref477454972 \h  \* MERGEFORMAT </w:instrText>
      </w:r>
      <w:r>
        <w:fldChar w:fldCharType="separate"/>
      </w:r>
      <w:r>
        <w:rPr>
          <w:rFonts w:hint="eastAsia"/>
        </w:rPr>
        <w:t>响应人货物、服务项目偏离表</w:t>
      </w:r>
      <w:r>
        <w:fldChar w:fldCharType="end"/>
      </w:r>
      <w:r>
        <w:rPr>
          <w:rFonts w:hint="eastAsia"/>
        </w:rPr>
        <w:t>：见</w:t>
      </w:r>
      <w:r>
        <w:fldChar w:fldCharType="begin"/>
      </w:r>
      <w:r>
        <w:instrText xml:space="preserve"> REF _Ref477454972 \r \h  \* MERGEFORMAT </w:instrText>
      </w:r>
      <w:r>
        <w:fldChar w:fldCharType="separate"/>
      </w:r>
      <w:r>
        <w:rPr>
          <w:rFonts w:hint="eastAsia"/>
        </w:rPr>
        <w:t>附件6</w:t>
      </w:r>
      <w:r>
        <w:fldChar w:fldCharType="end"/>
      </w:r>
      <w:r>
        <w:rPr>
          <w:rFonts w:hint="eastAsia"/>
        </w:rPr>
        <w:t>；</w:t>
      </w:r>
    </w:p>
    <w:p>
      <w:pPr>
        <w:pStyle w:val="73"/>
        <w:numPr>
          <w:ilvl w:val="0"/>
          <w:numId w:val="37"/>
        </w:numPr>
        <w:ind w:firstLineChars="0"/>
      </w:pPr>
      <w:r>
        <w:rPr>
          <w:rFonts w:hint="eastAsia"/>
        </w:rPr>
        <w:t>本文件要求提供的和响应人认为需要提供的其他说明和资料。</w:t>
      </w:r>
    </w:p>
    <w:p>
      <w:pPr>
        <w:widowControl/>
        <w:adjustRightInd/>
        <w:spacing w:line="240" w:lineRule="auto"/>
        <w:textAlignment w:val="auto"/>
      </w:pPr>
      <w:r>
        <w:br w:type="page"/>
      </w:r>
    </w:p>
    <w:p>
      <w:pPr>
        <w:pStyle w:val="44"/>
        <w:numPr>
          <w:ilvl w:val="0"/>
          <w:numId w:val="39"/>
        </w:numPr>
        <w:adjustRightInd/>
        <w:spacing w:line="415" w:lineRule="auto"/>
        <w:ind w:left="420"/>
        <w:jc w:val="both"/>
        <w:textAlignment w:val="auto"/>
        <w:rPr>
          <w:kern w:val="2"/>
        </w:rPr>
      </w:pPr>
      <w:bookmarkStart w:id="81" w:name="_Ref477452230"/>
      <w:bookmarkStart w:id="82" w:name="_Toc86202634"/>
      <w:r>
        <w:rPr>
          <w:kern w:val="2"/>
        </w:rPr>
        <w:t xml:space="preserve">  </w:t>
      </w:r>
      <w:bookmarkStart w:id="83" w:name="_Toc486583488"/>
      <w:r>
        <w:rPr>
          <w:rFonts w:hint="eastAsia"/>
          <w:kern w:val="2"/>
        </w:rPr>
        <w:t>响应确认函</w:t>
      </w:r>
      <w:bookmarkEnd w:id="81"/>
      <w:bookmarkEnd w:id="83"/>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p>
    <w:p>
      <w:pPr>
        <w:pBdr>
          <w:top w:val="dashed" w:color="auto" w:sz="4" w:space="1"/>
          <w:left w:val="dashed" w:color="auto" w:sz="4" w:space="4"/>
          <w:bottom w:val="dashed" w:color="auto" w:sz="4" w:space="1"/>
          <w:right w:val="dashed" w:color="auto" w:sz="4" w:space="4"/>
        </w:pBdr>
        <w:spacing w:after="240" w:afterLines="100" w:line="400" w:lineRule="exact"/>
        <w:rPr>
          <w:sz w:val="21"/>
          <w:szCs w:val="21"/>
        </w:rPr>
      </w:pPr>
      <w:r>
        <w:rPr>
          <w:rFonts w:hint="eastAsia"/>
          <w:sz w:val="21"/>
          <w:szCs w:val="21"/>
        </w:rPr>
        <w:t>中央财经大学</w:t>
      </w:r>
      <w:r>
        <w:rPr>
          <w:sz w:val="21"/>
          <w:szCs w:val="21"/>
        </w:rPr>
        <w:t xml:space="preserve"> </w:t>
      </w:r>
      <w:r>
        <w:rPr>
          <w:rFonts w:hint="eastAsia"/>
          <w:sz w:val="21"/>
          <w:szCs w:val="21"/>
        </w:rPr>
        <w:t>招标与采购事务中心：</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rFonts w:hint="eastAsia"/>
          <w:sz w:val="21"/>
          <w:szCs w:val="21"/>
        </w:rPr>
        <w:t>本单位在认真阅读、全面理解磋商文件所有内容与要求的基础上，确定将于</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szCs w:val="21"/>
        </w:rPr>
        <w:t>点</w:t>
      </w:r>
      <w:r>
        <w:rPr>
          <w:szCs w:val="21"/>
        </w:rPr>
        <w:t xml:space="preserve">  </w:t>
      </w:r>
      <w:r>
        <w:rPr>
          <w:rFonts w:hint="eastAsia"/>
          <w:szCs w:val="21"/>
        </w:rPr>
        <w:t>分，</w:t>
      </w:r>
      <w:r>
        <w:rPr>
          <w:rFonts w:hint="eastAsia"/>
          <w:sz w:val="21"/>
          <w:szCs w:val="21"/>
        </w:rPr>
        <w:t>在中央财经大学办公楼</w:t>
      </w:r>
      <w:r>
        <w:rPr>
          <w:sz w:val="21"/>
          <w:szCs w:val="21"/>
        </w:rPr>
        <w:t>309</w:t>
      </w:r>
      <w:r>
        <w:rPr>
          <w:rFonts w:hint="eastAsia"/>
          <w:sz w:val="21"/>
          <w:szCs w:val="21"/>
        </w:rPr>
        <w:t>室，参与</w:t>
      </w:r>
      <w:r>
        <w:fldChar w:fldCharType="begin"/>
      </w:r>
      <w:r>
        <w:instrText xml:space="preserve"> REF 项目名称 \h  \* MERGEFORMAT </w:instrText>
      </w:r>
      <w:r>
        <w:fldChar w:fldCharType="separate"/>
      </w:r>
      <w:r>
        <w:rPr>
          <w:sz w:val="21"/>
          <w:szCs w:val="21"/>
        </w:rPr>
        <w:t>中央财经大学</w:t>
      </w:r>
      <w:r>
        <w:rPr>
          <w:rFonts w:hint="eastAsia"/>
          <w:sz w:val="21"/>
          <w:szCs w:val="21"/>
        </w:rPr>
        <w:t>沙河校区图书馆</w:t>
      </w:r>
      <w:r>
        <w:rPr>
          <w:sz w:val="21"/>
          <w:szCs w:val="21"/>
        </w:rPr>
        <w:t>电梯维保服务采购项目</w:t>
      </w:r>
      <w:r>
        <w:fldChar w:fldCharType="end"/>
      </w:r>
      <w:r>
        <w:rPr>
          <w:rFonts w:hint="eastAsia"/>
          <w:sz w:val="21"/>
          <w:szCs w:val="21"/>
        </w:rPr>
        <w:t>的磋商，项目编号：</w:t>
      </w:r>
      <w:r>
        <w:rPr>
          <w:sz w:val="21"/>
          <w:szCs w:val="21"/>
        </w:rPr>
        <w:t xml:space="preserve">JC-          </w:t>
      </w:r>
      <w:r>
        <w:rPr>
          <w:rFonts w:hint="eastAsia"/>
          <w:sz w:val="21"/>
          <w:szCs w:val="21"/>
        </w:rPr>
        <w:t>，特发函确认。</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rFonts w:hint="eastAsia"/>
          <w:sz w:val="21"/>
          <w:szCs w:val="21"/>
        </w:rPr>
        <w:t>单位名称：</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rFonts w:hint="eastAsia"/>
          <w:sz w:val="21"/>
          <w:szCs w:val="21"/>
        </w:rPr>
        <w:t>联系电话：</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rFonts w:hint="eastAsia"/>
          <w:sz w:val="21"/>
          <w:szCs w:val="21"/>
        </w:rPr>
        <w:t>法人授权代表（响应人代表）：</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rFonts w:hint="eastAsia"/>
          <w:sz w:val="21"/>
          <w:szCs w:val="21"/>
        </w:rPr>
        <w:t>联系电话（手机）：</w:t>
      </w:r>
    </w:p>
    <w:p>
      <w:pPr>
        <w:pBdr>
          <w:top w:val="dashed" w:color="auto" w:sz="4" w:space="1"/>
          <w:left w:val="dashed" w:color="auto" w:sz="4" w:space="4"/>
          <w:bottom w:val="dashed" w:color="auto" w:sz="4" w:space="1"/>
          <w:right w:val="dashed" w:color="auto" w:sz="4" w:space="4"/>
        </w:pBdr>
        <w:spacing w:line="400" w:lineRule="exact"/>
        <w:rPr>
          <w:sz w:val="21"/>
          <w:szCs w:val="21"/>
        </w:rPr>
      </w:pPr>
    </w:p>
    <w:p>
      <w:pPr>
        <w:pBdr>
          <w:top w:val="dashed" w:color="auto" w:sz="4" w:space="1"/>
          <w:left w:val="dashed" w:color="auto" w:sz="4" w:space="4"/>
          <w:bottom w:val="dashed" w:color="auto" w:sz="4" w:space="1"/>
          <w:right w:val="dashed" w:color="auto" w:sz="4" w:space="4"/>
        </w:pBdr>
        <w:spacing w:line="400" w:lineRule="exact"/>
        <w:jc w:val="right"/>
        <w:rPr>
          <w:sz w:val="21"/>
          <w:szCs w:val="21"/>
        </w:rPr>
      </w:pPr>
      <w:r>
        <w:rPr>
          <w:rFonts w:hint="eastAsia"/>
          <w:sz w:val="21"/>
          <w:szCs w:val="21"/>
        </w:rPr>
        <w:t>（单位公章）：</w:t>
      </w:r>
      <w:r>
        <w:rPr>
          <w:sz w:val="21"/>
          <w:szCs w:val="21"/>
        </w:rPr>
        <w:t xml:space="preserve"> </w:t>
      </w:r>
    </w:p>
    <w:p>
      <w:pPr>
        <w:pBdr>
          <w:top w:val="dashed" w:color="auto" w:sz="4" w:space="1"/>
          <w:left w:val="dashed" w:color="auto" w:sz="4" w:space="4"/>
          <w:bottom w:val="dashed" w:color="auto" w:sz="4" w:space="1"/>
          <w:right w:val="dashed" w:color="auto" w:sz="4" w:space="4"/>
        </w:pBdr>
        <w:spacing w:line="400" w:lineRule="exact"/>
        <w:jc w:val="right"/>
        <w:rPr>
          <w:sz w:val="21"/>
          <w:szCs w:val="21"/>
        </w:rPr>
      </w:pP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pPr>
        <w:pStyle w:val="91"/>
        <w:rPr>
          <w:rFonts w:ascii="Times New Roman" w:hAnsi="Times New Roman"/>
        </w:rPr>
      </w:pPr>
      <w:r>
        <w:rPr>
          <w:rFonts w:ascii="Times New Roman" w:hAnsi="Times New Roman"/>
        </w:rPr>
        <w:fldChar w:fldCharType="begin"/>
      </w:r>
      <w:r>
        <w:rPr>
          <w:rFonts w:ascii="Times New Roman" w:hAnsi="Times New Roman"/>
        </w:rPr>
        <w:instrText xml:space="preserve"> REF </w:instrText>
      </w:r>
      <w:r>
        <w:rPr>
          <w:rFonts w:hint="eastAsia" w:ascii="Times New Roman" w:hAnsi="Times New Roman"/>
        </w:rPr>
        <w:instrText xml:space="preserve">确认函说明</w:instrText>
      </w:r>
      <w:r>
        <w:rPr>
          <w:rFonts w:ascii="Times New Roman" w:hAnsi="Times New Roman"/>
        </w:rPr>
        <w:instrText xml:space="preserve"> \h  \* MERGEFORMAT </w:instrText>
      </w:r>
      <w:r>
        <w:rPr>
          <w:rFonts w:ascii="Times New Roman" w:hAnsi="Times New Roman"/>
        </w:rPr>
        <w:fldChar w:fldCharType="separate"/>
      </w:r>
      <w:r>
        <w:rPr>
          <w:rFonts w:hint="eastAsia" w:ascii="Times New Roman" w:hAnsi="Times New Roman"/>
        </w:rPr>
        <w:t>请确认参加磋商的供应商于2017年9月 22日</w:t>
      </w:r>
      <w:r>
        <w:rPr>
          <w:rFonts w:ascii="Times New Roman" w:hAnsi="Times New Roman"/>
        </w:rPr>
        <w:t>15:00</w:t>
      </w:r>
      <w:r>
        <w:rPr>
          <w:rFonts w:hint="eastAsia" w:ascii="Times New Roman" w:hAnsi="Times New Roman"/>
        </w:rPr>
        <w:t>前传真至我单位，同时将盖章扫描件发送至邮箱：</w:t>
      </w:r>
      <w:r>
        <w:rPr>
          <w:rFonts w:ascii="Times New Roman" w:hAnsi="Times New Roman"/>
        </w:rPr>
        <w:t>cgzx@cufe.edu.cn</w:t>
      </w:r>
      <w:r>
        <w:rPr>
          <w:rFonts w:hint="eastAsia" w:ascii="Times New Roman" w:hAnsi="Times New Roman"/>
        </w:rPr>
        <w:t>，邮件主题为</w:t>
      </w:r>
      <w:r>
        <w:rPr>
          <w:rFonts w:ascii="Times New Roman" w:hAnsi="Times New Roman"/>
        </w:rPr>
        <w:t>“</w:t>
      </w:r>
      <w:r>
        <w:rPr>
          <w:rFonts w:hint="eastAsia" w:ascii="Times New Roman" w:hAnsi="Times New Roman"/>
        </w:rPr>
        <w:t>磋商确认函</w:t>
      </w:r>
      <w:r>
        <w:rPr>
          <w:rFonts w:ascii="Times New Roman" w:hAnsi="Times New Roman"/>
        </w:rPr>
        <w:t>+</w:t>
      </w:r>
      <w:r>
        <w:rPr>
          <w:rFonts w:hint="eastAsia" w:ascii="Times New Roman" w:hAnsi="Times New Roman"/>
        </w:rPr>
        <w:t>公司简称</w:t>
      </w:r>
      <w:r>
        <w:rPr>
          <w:rFonts w:ascii="Times New Roman" w:hAnsi="Times New Roman"/>
        </w:rPr>
        <w:t>+</w:t>
      </w:r>
      <w:r>
        <w:rPr>
          <w:rFonts w:hint="eastAsia" w:ascii="Times New Roman" w:hAnsi="Times New Roman"/>
        </w:rPr>
        <w:t>项目名称</w:t>
      </w:r>
      <w:r>
        <w:rPr>
          <w:rFonts w:ascii="Times New Roman" w:hAnsi="Times New Roman"/>
        </w:rPr>
        <w:t>+</w:t>
      </w:r>
      <w:r>
        <w:rPr>
          <w:rFonts w:hint="eastAsia" w:ascii="Times New Roman" w:hAnsi="Times New Roman"/>
        </w:rPr>
        <w:t>项目编号</w:t>
      </w:r>
      <w:r>
        <w:rPr>
          <w:rFonts w:ascii="Times New Roman" w:hAnsi="Times New Roman"/>
        </w:rPr>
        <w:t>”</w:t>
      </w:r>
      <w:r>
        <w:rPr>
          <w:rFonts w:hint="eastAsia" w:ascii="Times New Roman" w:hAnsi="Times New Roman"/>
        </w:rPr>
        <w:t>。</w:t>
      </w:r>
    </w:p>
    <w:p>
      <w:pPr>
        <w:pStyle w:val="79"/>
        <w:spacing w:before="0" w:after="0" w:line="400" w:lineRule="exact"/>
        <w:ind w:left="0" w:leftChars="0" w:firstLine="480"/>
        <w:rPr>
          <w:sz w:val="21"/>
          <w:szCs w:val="21"/>
        </w:rPr>
      </w:pPr>
      <w:r>
        <w:fldChar w:fldCharType="end"/>
      </w:r>
      <w:r>
        <w:fldChar w:fldCharType="begin"/>
      </w:r>
      <w:r>
        <w:instrText xml:space="preserve"> REF </w:instrText>
      </w:r>
      <w:r>
        <w:rPr>
          <w:rFonts w:hint="eastAsia"/>
        </w:rPr>
        <w:instrText xml:space="preserve">项目联系信息</w:instrText>
      </w:r>
      <w:r>
        <w:instrText xml:space="preserve"> \h  \* MERGEFORMAT </w:instrText>
      </w:r>
      <w:r>
        <w:fldChar w:fldCharType="separate"/>
      </w:r>
      <w:r>
        <w:rPr>
          <w:rFonts w:hint="eastAsia"/>
          <w:sz w:val="21"/>
          <w:szCs w:val="21"/>
        </w:rPr>
        <w:t>联系人：闫老师，王老师</w:t>
      </w:r>
    </w:p>
    <w:p>
      <w:pPr>
        <w:pStyle w:val="79"/>
        <w:spacing w:before="0" w:after="0" w:line="400" w:lineRule="exact"/>
        <w:ind w:left="0" w:leftChars="0" w:firstLine="420"/>
        <w:rPr>
          <w:sz w:val="21"/>
          <w:szCs w:val="21"/>
        </w:rPr>
      </w:pPr>
      <w:r>
        <w:rPr>
          <w:rFonts w:hint="eastAsia"/>
          <w:sz w:val="21"/>
          <w:szCs w:val="21"/>
        </w:rPr>
        <w:t>联系电话：</w:t>
      </w:r>
      <w:r>
        <w:rPr>
          <w:sz w:val="21"/>
          <w:szCs w:val="21"/>
        </w:rPr>
        <w:t>010-62289113</w:t>
      </w:r>
      <w:r>
        <w:rPr>
          <w:rFonts w:hint="eastAsia"/>
          <w:sz w:val="21"/>
          <w:szCs w:val="21"/>
        </w:rPr>
        <w:t>，</w:t>
      </w:r>
      <w:r>
        <w:rPr>
          <w:sz w:val="21"/>
          <w:szCs w:val="21"/>
        </w:rPr>
        <w:t>010-62288705</w:t>
      </w:r>
    </w:p>
    <w:p>
      <w:pPr>
        <w:pStyle w:val="79"/>
        <w:spacing w:before="0" w:after="0" w:line="400" w:lineRule="exact"/>
        <w:ind w:left="0" w:leftChars="0" w:firstLine="420"/>
        <w:rPr>
          <w:sz w:val="21"/>
          <w:szCs w:val="21"/>
        </w:rPr>
      </w:pPr>
      <w:r>
        <w:rPr>
          <w:rFonts w:hint="eastAsia"/>
          <w:sz w:val="21"/>
          <w:szCs w:val="21"/>
        </w:rPr>
        <w:t>传真电话：</w:t>
      </w:r>
      <w:r>
        <w:rPr>
          <w:sz w:val="21"/>
          <w:szCs w:val="21"/>
        </w:rPr>
        <w:t>010-62288705</w:t>
      </w:r>
      <w:r>
        <w:rPr>
          <w:rFonts w:hint="eastAsia"/>
          <w:sz w:val="21"/>
          <w:szCs w:val="21"/>
        </w:rPr>
        <w:t>（可自动接收传真）</w:t>
      </w:r>
    </w:p>
    <w:p>
      <w:pPr>
        <w:pStyle w:val="79"/>
        <w:spacing w:before="0" w:after="0" w:line="400" w:lineRule="exact"/>
        <w:ind w:left="0" w:leftChars="0" w:firstLine="420"/>
        <w:rPr>
          <w:sz w:val="21"/>
          <w:szCs w:val="21"/>
        </w:rPr>
      </w:pPr>
      <w:r>
        <w:rPr>
          <w:rFonts w:hint="eastAsia"/>
          <w:sz w:val="21"/>
          <w:szCs w:val="21"/>
        </w:rPr>
        <w:t>联系邮箱：</w:t>
      </w:r>
      <w:r>
        <w:rPr>
          <w:sz w:val="21"/>
          <w:szCs w:val="21"/>
        </w:rPr>
        <w:t>cgzx</w:t>
      </w:r>
      <w:r>
        <w:t>@cufe.edu.cn</w:t>
      </w:r>
      <w:r>
        <w:rPr>
          <w:sz w:val="21"/>
          <w:szCs w:val="21"/>
        </w:rPr>
        <w:t xml:space="preserve"> </w:t>
      </w:r>
    </w:p>
    <w:p>
      <w:pPr>
        <w:pStyle w:val="79"/>
        <w:spacing w:before="0" w:after="0" w:line="400" w:lineRule="exact"/>
        <w:ind w:left="0" w:leftChars="0" w:firstLine="480"/>
        <w:rPr>
          <w:sz w:val="21"/>
          <w:szCs w:val="21"/>
        </w:rPr>
      </w:pPr>
      <w:r>
        <w:fldChar w:fldCharType="end"/>
      </w:r>
    </w:p>
    <w:p>
      <w:pPr>
        <w:widowControl/>
        <w:adjustRightInd/>
        <w:spacing w:line="240" w:lineRule="auto"/>
        <w:textAlignment w:val="auto"/>
        <w:rPr>
          <w:sz w:val="21"/>
          <w:szCs w:val="21"/>
        </w:rPr>
      </w:pPr>
      <w:r>
        <w:rPr>
          <w:sz w:val="21"/>
          <w:szCs w:val="21"/>
        </w:rPr>
        <w:br w:type="page"/>
      </w:r>
    </w:p>
    <w:p>
      <w:pPr>
        <w:pStyle w:val="44"/>
        <w:numPr>
          <w:ilvl w:val="0"/>
          <w:numId w:val="39"/>
        </w:numPr>
        <w:adjustRightInd/>
        <w:spacing w:line="415" w:lineRule="auto"/>
        <w:ind w:left="420"/>
        <w:jc w:val="both"/>
        <w:textAlignment w:val="auto"/>
        <w:rPr>
          <w:kern w:val="2"/>
        </w:rPr>
      </w:pPr>
      <w:bookmarkStart w:id="84" w:name="_Ref477452364"/>
      <w:r>
        <w:rPr>
          <w:kern w:val="2"/>
        </w:rPr>
        <w:t xml:space="preserve">  </w:t>
      </w:r>
      <w:bookmarkStart w:id="85" w:name="_Toc486583489"/>
      <w:r>
        <w:rPr>
          <w:rFonts w:hint="eastAsia"/>
          <w:kern w:val="2"/>
        </w:rPr>
        <w:t>响应函</w:t>
      </w:r>
      <w:bookmarkEnd w:id="82"/>
      <w:bookmarkEnd w:id="84"/>
      <w:bookmarkEnd w:id="85"/>
    </w:p>
    <w:p>
      <w:pPr>
        <w:pStyle w:val="91"/>
        <w:rPr>
          <w:rFonts w:ascii="Times New Roman" w:hAnsi="Times New Roman"/>
        </w:rPr>
      </w:pPr>
      <w:r>
        <w:rPr>
          <w:rFonts w:hint="eastAsia" w:ascii="Times New Roman" w:hAnsi="Times New Roman"/>
        </w:rPr>
        <w:t>致中央财经大学：</w:t>
      </w:r>
    </w:p>
    <w:p>
      <w:pPr>
        <w:spacing w:line="400" w:lineRule="exact"/>
        <w:ind w:firstLine="420" w:firstLineChars="200"/>
        <w:rPr>
          <w:sz w:val="21"/>
          <w:szCs w:val="21"/>
        </w:rPr>
      </w:pPr>
      <w:r>
        <w:rPr>
          <w:rFonts w:hint="eastAsia"/>
          <w:sz w:val="21"/>
          <w:szCs w:val="21"/>
        </w:rPr>
        <w:t>（响应人全称）授权（响应人代表姓名）（职务、职称）为我方代表，参加贵方组织的（项目名称、项目编号、包号）磋商的有关活动，并对此项目进行响应。为此：</w:t>
      </w:r>
    </w:p>
    <w:p>
      <w:pPr>
        <w:spacing w:line="400" w:lineRule="exact"/>
        <w:ind w:firstLine="420" w:firstLineChars="200"/>
        <w:rPr>
          <w:sz w:val="21"/>
          <w:szCs w:val="21"/>
        </w:rPr>
      </w:pPr>
      <w:r>
        <w:rPr>
          <w:rFonts w:hint="eastAsia"/>
          <w:sz w:val="21"/>
          <w:szCs w:val="21"/>
        </w:rPr>
        <w:t>我方承诺：具备《中华人民共和国政府采购法》中规定的参加政府采购活动的供应商应当具备的条件：</w:t>
      </w:r>
    </w:p>
    <w:p>
      <w:pPr>
        <w:numPr>
          <w:ilvl w:val="0"/>
          <w:numId w:val="40"/>
        </w:numPr>
        <w:spacing w:line="400" w:lineRule="exact"/>
        <w:textAlignment w:val="auto"/>
        <w:rPr>
          <w:sz w:val="21"/>
          <w:szCs w:val="21"/>
        </w:rPr>
      </w:pPr>
      <w:r>
        <w:rPr>
          <w:rFonts w:hint="eastAsia"/>
          <w:sz w:val="21"/>
          <w:szCs w:val="21"/>
        </w:rPr>
        <w:t>具有独立承担民事责任的能力；</w:t>
      </w:r>
    </w:p>
    <w:p>
      <w:pPr>
        <w:numPr>
          <w:ilvl w:val="0"/>
          <w:numId w:val="40"/>
        </w:numPr>
        <w:spacing w:line="400" w:lineRule="exact"/>
        <w:textAlignment w:val="auto"/>
        <w:rPr>
          <w:sz w:val="21"/>
          <w:szCs w:val="21"/>
        </w:rPr>
      </w:pPr>
      <w:r>
        <w:rPr>
          <w:rFonts w:hint="eastAsia"/>
          <w:sz w:val="21"/>
          <w:szCs w:val="21"/>
        </w:rPr>
        <w:t>具有良好的商业信誉和健全的财务会计制度；</w:t>
      </w:r>
    </w:p>
    <w:p>
      <w:pPr>
        <w:numPr>
          <w:ilvl w:val="0"/>
          <w:numId w:val="40"/>
        </w:numPr>
        <w:spacing w:line="400" w:lineRule="exact"/>
        <w:textAlignment w:val="auto"/>
        <w:rPr>
          <w:sz w:val="21"/>
          <w:szCs w:val="21"/>
        </w:rPr>
      </w:pPr>
      <w:r>
        <w:rPr>
          <w:rFonts w:hint="eastAsia"/>
          <w:sz w:val="21"/>
          <w:szCs w:val="21"/>
        </w:rPr>
        <w:t>具有履行合同所必需的设备和专业技术能力；</w:t>
      </w:r>
    </w:p>
    <w:p>
      <w:pPr>
        <w:numPr>
          <w:ilvl w:val="0"/>
          <w:numId w:val="40"/>
        </w:numPr>
        <w:spacing w:line="400" w:lineRule="exact"/>
        <w:textAlignment w:val="auto"/>
        <w:rPr>
          <w:sz w:val="21"/>
          <w:szCs w:val="21"/>
        </w:rPr>
      </w:pPr>
      <w:r>
        <w:rPr>
          <w:rFonts w:hint="eastAsia"/>
          <w:sz w:val="21"/>
          <w:szCs w:val="21"/>
        </w:rPr>
        <w:t>有依法缴纳税收和社会保障资金的良好记录；</w:t>
      </w:r>
    </w:p>
    <w:p>
      <w:pPr>
        <w:numPr>
          <w:ilvl w:val="0"/>
          <w:numId w:val="40"/>
        </w:numPr>
        <w:spacing w:line="400" w:lineRule="exact"/>
        <w:textAlignment w:val="auto"/>
        <w:rPr>
          <w:sz w:val="21"/>
          <w:szCs w:val="21"/>
        </w:rPr>
      </w:pPr>
      <w:r>
        <w:rPr>
          <w:rFonts w:hint="eastAsia"/>
          <w:sz w:val="21"/>
          <w:szCs w:val="21"/>
        </w:rPr>
        <w:t>参加此项采购活动前三年内，在经营活动中没有重大违法记录。</w:t>
      </w:r>
    </w:p>
    <w:p>
      <w:pPr>
        <w:spacing w:line="400" w:lineRule="exact"/>
        <w:ind w:firstLine="420" w:firstLineChars="200"/>
        <w:rPr>
          <w:sz w:val="21"/>
          <w:szCs w:val="21"/>
        </w:rPr>
      </w:pPr>
      <w:r>
        <w:rPr>
          <w:rFonts w:hint="eastAsia"/>
          <w:sz w:val="21"/>
          <w:szCs w:val="21"/>
        </w:rPr>
        <w:t>我方承诺：参与信息系统建设相关政府采购活动，符合《财政部关于信息系统建设</w:t>
      </w:r>
      <w:r>
        <w:fldChar w:fldCharType="begin"/>
      </w:r>
      <w:r>
        <w:instrText xml:space="preserve"> HYPERLINK "javascript:;" </w:instrText>
      </w:r>
      <w:r>
        <w:fldChar w:fldCharType="separate"/>
      </w:r>
      <w:r>
        <w:rPr>
          <w:rFonts w:hint="eastAsia"/>
          <w:sz w:val="21"/>
          <w:szCs w:val="21"/>
        </w:rPr>
        <w:t>项目</w:t>
      </w:r>
      <w:r>
        <w:rPr>
          <w:rFonts w:hint="eastAsia"/>
          <w:sz w:val="21"/>
          <w:szCs w:val="21"/>
        </w:rPr>
        <w:fldChar w:fldCharType="end"/>
      </w:r>
      <w:r>
        <w:rPr>
          <w:rFonts w:hint="eastAsia"/>
          <w:sz w:val="21"/>
          <w:szCs w:val="21"/>
        </w:rPr>
        <w:t>采购有关问题的通知（财库〔</w:t>
      </w:r>
      <w:r>
        <w:rPr>
          <w:sz w:val="21"/>
          <w:szCs w:val="21"/>
        </w:rPr>
        <w:t>2011</w:t>
      </w:r>
      <w:r>
        <w:rPr>
          <w:rFonts w:hint="eastAsia"/>
          <w:sz w:val="21"/>
          <w:szCs w:val="21"/>
        </w:rPr>
        <w:t>〕</w:t>
      </w:r>
      <w:r>
        <w:rPr>
          <w:sz w:val="21"/>
          <w:szCs w:val="21"/>
        </w:rPr>
        <w:t>59</w:t>
      </w:r>
      <w:r>
        <w:rPr>
          <w:rFonts w:hint="eastAsia"/>
          <w:sz w:val="21"/>
          <w:szCs w:val="21"/>
        </w:rPr>
        <w:t>号）》通知要求。</w:t>
      </w:r>
    </w:p>
    <w:p>
      <w:pPr>
        <w:spacing w:line="400" w:lineRule="exact"/>
        <w:ind w:firstLine="420" w:firstLineChars="200"/>
        <w:rPr>
          <w:sz w:val="21"/>
          <w:szCs w:val="21"/>
        </w:rPr>
      </w:pPr>
      <w:r>
        <w:rPr>
          <w:rFonts w:hint="eastAsia"/>
          <w:sz w:val="21"/>
          <w:szCs w:val="21"/>
        </w:rPr>
        <w:t>我方承诺：如果本项目属于《财政部关于政府采购进口产品管理有关问题的通知（财办库〔</w:t>
      </w:r>
      <w:r>
        <w:rPr>
          <w:sz w:val="21"/>
          <w:szCs w:val="21"/>
        </w:rPr>
        <w:t>2008</w:t>
      </w:r>
      <w:r>
        <w:rPr>
          <w:rFonts w:hint="eastAsia"/>
          <w:sz w:val="21"/>
          <w:szCs w:val="21"/>
        </w:rPr>
        <w:t>〕</w:t>
      </w:r>
      <w:r>
        <w:rPr>
          <w:sz w:val="21"/>
          <w:szCs w:val="21"/>
        </w:rPr>
        <w:t>248</w:t>
      </w:r>
      <w:r>
        <w:rPr>
          <w:rFonts w:hint="eastAsia"/>
          <w:sz w:val="21"/>
          <w:szCs w:val="21"/>
        </w:rPr>
        <w:t>号）》和《财政部关于印发</w:t>
      </w:r>
      <w:r>
        <w:rPr>
          <w:sz w:val="21"/>
          <w:szCs w:val="21"/>
        </w:rPr>
        <w:t>&lt;</w:t>
      </w:r>
      <w:r>
        <w:rPr>
          <w:rFonts w:hint="eastAsia"/>
          <w:sz w:val="21"/>
          <w:szCs w:val="21"/>
        </w:rPr>
        <w:t>政府采购进口产品管理办法</w:t>
      </w:r>
      <w:r>
        <w:rPr>
          <w:sz w:val="21"/>
          <w:szCs w:val="21"/>
        </w:rPr>
        <w:t>&gt;</w:t>
      </w:r>
      <w:r>
        <w:rPr>
          <w:rFonts w:hint="eastAsia"/>
          <w:sz w:val="21"/>
          <w:szCs w:val="21"/>
        </w:rPr>
        <w:t>的通知（财库〔</w:t>
      </w:r>
      <w:r>
        <w:rPr>
          <w:sz w:val="21"/>
          <w:szCs w:val="21"/>
        </w:rPr>
        <w:t>2007</w:t>
      </w:r>
      <w:r>
        <w:rPr>
          <w:rFonts w:hint="eastAsia"/>
          <w:sz w:val="21"/>
          <w:szCs w:val="21"/>
        </w:rPr>
        <w:t>〕</w:t>
      </w:r>
      <w:r>
        <w:rPr>
          <w:sz w:val="21"/>
          <w:szCs w:val="21"/>
        </w:rPr>
        <w:t>119</w:t>
      </w:r>
      <w:r>
        <w:rPr>
          <w:rFonts w:hint="eastAsia"/>
          <w:sz w:val="21"/>
          <w:szCs w:val="21"/>
        </w:rPr>
        <w:t>号）》中规定的不允许采购进口产品的情形，我方响应产品均为国产产品。</w:t>
      </w:r>
    </w:p>
    <w:p>
      <w:pPr>
        <w:spacing w:line="400" w:lineRule="exact"/>
        <w:ind w:firstLine="420" w:firstLineChars="200"/>
        <w:rPr>
          <w:sz w:val="21"/>
          <w:szCs w:val="21"/>
        </w:rPr>
      </w:pPr>
      <w:r>
        <w:rPr>
          <w:rFonts w:hint="eastAsia"/>
          <w:sz w:val="21"/>
          <w:szCs w:val="21"/>
        </w:rPr>
        <w:t>我方同意：在本项目磋商文件中规定的响应有效期内遵守本响应文件中的承诺且在此期限期满之前均具有约束力。</w:t>
      </w:r>
    </w:p>
    <w:p>
      <w:pPr>
        <w:spacing w:line="400" w:lineRule="exact"/>
        <w:ind w:firstLine="420" w:firstLineChars="200"/>
        <w:rPr>
          <w:sz w:val="21"/>
          <w:szCs w:val="21"/>
        </w:rPr>
      </w:pPr>
      <w:r>
        <w:rPr>
          <w:rFonts w:hint="eastAsia"/>
          <w:sz w:val="21"/>
          <w:szCs w:val="21"/>
        </w:rPr>
        <w:t>我方承诺：完全理解响应报价若超过项目预算金额时，响应将被拒绝。</w:t>
      </w:r>
    </w:p>
    <w:p>
      <w:pPr>
        <w:spacing w:line="400" w:lineRule="exact"/>
        <w:ind w:firstLine="420" w:firstLineChars="200"/>
        <w:rPr>
          <w:sz w:val="21"/>
          <w:szCs w:val="21"/>
        </w:rPr>
      </w:pPr>
      <w:r>
        <w:rPr>
          <w:rFonts w:hint="eastAsia"/>
          <w:sz w:val="21"/>
          <w:szCs w:val="21"/>
        </w:rPr>
        <w:t>我方承诺：报价一览表或响应书中未注明出处的优惠金额可由采购人按用户利益最大化原则分摊到主要设备费用中，折算后的价格作为维保和追加设备的计费依据，其集成费、服务费、培训费等非设备费用将保持原值不变。</w:t>
      </w:r>
    </w:p>
    <w:p>
      <w:pPr>
        <w:spacing w:line="400" w:lineRule="exact"/>
        <w:ind w:firstLine="420" w:firstLineChars="200"/>
        <w:rPr>
          <w:sz w:val="21"/>
          <w:szCs w:val="21"/>
        </w:rPr>
      </w:pPr>
      <w:r>
        <w:rPr>
          <w:rFonts w:hint="eastAsia"/>
          <w:sz w:val="21"/>
          <w:szCs w:val="21"/>
        </w:rPr>
        <w:t>我方承诺：完全满足和响应磋商文件中的各项商务和技术的实质性要求，若有偏差，已在响应文件商务条款偏离表中予以明确特别说明。</w:t>
      </w:r>
    </w:p>
    <w:p>
      <w:pPr>
        <w:spacing w:line="400" w:lineRule="exact"/>
        <w:ind w:firstLine="420" w:firstLineChars="200"/>
        <w:rPr>
          <w:sz w:val="21"/>
          <w:szCs w:val="21"/>
        </w:rPr>
      </w:pPr>
      <w:r>
        <w:rPr>
          <w:rFonts w:hint="eastAsia"/>
          <w:sz w:val="21"/>
          <w:szCs w:val="21"/>
        </w:rPr>
        <w:t>我方知道：如果在响应截止时间后规定的响应有效期内撤回响应，我方的响应保证金可被贵方没收。</w:t>
      </w:r>
    </w:p>
    <w:p>
      <w:pPr>
        <w:spacing w:line="400" w:lineRule="exact"/>
        <w:ind w:firstLine="420" w:firstLineChars="200"/>
        <w:rPr>
          <w:sz w:val="21"/>
          <w:szCs w:val="21"/>
        </w:rPr>
      </w:pPr>
      <w:r>
        <w:rPr>
          <w:rFonts w:hint="eastAsia"/>
          <w:sz w:val="21"/>
          <w:szCs w:val="21"/>
        </w:rPr>
        <w:t>我方完全理解：贵方不一定接受最低价的响应或收到的任何响应。</w:t>
      </w:r>
    </w:p>
    <w:p>
      <w:pPr>
        <w:spacing w:line="400" w:lineRule="exact"/>
        <w:ind w:firstLine="420" w:firstLineChars="200"/>
        <w:rPr>
          <w:sz w:val="21"/>
          <w:szCs w:val="21"/>
        </w:rPr>
      </w:pPr>
      <w:r>
        <w:rPr>
          <w:rFonts w:hint="eastAsia"/>
          <w:sz w:val="21"/>
          <w:szCs w:val="21"/>
        </w:rPr>
        <w:t>我方愿意向贵方提供任何与本项响应有关的数据、情况和技术资料。若贵方需要，我方愿意提供我方作出的一切承诺的证明材料。</w:t>
      </w:r>
    </w:p>
    <w:p>
      <w:pPr>
        <w:spacing w:line="400" w:lineRule="exact"/>
        <w:ind w:firstLine="420" w:firstLineChars="200"/>
        <w:rPr>
          <w:sz w:val="21"/>
          <w:szCs w:val="21"/>
        </w:rPr>
      </w:pPr>
      <w:r>
        <w:rPr>
          <w:rFonts w:hint="eastAsia"/>
          <w:sz w:val="21"/>
          <w:szCs w:val="21"/>
        </w:rPr>
        <w:t>我方已详细审核全部响应文件，包括响应文件修改书（如有的话）、参考资料及有关附件，确认无误。</w:t>
      </w:r>
    </w:p>
    <w:p>
      <w:pPr>
        <w:spacing w:line="400" w:lineRule="exact"/>
        <w:ind w:firstLine="420" w:firstLineChars="200"/>
        <w:rPr>
          <w:sz w:val="21"/>
          <w:szCs w:val="21"/>
        </w:rPr>
      </w:pPr>
      <w:r>
        <w:rPr>
          <w:rFonts w:hint="eastAsia"/>
          <w:sz w:val="21"/>
          <w:szCs w:val="21"/>
        </w:rPr>
        <w:t>我方承诺：与为在本项目中设计编制技术规格的机构及其附属机构无任何直接隶属关系和利益关联。</w:t>
      </w:r>
    </w:p>
    <w:p>
      <w:pPr>
        <w:spacing w:line="400" w:lineRule="exact"/>
        <w:ind w:firstLine="420" w:firstLineChars="200"/>
        <w:rPr>
          <w:sz w:val="21"/>
          <w:szCs w:val="21"/>
        </w:rPr>
      </w:pPr>
      <w:r>
        <w:rPr>
          <w:rFonts w:hint="eastAsia"/>
          <w:sz w:val="21"/>
          <w:szCs w:val="21"/>
        </w:rPr>
        <w:t>我方承诺：采购人若需追加采购本项目磋商文件所列货物及相关服务的，在不改变合同其他实质性条款的前提下，按相同或更优惠的折扣率保证供货。</w:t>
      </w:r>
    </w:p>
    <w:p>
      <w:pPr>
        <w:spacing w:line="400" w:lineRule="exact"/>
        <w:ind w:firstLine="420" w:firstLineChars="200"/>
        <w:rPr>
          <w:sz w:val="21"/>
          <w:szCs w:val="21"/>
        </w:rPr>
      </w:pPr>
      <w:r>
        <w:rPr>
          <w:rFonts w:hint="eastAsia"/>
          <w:sz w:val="21"/>
          <w:szCs w:val="21"/>
        </w:rPr>
        <w:t>我方承诺：采购人或采购人有对响应人响应文件所有文件、资料核实原件的权利，如发现响应人响应文件中存在虚假内容，采购人或采购人将取消响应人此前评议结果，其现有位置将被其他响应人依序替代。</w:t>
      </w:r>
    </w:p>
    <w:p>
      <w:pPr>
        <w:spacing w:line="400" w:lineRule="exact"/>
        <w:ind w:firstLine="420" w:firstLineChars="200"/>
        <w:rPr>
          <w:sz w:val="21"/>
          <w:szCs w:val="21"/>
        </w:rPr>
      </w:pPr>
      <w:r>
        <w:rPr>
          <w:rFonts w:hint="eastAsia"/>
          <w:sz w:val="21"/>
          <w:szCs w:val="21"/>
        </w:rPr>
        <w:t>我方承诺：接受磋商文件的全部条款且无任何异议，保证遵守磋商文件的规定。</w:t>
      </w:r>
    </w:p>
    <w:p>
      <w:pPr>
        <w:spacing w:line="400" w:lineRule="exact"/>
        <w:ind w:firstLine="420" w:firstLineChars="200"/>
        <w:rPr>
          <w:sz w:val="21"/>
          <w:szCs w:val="21"/>
        </w:rPr>
      </w:pPr>
      <w:r>
        <w:rPr>
          <w:rFonts w:hint="eastAsia"/>
          <w:sz w:val="21"/>
          <w:szCs w:val="21"/>
        </w:rPr>
        <w:t>我方将严格遵守《中华人民共和国政府采购法》的有关规定，若有下列情形之一的，将被处以采购金额</w:t>
      </w:r>
      <w:r>
        <w:rPr>
          <w:sz w:val="21"/>
          <w:szCs w:val="21"/>
        </w:rPr>
        <w:t>5‰</w:t>
      </w:r>
      <w:r>
        <w:rPr>
          <w:rFonts w:hint="eastAsia"/>
          <w:sz w:val="21"/>
          <w:szCs w:val="21"/>
        </w:rPr>
        <w:t>以上</w:t>
      </w:r>
      <w:r>
        <w:rPr>
          <w:sz w:val="21"/>
          <w:szCs w:val="21"/>
        </w:rPr>
        <w:t>10‰</w:t>
      </w:r>
      <w:r>
        <w:rPr>
          <w:rFonts w:hint="eastAsia"/>
          <w:sz w:val="21"/>
          <w:szCs w:val="21"/>
        </w:rPr>
        <w:t>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41"/>
        </w:numPr>
        <w:spacing w:line="400" w:lineRule="exact"/>
        <w:textAlignment w:val="auto"/>
        <w:rPr>
          <w:sz w:val="21"/>
          <w:szCs w:val="21"/>
        </w:rPr>
      </w:pPr>
      <w:r>
        <w:rPr>
          <w:rFonts w:hint="eastAsia"/>
          <w:sz w:val="21"/>
          <w:szCs w:val="21"/>
        </w:rPr>
        <w:t>提供虚假材料谋取成交、成交的；</w:t>
      </w:r>
    </w:p>
    <w:p>
      <w:pPr>
        <w:numPr>
          <w:ilvl w:val="0"/>
          <w:numId w:val="41"/>
        </w:numPr>
        <w:spacing w:line="400" w:lineRule="exact"/>
        <w:textAlignment w:val="auto"/>
        <w:rPr>
          <w:sz w:val="21"/>
          <w:szCs w:val="21"/>
        </w:rPr>
      </w:pPr>
      <w:r>
        <w:rPr>
          <w:rFonts w:hint="eastAsia"/>
          <w:sz w:val="21"/>
          <w:szCs w:val="21"/>
        </w:rPr>
        <w:t>采取不正当手段诋毁、排挤其他供应商的；</w:t>
      </w:r>
    </w:p>
    <w:p>
      <w:pPr>
        <w:numPr>
          <w:ilvl w:val="0"/>
          <w:numId w:val="41"/>
        </w:numPr>
        <w:spacing w:line="400" w:lineRule="exact"/>
        <w:textAlignment w:val="auto"/>
        <w:rPr>
          <w:sz w:val="21"/>
          <w:szCs w:val="21"/>
        </w:rPr>
      </w:pPr>
      <w:r>
        <w:rPr>
          <w:rFonts w:hint="eastAsia"/>
          <w:sz w:val="21"/>
          <w:szCs w:val="21"/>
        </w:rPr>
        <w:t>与采购人、其它供应商或者采购人工作人员恶意串通的；</w:t>
      </w:r>
    </w:p>
    <w:p>
      <w:pPr>
        <w:numPr>
          <w:ilvl w:val="0"/>
          <w:numId w:val="41"/>
        </w:numPr>
        <w:spacing w:line="400" w:lineRule="exact"/>
        <w:textAlignment w:val="auto"/>
        <w:rPr>
          <w:sz w:val="21"/>
          <w:szCs w:val="21"/>
        </w:rPr>
      </w:pPr>
      <w:r>
        <w:rPr>
          <w:rFonts w:hint="eastAsia"/>
          <w:sz w:val="21"/>
          <w:szCs w:val="21"/>
        </w:rPr>
        <w:t>向采购人、采购人工作人员行贿或者提供其他不正当利益的；</w:t>
      </w:r>
    </w:p>
    <w:p>
      <w:pPr>
        <w:numPr>
          <w:ilvl w:val="0"/>
          <w:numId w:val="41"/>
        </w:numPr>
        <w:spacing w:line="400" w:lineRule="exact"/>
        <w:textAlignment w:val="auto"/>
        <w:rPr>
          <w:sz w:val="21"/>
          <w:szCs w:val="21"/>
        </w:rPr>
      </w:pPr>
      <w:r>
        <w:rPr>
          <w:rFonts w:hint="eastAsia"/>
          <w:sz w:val="21"/>
          <w:szCs w:val="21"/>
        </w:rPr>
        <w:t>未经采购人同意，在采购过程中与采购人进行协商谈判的；</w:t>
      </w:r>
    </w:p>
    <w:p>
      <w:pPr>
        <w:numPr>
          <w:ilvl w:val="0"/>
          <w:numId w:val="41"/>
        </w:numPr>
        <w:spacing w:line="400" w:lineRule="exact"/>
        <w:textAlignment w:val="auto"/>
        <w:rPr>
          <w:sz w:val="21"/>
          <w:szCs w:val="21"/>
        </w:rPr>
      </w:pPr>
      <w:r>
        <w:rPr>
          <w:rFonts w:hint="eastAsia"/>
          <w:sz w:val="21"/>
          <w:szCs w:val="21"/>
        </w:rPr>
        <w:t>拒绝有关部门监督检查或提供虚假情况的。</w:t>
      </w:r>
    </w:p>
    <w:p>
      <w:pPr>
        <w:spacing w:line="400" w:lineRule="exact"/>
        <w:ind w:firstLine="420" w:firstLineChars="200"/>
      </w:pPr>
      <w:r>
        <w:rPr>
          <w:rFonts w:hint="eastAsia"/>
          <w:sz w:val="21"/>
          <w:szCs w:val="21"/>
        </w:rPr>
        <w:t>与本响应有关的一切往来通讯请寄：</w:t>
      </w:r>
      <w:r>
        <w:rPr>
          <w:rFonts w:hint="eastAsia"/>
        </w:rPr>
        <w:t>地址：</w:t>
      </w:r>
    </w:p>
    <w:p>
      <w:pPr>
        <w:pStyle w:val="91"/>
        <w:rPr>
          <w:rFonts w:ascii="Times New Roman" w:hAnsi="Times New Roman"/>
        </w:rPr>
      </w:pPr>
      <w:r>
        <w:rPr>
          <w:rFonts w:hint="eastAsia" w:ascii="Times New Roman" w:hAnsi="Times New Roman"/>
        </w:rPr>
        <w:t>邮编：</w:t>
      </w:r>
    </w:p>
    <w:p>
      <w:pPr>
        <w:pStyle w:val="91"/>
        <w:rPr>
          <w:rFonts w:ascii="Times New Roman" w:hAnsi="Times New Roman"/>
        </w:rPr>
      </w:pPr>
      <w:r>
        <w:rPr>
          <w:rFonts w:hint="eastAsia" w:ascii="Times New Roman" w:hAnsi="Times New Roman"/>
        </w:rPr>
        <w:t>电话：</w:t>
      </w:r>
    </w:p>
    <w:p>
      <w:pPr>
        <w:pStyle w:val="91"/>
        <w:rPr>
          <w:rFonts w:ascii="Times New Roman" w:hAnsi="Times New Roman"/>
        </w:rPr>
      </w:pPr>
      <w:r>
        <w:rPr>
          <w:rFonts w:hint="eastAsia" w:ascii="Times New Roman" w:hAnsi="Times New Roman"/>
        </w:rPr>
        <w:t>传真：</w:t>
      </w:r>
    </w:p>
    <w:p>
      <w:pPr>
        <w:pStyle w:val="91"/>
        <w:rPr>
          <w:rFonts w:ascii="Times New Roman" w:hAnsi="Times New Roman"/>
        </w:rPr>
      </w:pPr>
      <w:r>
        <w:rPr>
          <w:rFonts w:hint="eastAsia" w:ascii="Times New Roman" w:hAnsi="Times New Roman"/>
        </w:rPr>
        <w:t>响应人代表姓名：</w:t>
      </w:r>
    </w:p>
    <w:p>
      <w:pPr>
        <w:pStyle w:val="91"/>
        <w:rPr>
          <w:rFonts w:ascii="Times New Roman" w:hAnsi="Times New Roman"/>
        </w:rPr>
      </w:pPr>
      <w:r>
        <w:rPr>
          <w:rFonts w:hint="eastAsia" w:ascii="Times New Roman" w:hAnsi="Times New Roman"/>
        </w:rPr>
        <w:t>响应人代表联系电话</w:t>
      </w:r>
    </w:p>
    <w:p>
      <w:pPr>
        <w:spacing w:line="400" w:lineRule="exact"/>
        <w:ind w:firstLine="480" w:firstLineChars="200"/>
      </w:pPr>
      <w:r>
        <w:rPr>
          <w:rFonts w:hint="eastAsia"/>
        </w:rPr>
        <w:t>电子邮箱</w:t>
      </w:r>
      <w:r>
        <w:t>:</w:t>
      </w:r>
      <w:r>
        <w:rPr>
          <w:szCs w:val="21"/>
        </w:rPr>
        <w:tab/>
      </w:r>
      <w:r>
        <w:rPr>
          <w:rFonts w:hint="eastAsia"/>
        </w:rPr>
        <w:t>响应人名称：（加盖公章）</w:t>
      </w:r>
    </w:p>
    <w:p>
      <w:pPr>
        <w:pStyle w:val="91"/>
        <w:rPr>
          <w:rFonts w:ascii="Times New Roman" w:hAnsi="Times New Roman"/>
        </w:rPr>
      </w:pPr>
      <w:r>
        <w:rPr>
          <w:rFonts w:hint="eastAsia" w:ascii="Times New Roman" w:hAnsi="Times New Roman"/>
        </w:rPr>
        <w:t>响应人代表签字：</w:t>
      </w:r>
    </w:p>
    <w:p>
      <w:pPr>
        <w:pStyle w:val="91"/>
        <w:jc w:val="right"/>
        <w:rPr>
          <w:rFonts w:ascii="Times New Roman" w:hAnsi="Times New Roman"/>
        </w:rPr>
      </w:pPr>
      <w:r>
        <w:rPr>
          <w:rFonts w:hint="eastAsia" w:ascii="Times New Roman" w:hAnsi="Times New Roman"/>
        </w:rPr>
        <w:t>年</w:t>
      </w:r>
      <w:r>
        <w:rPr>
          <w:rFonts w:ascii="Times New Roman" w:hAnsi="Times New Roman"/>
        </w:rPr>
        <w:t xml:space="preserve">  </w:t>
      </w:r>
      <w:r>
        <w:rPr>
          <w:rFonts w:hint="eastAsia" w:ascii="Times New Roman" w:hAnsi="Times New Roman"/>
        </w:rPr>
        <w:t>月</w:t>
      </w:r>
      <w:r>
        <w:rPr>
          <w:rFonts w:ascii="Times New Roman" w:hAnsi="Times New Roman"/>
        </w:rPr>
        <w:t xml:space="preserve">  </w:t>
      </w:r>
      <w:r>
        <w:rPr>
          <w:rFonts w:hint="eastAsia" w:ascii="Times New Roman" w:hAnsi="Times New Roman"/>
        </w:rPr>
        <w:t>日</w:t>
      </w:r>
    </w:p>
    <w:p>
      <w:pPr>
        <w:tabs>
          <w:tab w:val="left" w:pos="1200"/>
        </w:tabs>
        <w:spacing w:line="400" w:lineRule="exact"/>
        <w:ind w:firstLine="420" w:firstLineChars="200"/>
        <w:rPr>
          <w:sz w:val="21"/>
          <w:szCs w:val="21"/>
        </w:rPr>
      </w:pPr>
    </w:p>
    <w:p>
      <w:pPr>
        <w:spacing w:line="400" w:lineRule="exact"/>
        <w:ind w:left="420" w:firstLine="420" w:firstLineChars="200"/>
        <w:rPr>
          <w:sz w:val="21"/>
          <w:szCs w:val="21"/>
        </w:rPr>
      </w:pPr>
      <w:r>
        <w:rPr>
          <w:rFonts w:hint="eastAsia"/>
          <w:sz w:val="21"/>
          <w:szCs w:val="21"/>
        </w:rPr>
        <w:t>注：除可填报项目外，不得对本响应函的内容进行实质性修改，否则将被视为非实质性响应响应，从而导致该响应被拒绝。</w:t>
      </w:r>
      <w:r>
        <w:rPr>
          <w:sz w:val="21"/>
          <w:szCs w:val="21"/>
        </w:rPr>
        <w:br w:type="page"/>
      </w:r>
    </w:p>
    <w:p>
      <w:pPr>
        <w:pStyle w:val="44"/>
        <w:numPr>
          <w:ilvl w:val="0"/>
          <w:numId w:val="39"/>
        </w:numPr>
        <w:adjustRightInd/>
        <w:spacing w:line="415" w:lineRule="auto"/>
        <w:ind w:left="420"/>
        <w:jc w:val="both"/>
        <w:textAlignment w:val="auto"/>
        <w:rPr>
          <w:kern w:val="2"/>
        </w:rPr>
      </w:pPr>
      <w:bookmarkStart w:id="86" w:name="_Ref477452442"/>
      <w:bookmarkStart w:id="87" w:name="_Toc86202635"/>
      <w:bookmarkStart w:id="88" w:name="_Ref477452408"/>
      <w:r>
        <w:rPr>
          <w:kern w:val="2"/>
        </w:rPr>
        <w:t xml:space="preserve">  </w:t>
      </w:r>
      <w:bookmarkStart w:id="89" w:name="_Toc486583490"/>
      <w:r>
        <w:rPr>
          <w:rFonts w:hint="eastAsia"/>
          <w:kern w:val="2"/>
        </w:rPr>
        <w:t>法定代表人授权委托书</w:t>
      </w:r>
      <w:bookmarkEnd w:id="86"/>
      <w:bookmarkEnd w:id="87"/>
      <w:bookmarkEnd w:id="88"/>
      <w:bookmarkEnd w:id="89"/>
    </w:p>
    <w:p>
      <w:pPr>
        <w:pStyle w:val="91"/>
        <w:pBdr>
          <w:top w:val="dashed" w:color="auto" w:sz="4" w:space="1"/>
          <w:left w:val="dashed" w:color="auto" w:sz="4" w:space="4"/>
          <w:bottom w:val="dashed" w:color="auto" w:sz="4" w:space="1"/>
          <w:right w:val="dashed" w:color="auto" w:sz="4" w:space="4"/>
        </w:pBdr>
        <w:rPr>
          <w:rFonts w:ascii="Calibri" w:hAnsi="Calibri"/>
        </w:rPr>
      </w:pPr>
      <w:r>
        <w:rPr>
          <w:rFonts w:hint="eastAsia" w:ascii="Calibri" w:hAnsi="Calibri"/>
        </w:rPr>
        <w:t>致：中央财经大学</w:t>
      </w:r>
    </w:p>
    <w:p>
      <w:pPr>
        <w:pStyle w:val="91"/>
        <w:pBdr>
          <w:top w:val="dashed" w:color="auto" w:sz="4" w:space="1"/>
          <w:left w:val="dashed" w:color="auto" w:sz="4" w:space="4"/>
          <w:bottom w:val="dashed" w:color="auto" w:sz="4" w:space="1"/>
          <w:right w:val="dashed" w:color="auto" w:sz="4" w:space="4"/>
        </w:pBdr>
        <w:rPr>
          <w:rFonts w:ascii="Calibri" w:hAnsi="Calibri"/>
        </w:rPr>
      </w:pPr>
      <w:r>
        <w:rPr>
          <w:rFonts w:hint="eastAsia" w:ascii="Calibri" w:hAnsi="Calibri"/>
        </w:rPr>
        <w:t>本授权书声明：注册于（响应人住址）的（响应人名称）法定代表人（法定代表人姓名、职务）代表本公司授权在下面签字的（响应人代表姓名、职务）为本公司的合法代理人，就贵方组织的</w:t>
      </w:r>
      <w:r>
        <w:fldChar w:fldCharType="begin"/>
      </w:r>
      <w:r>
        <w:instrText xml:space="preserve"> REF 项目名称 \h  \* MERGEFORMAT </w:instrText>
      </w:r>
      <w:r>
        <w:fldChar w:fldCharType="separate"/>
      </w:r>
      <w:r>
        <w:rPr>
          <w:rFonts w:ascii="Times New Roman" w:hAnsi="Times New Roman"/>
          <w:szCs w:val="21"/>
        </w:rPr>
        <w:t>中央财经大学</w:t>
      </w:r>
      <w:r>
        <w:rPr>
          <w:rFonts w:hint="eastAsia" w:ascii="Times New Roman" w:hAnsi="Times New Roman"/>
          <w:szCs w:val="21"/>
        </w:rPr>
        <w:t>沙河校区图书馆</w:t>
      </w:r>
      <w:r>
        <w:rPr>
          <w:rFonts w:ascii="Times New Roman" w:hAnsi="Times New Roman"/>
          <w:szCs w:val="21"/>
        </w:rPr>
        <w:t>电梯维保服务采购项目</w:t>
      </w:r>
      <w:r>
        <w:fldChar w:fldCharType="end"/>
      </w:r>
      <w:r>
        <w:rPr>
          <w:rFonts w:hint="eastAsia" w:ascii="Calibri" w:hAnsi="Calibri"/>
        </w:rPr>
        <w:t>，项目编号：</w:t>
      </w:r>
      <w:r>
        <w:rPr>
          <w:rFonts w:ascii="Calibri" w:hAnsi="Calibri"/>
        </w:rPr>
        <w:t xml:space="preserve">          </w:t>
      </w:r>
      <w:r>
        <w:rPr>
          <w:rFonts w:hint="eastAsia" w:ascii="Calibri" w:hAnsi="Calibri"/>
        </w:rPr>
        <w:t>，以本公司名义处理一切与之有关的事务。</w:t>
      </w:r>
    </w:p>
    <w:p>
      <w:pPr>
        <w:pStyle w:val="91"/>
        <w:pBdr>
          <w:top w:val="dashed" w:color="auto" w:sz="4" w:space="1"/>
          <w:left w:val="dashed" w:color="auto" w:sz="4" w:space="4"/>
          <w:bottom w:val="dashed" w:color="auto" w:sz="4" w:space="1"/>
          <w:right w:val="dashed" w:color="auto" w:sz="4" w:space="4"/>
        </w:pBdr>
        <w:rPr>
          <w:rFonts w:ascii="Calibri" w:hAnsi="Calibri"/>
        </w:rPr>
      </w:pPr>
      <w:r>
        <w:rPr>
          <w:rFonts w:hint="eastAsia" w:ascii="Calibri" w:hAnsi="Calibri"/>
        </w:rPr>
        <w:t>本授权书于</w:t>
      </w:r>
      <w:r>
        <w:rPr>
          <w:rFonts w:ascii="Calibri" w:hAnsi="Calibri"/>
        </w:rPr>
        <w:t xml:space="preserve">    </w:t>
      </w:r>
      <w:r>
        <w:rPr>
          <w:rFonts w:hint="eastAsia" w:ascii="Calibri" w:hAnsi="Calibri"/>
        </w:rPr>
        <w:t>年</w:t>
      </w:r>
      <w:r>
        <w:rPr>
          <w:rFonts w:ascii="Calibri" w:hAnsi="Calibri"/>
        </w:rPr>
        <w:t xml:space="preserve">  </w:t>
      </w:r>
      <w:r>
        <w:rPr>
          <w:rFonts w:hint="eastAsia" w:ascii="Calibri" w:hAnsi="Calibri"/>
        </w:rPr>
        <w:t>月</w:t>
      </w:r>
      <w:r>
        <w:rPr>
          <w:rFonts w:ascii="Calibri" w:hAnsi="Calibri"/>
        </w:rPr>
        <w:t xml:space="preserve">  </w:t>
      </w:r>
      <w:r>
        <w:rPr>
          <w:rFonts w:hint="eastAsia" w:ascii="Calibri" w:hAnsi="Calibri"/>
        </w:rPr>
        <w:t>日签字生效，特此声明。</w:t>
      </w:r>
    </w:p>
    <w:p>
      <w:pPr>
        <w:pStyle w:val="91"/>
        <w:pBdr>
          <w:top w:val="dashed" w:color="auto" w:sz="4" w:space="1"/>
          <w:left w:val="dashed" w:color="auto" w:sz="4" w:space="4"/>
          <w:bottom w:val="dashed" w:color="auto" w:sz="4" w:space="1"/>
          <w:right w:val="dashed" w:color="auto" w:sz="4" w:space="4"/>
        </w:pBdr>
        <w:rPr>
          <w:rFonts w:ascii="Calibri" w:hAnsi="Calibri"/>
        </w:rPr>
      </w:pPr>
    </w:p>
    <w:p>
      <w:pPr>
        <w:pStyle w:val="91"/>
        <w:pBdr>
          <w:top w:val="dashed" w:color="auto" w:sz="4" w:space="1"/>
          <w:left w:val="dashed" w:color="auto" w:sz="4" w:space="4"/>
          <w:bottom w:val="dashed" w:color="auto" w:sz="4" w:space="1"/>
          <w:right w:val="dashed" w:color="auto" w:sz="4" w:space="4"/>
        </w:pBdr>
        <w:rPr>
          <w:rFonts w:ascii="Calibri" w:hAnsi="Calibri"/>
        </w:rPr>
      </w:pPr>
      <w:r>
        <w:rPr>
          <w:rFonts w:hint="eastAsia" w:ascii="Calibri" w:hAnsi="Calibri"/>
        </w:rPr>
        <w:t>法定代表人签字（或盖章）：</w:t>
      </w:r>
    </w:p>
    <w:p>
      <w:pPr>
        <w:pStyle w:val="91"/>
        <w:pBdr>
          <w:top w:val="dashed" w:color="auto" w:sz="4" w:space="1"/>
          <w:left w:val="dashed" w:color="auto" w:sz="4" w:space="4"/>
          <w:bottom w:val="dashed" w:color="auto" w:sz="4" w:space="1"/>
          <w:right w:val="dashed" w:color="auto" w:sz="4" w:space="4"/>
        </w:pBdr>
        <w:rPr>
          <w:rFonts w:ascii="Calibri" w:hAnsi="Calibri"/>
        </w:rPr>
      </w:pPr>
      <w:r>
        <w:rPr>
          <w:rFonts w:hint="eastAsia" w:ascii="Calibri" w:hAnsi="Calibri"/>
        </w:rPr>
        <w:t>响应人代表签字：</w:t>
      </w:r>
    </w:p>
    <w:p>
      <w:pPr>
        <w:pStyle w:val="91"/>
        <w:pBdr>
          <w:top w:val="dashed" w:color="auto" w:sz="4" w:space="1"/>
          <w:left w:val="dashed" w:color="auto" w:sz="4" w:space="4"/>
          <w:bottom w:val="dashed" w:color="auto" w:sz="4" w:space="1"/>
          <w:right w:val="dashed" w:color="auto" w:sz="4" w:space="4"/>
        </w:pBdr>
        <w:rPr>
          <w:rFonts w:ascii="Calibri" w:hAnsi="Calibri"/>
        </w:rPr>
      </w:pPr>
      <w:r>
        <w:rPr>
          <w:rFonts w:ascii="Calibri" w:hAnsi="Calibri"/>
        </w:rPr>
        <w:tab/>
      </w:r>
      <w:r>
        <w:rPr>
          <w:rFonts w:hint="eastAsia" w:ascii="Calibri" w:hAnsi="Calibri"/>
        </w:rPr>
        <w:t>响应人名称：</w:t>
      </w:r>
      <w:r>
        <w:rPr>
          <w:rFonts w:ascii="Calibri" w:hAnsi="Calibri"/>
        </w:rPr>
        <w:t xml:space="preserve">         </w:t>
      </w:r>
      <w:r>
        <w:rPr>
          <w:rFonts w:hint="eastAsia" w:ascii="Calibri" w:hAnsi="Calibri"/>
        </w:rPr>
        <w:t>（加盖公章）</w:t>
      </w:r>
    </w:p>
    <w:p>
      <w:pPr>
        <w:pStyle w:val="91"/>
        <w:pBdr>
          <w:top w:val="dashed" w:color="auto" w:sz="4" w:space="1"/>
          <w:left w:val="dashed" w:color="auto" w:sz="4" w:space="4"/>
          <w:bottom w:val="dashed" w:color="auto" w:sz="4" w:space="1"/>
          <w:right w:val="dashed" w:color="auto" w:sz="4" w:space="4"/>
        </w:pBdr>
        <w:rPr>
          <w:rFonts w:ascii="Calibri" w:hAnsi="Calibri"/>
        </w:rPr>
      </w:pPr>
      <w:r>
        <w:rPr>
          <w:rFonts w:ascii="Calibri" w:hAnsi="Calibri"/>
        </w:rPr>
        <w:t xml:space="preserve">    </w:t>
      </w:r>
      <w:r>
        <w:rPr>
          <w:rFonts w:hint="eastAsia" w:ascii="Calibri" w:hAnsi="Calibri"/>
        </w:rPr>
        <w:t>年</w:t>
      </w:r>
      <w:r>
        <w:rPr>
          <w:rFonts w:ascii="Calibri" w:hAnsi="Calibri"/>
        </w:rPr>
        <w:t xml:space="preserve">    </w:t>
      </w:r>
      <w:r>
        <w:rPr>
          <w:rFonts w:hint="eastAsia" w:ascii="Calibri" w:hAnsi="Calibri"/>
        </w:rPr>
        <w:t>月</w:t>
      </w:r>
      <w:r>
        <w:rPr>
          <w:rFonts w:ascii="Calibri" w:hAnsi="Calibri"/>
        </w:rPr>
        <w:t xml:space="preserve">    </w:t>
      </w:r>
      <w:r>
        <w:rPr>
          <w:rFonts w:hint="eastAsia" w:ascii="Calibri" w:hAnsi="Calibri"/>
        </w:rPr>
        <w:t>日</w:t>
      </w:r>
    </w:p>
    <w:p>
      <w:pPr>
        <w:pStyle w:val="91"/>
        <w:pBdr>
          <w:top w:val="dashed" w:color="auto" w:sz="4" w:space="1"/>
          <w:left w:val="dashed" w:color="auto" w:sz="4" w:space="4"/>
          <w:bottom w:val="dashed" w:color="auto" w:sz="4" w:space="1"/>
          <w:right w:val="dashed" w:color="auto" w:sz="4" w:space="4"/>
        </w:pBdr>
        <w:rPr>
          <w:rFonts w:ascii="Calibri" w:hAnsi="Calibri"/>
        </w:rPr>
      </w:pPr>
      <w:r>
        <w:rPr>
          <w:rFonts w:hint="eastAsia" w:ascii="Calibri" w:hAnsi="Calibri"/>
        </w:rPr>
        <w:t>附：响应人代表身份证复印件：</w:t>
      </w:r>
    </w:p>
    <w:p>
      <w:pPr>
        <w:pStyle w:val="91"/>
        <w:pBdr>
          <w:top w:val="dashed" w:color="auto" w:sz="4" w:space="1"/>
          <w:left w:val="dashed" w:color="auto" w:sz="4" w:space="4"/>
          <w:bottom w:val="dashed" w:color="auto" w:sz="4" w:space="1"/>
          <w:right w:val="dashed" w:color="auto" w:sz="4" w:space="4"/>
        </w:pBdr>
        <w:rPr>
          <w:rFonts w:ascii="Calibri" w:hAnsi="Calibri"/>
        </w:rPr>
      </w:pPr>
      <w:r>
        <w:rPr>
          <w:rFonts w:hint="eastAsia" w:ascii="Calibri" w:hAnsi="Calibri"/>
        </w:rPr>
        <w:t>正面：</w:t>
      </w:r>
    </w:p>
    <w:p>
      <w:pPr>
        <w:pStyle w:val="91"/>
        <w:pBdr>
          <w:top w:val="dashed" w:color="auto" w:sz="4" w:space="1"/>
          <w:left w:val="dashed" w:color="auto" w:sz="4" w:space="4"/>
          <w:bottom w:val="dashed" w:color="auto" w:sz="4" w:space="1"/>
          <w:right w:val="dashed" w:color="auto" w:sz="4" w:space="4"/>
        </w:pBdr>
        <w:rPr>
          <w:rFonts w:ascii="Calibri" w:hAnsi="Calibri"/>
        </w:rPr>
      </w:pPr>
    </w:p>
    <w:p>
      <w:pPr>
        <w:pStyle w:val="91"/>
        <w:pBdr>
          <w:top w:val="dashed" w:color="auto" w:sz="4" w:space="1"/>
          <w:left w:val="dashed" w:color="auto" w:sz="4" w:space="4"/>
          <w:bottom w:val="dashed" w:color="auto" w:sz="4" w:space="1"/>
          <w:right w:val="dashed" w:color="auto" w:sz="4" w:space="4"/>
        </w:pBdr>
        <w:rPr>
          <w:rFonts w:ascii="Calibri" w:hAnsi="Calibri"/>
        </w:rPr>
      </w:pPr>
    </w:p>
    <w:p>
      <w:pPr>
        <w:pStyle w:val="91"/>
        <w:pBdr>
          <w:top w:val="dashed" w:color="auto" w:sz="4" w:space="1"/>
          <w:left w:val="dashed" w:color="auto" w:sz="4" w:space="4"/>
          <w:bottom w:val="dashed" w:color="auto" w:sz="4" w:space="1"/>
          <w:right w:val="dashed" w:color="auto" w:sz="4" w:space="4"/>
        </w:pBdr>
        <w:rPr>
          <w:rFonts w:ascii="Calibri" w:hAnsi="Calibri"/>
        </w:rPr>
      </w:pPr>
    </w:p>
    <w:p>
      <w:pPr>
        <w:pStyle w:val="91"/>
        <w:pBdr>
          <w:top w:val="dashed" w:color="auto" w:sz="4" w:space="1"/>
          <w:left w:val="dashed" w:color="auto" w:sz="4" w:space="4"/>
          <w:bottom w:val="dashed" w:color="auto" w:sz="4" w:space="1"/>
          <w:right w:val="dashed" w:color="auto" w:sz="4" w:space="4"/>
        </w:pBdr>
        <w:rPr>
          <w:rFonts w:ascii="Calibri" w:hAnsi="Calibri"/>
        </w:rPr>
      </w:pPr>
    </w:p>
    <w:p>
      <w:pPr>
        <w:pStyle w:val="91"/>
        <w:pBdr>
          <w:top w:val="dashed" w:color="auto" w:sz="4" w:space="1"/>
          <w:left w:val="dashed" w:color="auto" w:sz="4" w:space="4"/>
          <w:bottom w:val="dashed" w:color="auto" w:sz="4" w:space="1"/>
          <w:right w:val="dashed" w:color="auto" w:sz="4" w:space="4"/>
        </w:pBdr>
        <w:rPr>
          <w:rFonts w:ascii="Calibri" w:hAnsi="Calibri"/>
        </w:rPr>
      </w:pPr>
    </w:p>
    <w:p>
      <w:pPr>
        <w:pStyle w:val="91"/>
        <w:pBdr>
          <w:top w:val="dashed" w:color="auto" w:sz="4" w:space="1"/>
          <w:left w:val="dashed" w:color="auto" w:sz="4" w:space="4"/>
          <w:bottom w:val="dashed" w:color="auto" w:sz="4" w:space="1"/>
          <w:right w:val="dashed" w:color="auto" w:sz="4" w:space="4"/>
        </w:pBdr>
        <w:rPr>
          <w:rFonts w:ascii="Calibri" w:hAnsi="Calibri"/>
        </w:rPr>
      </w:pPr>
    </w:p>
    <w:p>
      <w:pPr>
        <w:pStyle w:val="91"/>
        <w:pBdr>
          <w:top w:val="dashed" w:color="auto" w:sz="4" w:space="1"/>
          <w:left w:val="dashed" w:color="auto" w:sz="4" w:space="4"/>
          <w:bottom w:val="dashed" w:color="auto" w:sz="4" w:space="1"/>
          <w:right w:val="dashed" w:color="auto" w:sz="4" w:space="4"/>
        </w:pBdr>
        <w:rPr>
          <w:rFonts w:ascii="Calibri" w:hAnsi="Calibri"/>
        </w:rPr>
      </w:pPr>
      <w:r>
        <w:rPr>
          <w:rFonts w:hint="eastAsia" w:ascii="Calibri" w:hAnsi="Calibri"/>
        </w:rPr>
        <w:t>反面</w:t>
      </w:r>
    </w:p>
    <w:p>
      <w:pPr>
        <w:pStyle w:val="91"/>
        <w:pBdr>
          <w:top w:val="dashed" w:color="auto" w:sz="4" w:space="1"/>
          <w:left w:val="dashed" w:color="auto" w:sz="4" w:space="4"/>
          <w:bottom w:val="dashed" w:color="auto" w:sz="4" w:space="1"/>
          <w:right w:val="dashed" w:color="auto" w:sz="4" w:space="4"/>
        </w:pBdr>
        <w:rPr>
          <w:rFonts w:ascii="Calibri" w:hAnsi="Calibri"/>
        </w:rPr>
      </w:pPr>
    </w:p>
    <w:p>
      <w:pPr>
        <w:pStyle w:val="91"/>
        <w:pBdr>
          <w:top w:val="dashed" w:color="auto" w:sz="4" w:space="1"/>
          <w:left w:val="dashed" w:color="auto" w:sz="4" w:space="4"/>
          <w:bottom w:val="dashed" w:color="auto" w:sz="4" w:space="1"/>
          <w:right w:val="dashed" w:color="auto" w:sz="4" w:space="4"/>
        </w:pBdr>
        <w:rPr>
          <w:rFonts w:ascii="Calibri" w:hAnsi="Calibri"/>
        </w:rPr>
      </w:pPr>
    </w:p>
    <w:p>
      <w:pPr>
        <w:pStyle w:val="91"/>
        <w:pBdr>
          <w:top w:val="dashed" w:color="auto" w:sz="4" w:space="1"/>
          <w:left w:val="dashed" w:color="auto" w:sz="4" w:space="4"/>
          <w:bottom w:val="dashed" w:color="auto" w:sz="4" w:space="1"/>
          <w:right w:val="dashed" w:color="auto" w:sz="4" w:space="4"/>
        </w:pBdr>
        <w:rPr>
          <w:rFonts w:ascii="Calibri" w:hAnsi="Calibri"/>
        </w:rPr>
      </w:pPr>
    </w:p>
    <w:p>
      <w:pPr>
        <w:pStyle w:val="91"/>
        <w:pBdr>
          <w:top w:val="dashed" w:color="auto" w:sz="4" w:space="1"/>
          <w:left w:val="dashed" w:color="auto" w:sz="4" w:space="4"/>
          <w:bottom w:val="dashed" w:color="auto" w:sz="4" w:space="1"/>
          <w:right w:val="dashed" w:color="auto" w:sz="4" w:space="4"/>
        </w:pBdr>
        <w:rPr>
          <w:rFonts w:ascii="Calibri" w:hAnsi="Calibri"/>
        </w:rPr>
      </w:pPr>
    </w:p>
    <w:p>
      <w:pPr>
        <w:pStyle w:val="91"/>
        <w:pBdr>
          <w:top w:val="dashed" w:color="auto" w:sz="4" w:space="1"/>
          <w:left w:val="dashed" w:color="auto" w:sz="4" w:space="4"/>
          <w:bottom w:val="dashed" w:color="auto" w:sz="4" w:space="1"/>
          <w:right w:val="dashed" w:color="auto" w:sz="4" w:space="4"/>
        </w:pBdr>
        <w:rPr>
          <w:rFonts w:ascii="Calibri" w:hAnsi="Calibri"/>
        </w:rPr>
      </w:pPr>
    </w:p>
    <w:p>
      <w:pPr>
        <w:pStyle w:val="91"/>
        <w:pBdr>
          <w:top w:val="dashed" w:color="auto" w:sz="4" w:space="1"/>
          <w:left w:val="dashed" w:color="auto" w:sz="4" w:space="4"/>
          <w:bottom w:val="dashed" w:color="auto" w:sz="4" w:space="1"/>
          <w:right w:val="dashed" w:color="auto" w:sz="4" w:space="4"/>
        </w:pBdr>
        <w:rPr>
          <w:rFonts w:ascii="Calibri" w:hAnsi="Calibri"/>
        </w:rPr>
      </w:pPr>
    </w:p>
    <w:p>
      <w:pPr>
        <w:pStyle w:val="91"/>
        <w:rPr>
          <w:rFonts w:ascii="Times New Roman" w:hAnsi="Times New Roman"/>
        </w:rPr>
      </w:pPr>
    </w:p>
    <w:p>
      <w:pPr>
        <w:pStyle w:val="91"/>
        <w:rPr>
          <w:rFonts w:ascii="Times New Roman" w:hAnsi="Times New Roman"/>
        </w:rPr>
      </w:pPr>
      <w:bookmarkStart w:id="90" w:name="_Ref477452413"/>
      <w:bookmarkStart w:id="91" w:name="_Toc86202648"/>
      <w:bookmarkStart w:id="92" w:name="_Ref477452443"/>
      <w:r>
        <w:rPr>
          <w:rFonts w:hint="eastAsia" w:ascii="Times New Roman" w:hAnsi="Times New Roman"/>
        </w:rPr>
        <w:t>注：除可填报项目外，对本委托书的任何实质性修改将被视为非实质性响应，从而导致该响应被拒绝。</w:t>
      </w:r>
      <w:r>
        <w:rPr>
          <w:rFonts w:ascii="Times New Roman" w:hAnsi="Times New Roman"/>
        </w:rPr>
        <w:br w:type="page"/>
      </w:r>
    </w:p>
    <w:p>
      <w:pPr>
        <w:pStyle w:val="44"/>
        <w:numPr>
          <w:ilvl w:val="0"/>
          <w:numId w:val="39"/>
        </w:numPr>
        <w:adjustRightInd/>
        <w:spacing w:line="415" w:lineRule="auto"/>
        <w:ind w:left="420"/>
        <w:jc w:val="both"/>
        <w:textAlignment w:val="auto"/>
        <w:rPr>
          <w:kern w:val="2"/>
        </w:rPr>
      </w:pPr>
      <w:r>
        <w:rPr>
          <w:kern w:val="2"/>
        </w:rPr>
        <w:t xml:space="preserve">  </w:t>
      </w:r>
      <w:bookmarkStart w:id="93" w:name="_Ref477454981"/>
      <w:bookmarkStart w:id="94" w:name="_Toc486583491"/>
      <w:r>
        <w:rPr>
          <w:rFonts w:hint="eastAsia"/>
          <w:kern w:val="2"/>
        </w:rPr>
        <w:t>商务条款偏离表</w:t>
      </w:r>
      <w:bookmarkEnd w:id="90"/>
      <w:bookmarkEnd w:id="91"/>
      <w:bookmarkEnd w:id="92"/>
      <w:bookmarkEnd w:id="93"/>
      <w:bookmarkEnd w:id="94"/>
    </w:p>
    <w:p>
      <w:pPr>
        <w:spacing w:line="400" w:lineRule="exact"/>
        <w:ind w:firstLine="420" w:firstLineChars="200"/>
        <w:jc w:val="both"/>
        <w:rPr>
          <w:sz w:val="21"/>
          <w:szCs w:val="21"/>
        </w:rPr>
      </w:pPr>
      <w:bookmarkStart w:id="95" w:name="_Toc86202649"/>
      <w:r>
        <w:rPr>
          <w:rFonts w:hint="eastAsia"/>
          <w:sz w:val="21"/>
          <w:szCs w:val="21"/>
        </w:rPr>
        <w:t>如响应人提交的响应文件商务条款及合同条款与磋商文件的要求存在偏离，需逐项填写该表，完全满足磋商文件要求的响应人需应答</w:t>
      </w:r>
      <w:r>
        <w:rPr>
          <w:sz w:val="21"/>
          <w:szCs w:val="21"/>
        </w:rPr>
        <w:t>“</w:t>
      </w:r>
      <w:r>
        <w:rPr>
          <w:rFonts w:hint="eastAsia"/>
          <w:sz w:val="21"/>
          <w:szCs w:val="21"/>
        </w:rPr>
        <w:t>完全满足磋商文件的全部要求</w:t>
      </w:r>
      <w:r>
        <w:rPr>
          <w:sz w:val="21"/>
          <w:szCs w:val="21"/>
        </w:rPr>
        <w:t>”</w:t>
      </w:r>
      <w:r>
        <w:rPr>
          <w:rFonts w:hint="eastAsia"/>
          <w:sz w:val="21"/>
          <w:szCs w:val="21"/>
        </w:rPr>
        <w:t>。</w:t>
      </w:r>
    </w:p>
    <w:p>
      <w:pPr>
        <w:spacing w:line="400" w:lineRule="exact"/>
        <w:ind w:firstLine="480" w:firstLineChars="200"/>
        <w:jc w:val="both"/>
        <w:rPr>
          <w:sz w:val="21"/>
          <w:szCs w:val="21"/>
          <w:u w:val="single"/>
        </w:rPr>
      </w:pPr>
      <w:r>
        <mc:AlternateContent>
          <mc:Choice Requires="wps">
            <w:drawing>
              <wp:anchor distT="0" distB="0" distL="114300" distR="114300" simplePos="0" relativeHeight="251657216" behindDoc="1" locked="0" layoutInCell="1" allowOverlap="1">
                <wp:simplePos x="0" y="0"/>
                <wp:positionH relativeFrom="column">
                  <wp:posOffset>-37465</wp:posOffset>
                </wp:positionH>
                <wp:positionV relativeFrom="paragraph">
                  <wp:posOffset>20320</wp:posOffset>
                </wp:positionV>
                <wp:extent cx="5844540" cy="3253740"/>
                <wp:effectExtent l="9525" t="11430" r="13335" b="1143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5844540" cy="3253740"/>
                        </a:xfrm>
                        <a:prstGeom prst="rect">
                          <a:avLst/>
                        </a:prstGeom>
                        <a:solidFill>
                          <a:srgbClr val="FFFFFF"/>
                        </a:solidFill>
                        <a:ln w="9525">
                          <a:solidFill>
                            <a:srgbClr val="000000"/>
                          </a:solidFill>
                          <a:prstDash val="dash"/>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95pt;margin-top:1.6pt;height:256.2pt;width:460.2pt;z-index:-251659264;mso-width-relative:page;mso-height-relative:page;" fillcolor="#FFFFFF" filled="t" stroked="t" coordsize="21600,21600" o:gfxdata="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Q&#10;CXpA2QAAAAgBAAAPAAAAAAAAAAEAIAAAACIAAABkcnMvZG93bnJldi54bWxQSwECFAAUAAAACACH&#10;TuJAxRvIeiMCAAA6BAAADgAAAAAAAAABACAAAAAoAQAAZHJzL2Uyb0RvYy54bWxQSwUGAAAAAAYA&#10;BgBZAQAAvQUAAAAA&#10;">
                <v:fill on="t" focussize="0,0"/>
                <v:stroke color="#000000" miterlimit="2" joinstyle="miter" dashstyle="dash"/>
                <v:imagedata o:title=""/>
                <o:lock v:ext="edit" aspectratio="f"/>
              </v:rect>
            </w:pict>
          </mc:Fallback>
        </mc:AlternateContent>
      </w:r>
      <w:r>
        <w:rPr>
          <w:rFonts w:hint="eastAsia"/>
          <w:sz w:val="21"/>
          <w:szCs w:val="21"/>
        </w:rPr>
        <w:t>项目名称：</w:t>
      </w:r>
    </w:p>
    <w:p>
      <w:pPr>
        <w:spacing w:line="400" w:lineRule="exact"/>
        <w:ind w:firstLine="420" w:firstLineChars="200"/>
        <w:jc w:val="both"/>
        <w:rPr>
          <w:sz w:val="21"/>
          <w:szCs w:val="21"/>
          <w:u w:val="single"/>
        </w:rPr>
      </w:pPr>
      <w:r>
        <w:rPr>
          <w:rFonts w:hint="eastAsia"/>
          <w:sz w:val="21"/>
          <w:szCs w:val="21"/>
        </w:rPr>
        <w:t>项目编号：</w:t>
      </w:r>
    </w:p>
    <w:p>
      <w:pPr>
        <w:spacing w:line="400" w:lineRule="exact"/>
        <w:ind w:firstLine="420" w:firstLineChars="200"/>
        <w:jc w:val="both"/>
        <w:rPr>
          <w:sz w:val="21"/>
          <w:szCs w:val="21"/>
          <w:u w:val="single"/>
        </w:rPr>
      </w:pPr>
      <w:r>
        <w:rPr>
          <w:rFonts w:hint="eastAsia"/>
          <w:sz w:val="21"/>
          <w:szCs w:val="21"/>
        </w:rPr>
        <w:t>响应人名称：</w:t>
      </w:r>
    </w:p>
    <w:p>
      <w:pPr>
        <w:spacing w:line="400" w:lineRule="exact"/>
        <w:ind w:firstLine="420" w:firstLineChars="200"/>
        <w:jc w:val="both"/>
        <w:rPr>
          <w:sz w:val="21"/>
          <w:szCs w:val="21"/>
          <w:u w:val="single"/>
        </w:rPr>
      </w:pPr>
      <w:r>
        <w:rPr>
          <w:rFonts w:hint="eastAsia"/>
          <w:sz w:val="21"/>
          <w:szCs w:val="21"/>
        </w:rPr>
        <w:t>包号：（以包为单位分别填写，没有分包的项目本栏可不填写）</w:t>
      </w:r>
    </w:p>
    <w:p>
      <w:pPr>
        <w:spacing w:line="400" w:lineRule="exact"/>
        <w:ind w:firstLine="420" w:firstLineChars="200"/>
        <w:jc w:val="both"/>
        <w:rPr>
          <w:sz w:val="21"/>
          <w:szCs w:val="22"/>
        </w:rPr>
      </w:pPr>
    </w:p>
    <w:tbl>
      <w:tblPr>
        <w:tblStyle w:val="42"/>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00"/>
        <w:gridCol w:w="2400"/>
        <w:gridCol w:w="2294"/>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spacing w:line="400" w:lineRule="exact"/>
              <w:jc w:val="both"/>
              <w:rPr>
                <w:sz w:val="21"/>
                <w:szCs w:val="21"/>
              </w:rPr>
            </w:pPr>
            <w:r>
              <w:rPr>
                <w:rFonts w:hint="eastAsia"/>
                <w:sz w:val="21"/>
                <w:szCs w:val="21"/>
              </w:rPr>
              <w:t>序号</w:t>
            </w:r>
          </w:p>
        </w:tc>
        <w:tc>
          <w:tcPr>
            <w:tcW w:w="1800" w:type="dxa"/>
          </w:tcPr>
          <w:p>
            <w:pPr>
              <w:spacing w:line="400" w:lineRule="exact"/>
              <w:jc w:val="center"/>
              <w:rPr>
                <w:sz w:val="21"/>
                <w:szCs w:val="21"/>
              </w:rPr>
            </w:pPr>
            <w:r>
              <w:rPr>
                <w:rFonts w:hint="eastAsia"/>
                <w:sz w:val="21"/>
                <w:szCs w:val="21"/>
              </w:rPr>
              <w:t>磋商文件条目号</w:t>
            </w:r>
          </w:p>
        </w:tc>
        <w:tc>
          <w:tcPr>
            <w:tcW w:w="2400" w:type="dxa"/>
          </w:tcPr>
          <w:p>
            <w:pPr>
              <w:spacing w:line="400" w:lineRule="exact"/>
              <w:jc w:val="center"/>
              <w:rPr>
                <w:sz w:val="21"/>
                <w:szCs w:val="21"/>
              </w:rPr>
            </w:pPr>
            <w:r>
              <w:rPr>
                <w:rFonts w:hint="eastAsia"/>
                <w:sz w:val="21"/>
                <w:szCs w:val="21"/>
              </w:rPr>
              <w:t>磋商文件商务文件要求</w:t>
            </w:r>
          </w:p>
        </w:tc>
        <w:tc>
          <w:tcPr>
            <w:tcW w:w="2294" w:type="dxa"/>
          </w:tcPr>
          <w:p>
            <w:pPr>
              <w:spacing w:line="400" w:lineRule="exact"/>
              <w:jc w:val="center"/>
              <w:rPr>
                <w:sz w:val="21"/>
                <w:szCs w:val="21"/>
              </w:rPr>
            </w:pPr>
            <w:r>
              <w:rPr>
                <w:rFonts w:hint="eastAsia"/>
                <w:sz w:val="21"/>
                <w:szCs w:val="21"/>
              </w:rPr>
              <w:t>响应文件的应答</w:t>
            </w:r>
          </w:p>
        </w:tc>
        <w:tc>
          <w:tcPr>
            <w:tcW w:w="1801" w:type="dxa"/>
          </w:tcPr>
          <w:p>
            <w:pPr>
              <w:spacing w:line="400" w:lineRule="exact"/>
              <w:jc w:val="center"/>
              <w:rPr>
                <w:sz w:val="21"/>
                <w:szCs w:val="21"/>
              </w:rPr>
            </w:pPr>
            <w:r>
              <w:rPr>
                <w:rFonts w:hint="eastAsia"/>
                <w:sz w:val="21"/>
                <w:szCs w:val="21"/>
              </w:rPr>
              <w:t>说</w:t>
            </w:r>
            <w:r>
              <w:rPr>
                <w:sz w:val="21"/>
                <w:szCs w:val="21"/>
              </w:rPr>
              <w:t xml:space="preserve">  </w:t>
            </w:r>
            <w:r>
              <w:rPr>
                <w:rFonts w:hint="eastAsia"/>
                <w:sz w:val="21"/>
                <w:szCs w:val="21"/>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spacing w:line="400" w:lineRule="exact"/>
              <w:jc w:val="both"/>
              <w:rPr>
                <w:sz w:val="21"/>
                <w:szCs w:val="21"/>
              </w:rPr>
            </w:pPr>
          </w:p>
        </w:tc>
        <w:tc>
          <w:tcPr>
            <w:tcW w:w="1800" w:type="dxa"/>
          </w:tcPr>
          <w:p>
            <w:pPr>
              <w:spacing w:line="400" w:lineRule="exact"/>
              <w:jc w:val="both"/>
              <w:rPr>
                <w:sz w:val="21"/>
                <w:szCs w:val="21"/>
              </w:rPr>
            </w:pPr>
          </w:p>
        </w:tc>
        <w:tc>
          <w:tcPr>
            <w:tcW w:w="2400" w:type="dxa"/>
          </w:tcPr>
          <w:p>
            <w:pPr>
              <w:spacing w:line="400" w:lineRule="exact"/>
              <w:jc w:val="both"/>
              <w:rPr>
                <w:sz w:val="21"/>
                <w:szCs w:val="21"/>
              </w:rPr>
            </w:pPr>
          </w:p>
        </w:tc>
        <w:tc>
          <w:tcPr>
            <w:tcW w:w="2294" w:type="dxa"/>
          </w:tcPr>
          <w:p>
            <w:pPr>
              <w:spacing w:line="400" w:lineRule="exact"/>
              <w:jc w:val="both"/>
              <w:rPr>
                <w:sz w:val="21"/>
                <w:szCs w:val="21"/>
              </w:rPr>
            </w:pPr>
            <w:r>
              <w:rPr>
                <w:rFonts w:hint="eastAsia"/>
                <w:sz w:val="21"/>
                <w:szCs w:val="21"/>
              </w:rPr>
              <w:t>完全满足磋商文件的全部要求</w:t>
            </w:r>
          </w:p>
        </w:tc>
        <w:tc>
          <w:tcPr>
            <w:tcW w:w="1801" w:type="dxa"/>
          </w:tcPr>
          <w:p>
            <w:pPr>
              <w:spacing w:line="400" w:lineRule="exact"/>
              <w:jc w:val="both"/>
              <w:rPr>
                <w:sz w:val="21"/>
                <w:szCs w:val="21"/>
              </w:rPr>
            </w:pPr>
          </w:p>
        </w:tc>
      </w:tr>
    </w:tbl>
    <w:p>
      <w:pPr>
        <w:spacing w:line="400" w:lineRule="exact"/>
        <w:ind w:firstLine="420" w:firstLineChars="200"/>
        <w:jc w:val="both"/>
        <w:rPr>
          <w:sz w:val="21"/>
          <w:szCs w:val="21"/>
        </w:rPr>
      </w:pPr>
    </w:p>
    <w:p>
      <w:pPr>
        <w:spacing w:line="400" w:lineRule="exact"/>
        <w:ind w:firstLine="420" w:firstLineChars="200"/>
        <w:jc w:val="both"/>
        <w:rPr>
          <w:sz w:val="21"/>
          <w:szCs w:val="21"/>
        </w:rPr>
      </w:pPr>
      <w:r>
        <w:rPr>
          <w:rFonts w:hint="eastAsia"/>
          <w:sz w:val="21"/>
          <w:szCs w:val="21"/>
        </w:rPr>
        <w:t>响应人名称：</w:t>
      </w:r>
      <w:r>
        <w:rPr>
          <w:sz w:val="21"/>
          <w:szCs w:val="21"/>
        </w:rPr>
        <w:t xml:space="preserve">         </w:t>
      </w:r>
      <w:r>
        <w:rPr>
          <w:rFonts w:hint="eastAsia"/>
          <w:sz w:val="21"/>
          <w:szCs w:val="21"/>
        </w:rPr>
        <w:t>（加盖公章）</w:t>
      </w:r>
    </w:p>
    <w:p>
      <w:pPr>
        <w:spacing w:line="400" w:lineRule="exact"/>
        <w:ind w:firstLine="420" w:firstLineChars="200"/>
        <w:jc w:val="both"/>
        <w:rPr>
          <w:sz w:val="21"/>
          <w:szCs w:val="21"/>
          <w:u w:val="single"/>
        </w:rPr>
      </w:pPr>
      <w:r>
        <w:rPr>
          <w:rFonts w:hint="eastAsia"/>
          <w:sz w:val="21"/>
          <w:szCs w:val="21"/>
        </w:rPr>
        <w:t>响应人代表签字：</w:t>
      </w:r>
    </w:p>
    <w:p>
      <w:pPr>
        <w:pStyle w:val="91"/>
        <w:jc w:val="right"/>
        <w:rPr>
          <w:rFonts w:ascii="Times New Roman" w:hAnsi="Times New Roman"/>
        </w:rPr>
      </w:pPr>
      <w:r>
        <w:rPr>
          <w:rFonts w:hint="eastAsia" w:ascii="Times New Roman" w:hAnsi="Times New Roman"/>
        </w:rPr>
        <w:t>年</w:t>
      </w:r>
      <w:r>
        <w:rPr>
          <w:rFonts w:ascii="Times New Roman" w:hAnsi="Times New Roman"/>
        </w:rPr>
        <w:t xml:space="preserve">  </w:t>
      </w:r>
      <w:r>
        <w:rPr>
          <w:rFonts w:hint="eastAsia" w:ascii="Times New Roman" w:hAnsi="Times New Roman"/>
        </w:rPr>
        <w:t>月</w:t>
      </w:r>
      <w:r>
        <w:rPr>
          <w:rFonts w:ascii="Times New Roman" w:hAnsi="Times New Roman"/>
        </w:rPr>
        <w:t xml:space="preserve">  </w:t>
      </w:r>
      <w:r>
        <w:rPr>
          <w:rFonts w:hint="eastAsia" w:ascii="Times New Roman" w:hAnsi="Times New Roman"/>
        </w:rPr>
        <w:t>日</w:t>
      </w:r>
    </w:p>
    <w:p>
      <w:pPr>
        <w:pStyle w:val="91"/>
        <w:rPr>
          <w:rFonts w:ascii="Times New Roman" w:hAnsi="Times New Roman"/>
        </w:rPr>
      </w:pPr>
    </w:p>
    <w:p>
      <w:pPr>
        <w:pStyle w:val="91"/>
        <w:rPr>
          <w:rFonts w:ascii="Times New Roman" w:hAnsi="Times New Roman"/>
        </w:rPr>
      </w:pPr>
      <w:r>
        <w:rPr>
          <w:rFonts w:hint="eastAsia" w:ascii="Times New Roman" w:hAnsi="Times New Roman"/>
        </w:rPr>
        <w:t>注：本表格式可自制，若无商务偏离，请注明。</w:t>
      </w:r>
    </w:p>
    <w:bookmarkEnd w:id="95"/>
    <w:p>
      <w:pPr>
        <w:pStyle w:val="59"/>
        <w:spacing w:line="400" w:lineRule="exact"/>
        <w:rPr>
          <w:rFonts w:ascii="Times New Roman" w:hAnsi="Times New Roman" w:cs="Times New Roman"/>
          <w:color w:val="auto"/>
          <w:szCs w:val="21"/>
        </w:rPr>
        <w:sectPr>
          <w:footerReference r:id="rId10" w:type="first"/>
          <w:pgSz w:w="11909" w:h="16834"/>
          <w:pgMar w:top="1418" w:right="1418" w:bottom="1418" w:left="1559" w:header="851" w:footer="851" w:gutter="0"/>
          <w:pgNumType w:start="1"/>
          <w:cols w:space="720" w:num="1"/>
          <w:titlePg/>
        </w:sectPr>
      </w:pPr>
    </w:p>
    <w:p>
      <w:pPr>
        <w:pStyle w:val="44"/>
        <w:numPr>
          <w:ilvl w:val="0"/>
          <w:numId w:val="39"/>
        </w:numPr>
        <w:adjustRightInd/>
        <w:spacing w:line="415" w:lineRule="auto"/>
        <w:ind w:left="420"/>
        <w:jc w:val="both"/>
        <w:textAlignment w:val="auto"/>
        <w:rPr>
          <w:kern w:val="2"/>
        </w:rPr>
      </w:pPr>
      <w:bookmarkStart w:id="96" w:name="_Toc486583492"/>
      <w:r>
        <mc:AlternateContent>
          <mc:Choice Requires="wps">
            <w:drawing>
              <wp:anchor distT="0" distB="0" distL="114300" distR="114300" simplePos="0" relativeHeight="251658240" behindDoc="1" locked="0" layoutInCell="1" allowOverlap="1">
                <wp:simplePos x="0" y="0"/>
                <wp:positionH relativeFrom="column">
                  <wp:posOffset>-56515</wp:posOffset>
                </wp:positionH>
                <wp:positionV relativeFrom="paragraph">
                  <wp:posOffset>672465</wp:posOffset>
                </wp:positionV>
                <wp:extent cx="6019800" cy="4079875"/>
                <wp:effectExtent l="5715" t="11430" r="13335" b="13970"/>
                <wp:wrapNone/>
                <wp:docPr id="2" name="矩形 4"/>
                <wp:cNvGraphicFramePr/>
                <a:graphic xmlns:a="http://schemas.openxmlformats.org/drawingml/2006/main">
                  <a:graphicData uri="http://schemas.microsoft.com/office/word/2010/wordprocessingShape">
                    <wps:wsp>
                      <wps:cNvSpPr>
                        <a:spLocks noChangeArrowheads="1"/>
                      </wps:cNvSpPr>
                      <wps:spPr bwMode="auto">
                        <a:xfrm>
                          <a:off x="0" y="0"/>
                          <a:ext cx="6019800" cy="4079875"/>
                        </a:xfrm>
                        <a:prstGeom prst="rect">
                          <a:avLst/>
                        </a:prstGeom>
                        <a:solidFill>
                          <a:srgbClr val="FFFFFF"/>
                        </a:solidFill>
                        <a:ln w="9525">
                          <a:solidFill>
                            <a:srgbClr val="000000"/>
                          </a:solidFill>
                          <a:prstDash val="dash"/>
                          <a:miter lim="200000"/>
                        </a:ln>
                      </wps:spPr>
                      <wps:bodyPr rot="0" vert="horz" wrap="square" lIns="91440" tIns="45720" rIns="91440" bIns="45720" anchor="t" anchorCtr="0" upright="1">
                        <a:noAutofit/>
                      </wps:bodyPr>
                    </wps:wsp>
                  </a:graphicData>
                </a:graphic>
              </wp:anchor>
            </w:drawing>
          </mc:Choice>
          <mc:Fallback>
            <w:pict>
              <v:rect id="矩形 4" o:spid="_x0000_s1026" o:spt="1" style="position:absolute;left:0pt;margin-left:-4.45pt;margin-top:52.95pt;height:321.25pt;width:474pt;z-index:-251658240;mso-width-relative:page;mso-height-relative:page;" fillcolor="#FFFFFF" filled="t" stroked="t" coordsize="21600,21600" o:gfxdata="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r2Oh9oAAAAKAQAADwAAAAAAAAABACAAAAAiAAAAZHJzL2Rvd25yZXYueG1sUEsBAhQAFAAAAAgA&#10;h07iQLs5dBEjAgAAOgQAAA4AAAAAAAAAAQAgAAAAKQEAAGRycy9lMm9Eb2MueG1sUEsFBgAAAAAG&#10;AAYAWQEAAL4FAAAAAA==&#10;">
                <v:fill on="t" focussize="0,0"/>
                <v:stroke color="#000000" miterlimit="2" joinstyle="miter" dashstyle="dash"/>
                <v:imagedata o:title=""/>
                <o:lock v:ext="edit" aspectratio="f"/>
              </v:rect>
            </w:pict>
          </mc:Fallback>
        </mc:AlternateContent>
      </w:r>
      <w:r>
        <w:rPr>
          <w:kern w:val="2"/>
        </w:rPr>
        <w:t xml:space="preserve">  </w:t>
      </w:r>
      <w:bookmarkStart w:id="97" w:name="_Ref477454967"/>
      <w:r>
        <w:rPr>
          <w:rFonts w:hint="eastAsia"/>
          <w:kern w:val="2"/>
        </w:rPr>
        <w:t>报价一览表</w:t>
      </w:r>
      <w:bookmarkEnd w:id="96"/>
      <w:bookmarkEnd w:id="97"/>
    </w:p>
    <w:p>
      <w:pPr>
        <w:pStyle w:val="91"/>
        <w:rPr>
          <w:rFonts w:ascii="Times New Roman" w:hAnsi="Times New Roman"/>
        </w:rPr>
      </w:pPr>
      <w:r>
        <w:rPr>
          <w:rFonts w:hint="eastAsia" w:ascii="Times New Roman" w:hAnsi="Times New Roman"/>
        </w:rPr>
        <w:t>项目名称：</w:t>
      </w:r>
      <w:r>
        <w:fldChar w:fldCharType="begin"/>
      </w:r>
      <w:r>
        <w:instrText xml:space="preserve"> REF 项目名称 \h  \* MERGEFORMAT </w:instrText>
      </w:r>
      <w:r>
        <w:fldChar w:fldCharType="separate"/>
      </w:r>
      <w:r>
        <w:rPr>
          <w:rFonts w:ascii="Times New Roman" w:hAnsi="Times New Roman"/>
          <w:szCs w:val="21"/>
        </w:rPr>
        <w:t>中央财经大学</w:t>
      </w:r>
      <w:r>
        <w:rPr>
          <w:rFonts w:hint="eastAsia" w:ascii="Times New Roman" w:hAnsi="Times New Roman"/>
          <w:szCs w:val="21"/>
        </w:rPr>
        <w:t>沙河校区图书馆</w:t>
      </w:r>
      <w:r>
        <w:rPr>
          <w:rFonts w:ascii="Times New Roman" w:hAnsi="Times New Roman"/>
          <w:szCs w:val="21"/>
        </w:rPr>
        <w:t>电梯维保服务采购项目</w:t>
      </w:r>
      <w:r>
        <w:fldChar w:fldCharType="end"/>
      </w:r>
    </w:p>
    <w:p>
      <w:pPr>
        <w:pStyle w:val="91"/>
        <w:rPr>
          <w:rFonts w:ascii="Times New Roman" w:hAnsi="Times New Roman"/>
        </w:rPr>
      </w:pPr>
      <w:r>
        <w:rPr>
          <w:rFonts w:hint="eastAsia" w:ascii="Times New Roman" w:hAnsi="Times New Roman"/>
        </w:rPr>
        <w:t>项目编号：</w:t>
      </w:r>
    </w:p>
    <w:p>
      <w:pPr>
        <w:pStyle w:val="91"/>
        <w:rPr>
          <w:rFonts w:ascii="Times New Roman" w:hAnsi="Times New Roman"/>
        </w:rPr>
      </w:pPr>
      <w:r>
        <w:rPr>
          <w:rFonts w:hint="eastAsia" w:ascii="Times New Roman" w:hAnsi="Times New Roman"/>
        </w:rPr>
        <w:t>响应人名称：</w:t>
      </w:r>
    </w:p>
    <w:p>
      <w:pPr>
        <w:pStyle w:val="91"/>
        <w:rPr>
          <w:rFonts w:ascii="Times New Roman" w:hAnsi="Times New Roman"/>
        </w:rPr>
      </w:pPr>
      <w:r>
        <w:rPr>
          <w:rFonts w:hint="eastAsia" w:ascii="Times New Roman" w:hAnsi="Times New Roman"/>
        </w:rPr>
        <w:t>包号：（以包为单位分别填报，如无此项可不填写）</w:t>
      </w:r>
    </w:p>
    <w:p>
      <w:pPr>
        <w:pStyle w:val="91"/>
        <w:rPr>
          <w:rFonts w:ascii="Times New Roman" w:hAnsi="Times New Roman"/>
          <w:b/>
          <w:u w:val="single"/>
        </w:rPr>
      </w:pPr>
      <w:r>
        <w:rPr>
          <w:rFonts w:hint="eastAsia" w:ascii="Times New Roman" w:hAnsi="Times New Roman"/>
        </w:rPr>
        <w:t>价格单位：人</w:t>
      </w:r>
      <w:r>
        <w:rPr>
          <w:rFonts w:hint="eastAsia" w:ascii="Times New Roman" w:hAnsi="Times New Roman"/>
          <w:szCs w:val="21"/>
        </w:rPr>
        <w:t>民币元</w:t>
      </w:r>
    </w:p>
    <w:tbl>
      <w:tblPr>
        <w:tblStyle w:val="42"/>
        <w:tblW w:w="8788" w:type="dxa"/>
        <w:tblInd w:w="25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112"/>
        <w:gridCol w:w="709"/>
        <w:gridCol w:w="709"/>
        <w:gridCol w:w="709"/>
        <w:gridCol w:w="1050"/>
        <w:gridCol w:w="688"/>
        <w:gridCol w:w="992"/>
        <w:gridCol w:w="21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692" w:type="dxa"/>
            <w:tcBorders>
              <w:top w:val="single" w:color="auto" w:sz="12" w:space="0"/>
              <w:left w:val="single" w:color="auto" w:sz="12" w:space="0"/>
              <w:bottom w:val="single" w:color="auto" w:sz="4" w:space="0"/>
              <w:right w:val="single" w:color="auto" w:sz="4" w:space="0"/>
            </w:tcBorders>
            <w:vAlign w:val="center"/>
          </w:tcPr>
          <w:p>
            <w:pPr>
              <w:pStyle w:val="91"/>
              <w:ind w:firstLine="0" w:firstLineChars="0"/>
              <w:rPr>
                <w:rFonts w:ascii="Times New Roman" w:hAnsi="Times New Roman"/>
                <w:color w:val="auto"/>
              </w:rPr>
            </w:pPr>
            <w:r>
              <w:rPr>
                <w:rFonts w:hint="eastAsia" w:ascii="Times New Roman" w:hAnsi="Times New Roman"/>
                <w:color w:val="auto"/>
              </w:rPr>
              <w:t>序号</w:t>
            </w:r>
          </w:p>
        </w:tc>
        <w:tc>
          <w:tcPr>
            <w:tcW w:w="1112" w:type="dxa"/>
            <w:tcBorders>
              <w:top w:val="single" w:color="auto" w:sz="12" w:space="0"/>
              <w:left w:val="single" w:color="auto" w:sz="4" w:space="0"/>
              <w:bottom w:val="single" w:color="auto" w:sz="4" w:space="0"/>
              <w:right w:val="single" w:color="auto" w:sz="4" w:space="0"/>
            </w:tcBorders>
            <w:vAlign w:val="center"/>
          </w:tcPr>
          <w:p>
            <w:pPr>
              <w:pStyle w:val="91"/>
              <w:ind w:firstLine="0" w:firstLineChars="0"/>
              <w:rPr>
                <w:rFonts w:ascii="Times New Roman" w:hAnsi="Times New Roman"/>
                <w:color w:val="auto"/>
              </w:rPr>
            </w:pPr>
            <w:r>
              <w:rPr>
                <w:rFonts w:hint="eastAsia" w:ascii="Times New Roman" w:hAnsi="Times New Roman"/>
                <w:color w:val="auto"/>
              </w:rPr>
              <w:t>货物名称</w:t>
            </w:r>
          </w:p>
        </w:tc>
        <w:tc>
          <w:tcPr>
            <w:tcW w:w="709" w:type="dxa"/>
            <w:tcBorders>
              <w:top w:val="single" w:color="auto" w:sz="12" w:space="0"/>
              <w:left w:val="single" w:color="auto" w:sz="4" w:space="0"/>
              <w:bottom w:val="single" w:color="auto" w:sz="4" w:space="0"/>
              <w:right w:val="single" w:color="auto" w:sz="4" w:space="0"/>
            </w:tcBorders>
            <w:vAlign w:val="center"/>
          </w:tcPr>
          <w:p>
            <w:pPr>
              <w:pStyle w:val="91"/>
              <w:ind w:firstLine="0" w:firstLineChars="0"/>
              <w:rPr>
                <w:rFonts w:ascii="Times New Roman" w:hAnsi="Times New Roman"/>
                <w:color w:val="auto"/>
              </w:rPr>
            </w:pPr>
            <w:r>
              <w:rPr>
                <w:rFonts w:hint="eastAsia" w:ascii="Times New Roman" w:hAnsi="Times New Roman"/>
                <w:color w:val="auto"/>
              </w:rPr>
              <w:t>品牌</w:t>
            </w:r>
          </w:p>
        </w:tc>
        <w:tc>
          <w:tcPr>
            <w:tcW w:w="709" w:type="dxa"/>
            <w:tcBorders>
              <w:top w:val="single" w:color="auto" w:sz="12" w:space="0"/>
              <w:left w:val="single" w:color="auto" w:sz="4" w:space="0"/>
              <w:bottom w:val="single" w:color="auto" w:sz="4" w:space="0"/>
              <w:right w:val="single" w:color="auto" w:sz="4" w:space="0"/>
            </w:tcBorders>
            <w:vAlign w:val="center"/>
          </w:tcPr>
          <w:p>
            <w:pPr>
              <w:pStyle w:val="91"/>
              <w:ind w:firstLine="0" w:firstLineChars="0"/>
              <w:rPr>
                <w:rFonts w:ascii="Times New Roman" w:hAnsi="Times New Roman"/>
                <w:color w:val="auto"/>
              </w:rPr>
            </w:pPr>
            <w:r>
              <w:rPr>
                <w:rFonts w:hint="eastAsia" w:ascii="Times New Roman" w:hAnsi="Times New Roman"/>
                <w:color w:val="auto"/>
              </w:rPr>
              <w:t>型号</w:t>
            </w:r>
          </w:p>
        </w:tc>
        <w:tc>
          <w:tcPr>
            <w:tcW w:w="709" w:type="dxa"/>
            <w:tcBorders>
              <w:top w:val="single" w:color="auto" w:sz="12" w:space="0"/>
              <w:left w:val="single" w:color="auto" w:sz="4" w:space="0"/>
              <w:bottom w:val="single" w:color="auto" w:sz="4" w:space="0"/>
              <w:right w:val="single" w:color="auto" w:sz="4" w:space="0"/>
            </w:tcBorders>
            <w:vAlign w:val="center"/>
          </w:tcPr>
          <w:p>
            <w:pPr>
              <w:pStyle w:val="91"/>
              <w:ind w:firstLine="0" w:firstLineChars="0"/>
              <w:rPr>
                <w:rFonts w:ascii="Times New Roman" w:hAnsi="Times New Roman"/>
                <w:color w:val="auto"/>
              </w:rPr>
            </w:pPr>
            <w:r>
              <w:rPr>
                <w:rFonts w:hint="eastAsia" w:ascii="Times New Roman" w:hAnsi="Times New Roman"/>
                <w:color w:val="auto"/>
              </w:rPr>
              <w:t>数量</w:t>
            </w:r>
          </w:p>
        </w:tc>
        <w:tc>
          <w:tcPr>
            <w:tcW w:w="1050" w:type="dxa"/>
            <w:tcBorders>
              <w:top w:val="single" w:color="auto" w:sz="12" w:space="0"/>
              <w:left w:val="single" w:color="auto" w:sz="4" w:space="0"/>
              <w:bottom w:val="single" w:color="auto" w:sz="4" w:space="0"/>
              <w:right w:val="single" w:color="auto" w:sz="4" w:space="0"/>
            </w:tcBorders>
            <w:vAlign w:val="center"/>
          </w:tcPr>
          <w:p>
            <w:pPr>
              <w:pStyle w:val="91"/>
              <w:ind w:firstLine="0" w:firstLineChars="0"/>
              <w:rPr>
                <w:rFonts w:ascii="Times New Roman" w:hAnsi="Times New Roman"/>
                <w:color w:val="auto"/>
              </w:rPr>
            </w:pPr>
            <w:r>
              <w:rPr>
                <w:rFonts w:ascii="Times New Roman" w:hAnsi="Times New Roman"/>
                <w:color w:val="auto"/>
              </w:rPr>
              <w:t>维保</w:t>
            </w:r>
          </w:p>
          <w:p>
            <w:pPr>
              <w:pStyle w:val="91"/>
              <w:ind w:firstLine="0" w:firstLineChars="0"/>
              <w:rPr>
                <w:rFonts w:ascii="Times New Roman" w:hAnsi="Times New Roman"/>
                <w:color w:val="auto"/>
              </w:rPr>
            </w:pPr>
            <w:r>
              <w:rPr>
                <w:rFonts w:ascii="Times New Roman" w:hAnsi="Times New Roman"/>
                <w:color w:val="auto"/>
              </w:rPr>
              <w:t>方式</w:t>
            </w:r>
          </w:p>
        </w:tc>
        <w:tc>
          <w:tcPr>
            <w:tcW w:w="688" w:type="dxa"/>
            <w:tcBorders>
              <w:top w:val="single" w:color="auto" w:sz="12" w:space="0"/>
              <w:left w:val="single" w:color="auto" w:sz="4" w:space="0"/>
              <w:bottom w:val="single" w:color="auto" w:sz="4" w:space="0"/>
              <w:right w:val="single" w:color="auto" w:sz="4" w:space="0"/>
            </w:tcBorders>
            <w:vAlign w:val="center"/>
          </w:tcPr>
          <w:p>
            <w:pPr>
              <w:pStyle w:val="91"/>
              <w:ind w:firstLine="0" w:firstLineChars="0"/>
              <w:rPr>
                <w:rFonts w:ascii="Times New Roman" w:hAnsi="Times New Roman"/>
                <w:color w:val="auto"/>
              </w:rPr>
            </w:pPr>
            <w:r>
              <w:rPr>
                <w:rFonts w:hint="eastAsia" w:ascii="Times New Roman" w:hAnsi="Times New Roman"/>
                <w:color w:val="auto"/>
              </w:rPr>
              <w:t>维保单价</w:t>
            </w:r>
          </w:p>
        </w:tc>
        <w:tc>
          <w:tcPr>
            <w:tcW w:w="992" w:type="dxa"/>
            <w:tcBorders>
              <w:top w:val="single" w:color="auto" w:sz="12" w:space="0"/>
              <w:left w:val="single" w:color="auto" w:sz="4" w:space="0"/>
              <w:bottom w:val="single" w:color="auto" w:sz="4" w:space="0"/>
              <w:right w:val="single" w:color="auto" w:sz="4" w:space="0"/>
            </w:tcBorders>
            <w:vAlign w:val="center"/>
          </w:tcPr>
          <w:p>
            <w:pPr>
              <w:pStyle w:val="91"/>
              <w:ind w:firstLine="0" w:firstLineChars="0"/>
              <w:rPr>
                <w:rFonts w:ascii="Times New Roman" w:hAnsi="Times New Roman"/>
                <w:color w:val="auto"/>
              </w:rPr>
            </w:pPr>
            <w:r>
              <w:rPr>
                <w:rFonts w:hint="eastAsia" w:ascii="Times New Roman" w:hAnsi="Times New Roman"/>
                <w:color w:val="auto"/>
              </w:rPr>
              <w:t>维保</w:t>
            </w:r>
          </w:p>
          <w:p>
            <w:pPr>
              <w:pStyle w:val="91"/>
              <w:ind w:firstLine="0" w:firstLineChars="0"/>
              <w:rPr>
                <w:rFonts w:ascii="Times New Roman" w:hAnsi="Times New Roman"/>
                <w:color w:val="auto"/>
              </w:rPr>
            </w:pPr>
            <w:r>
              <w:rPr>
                <w:rFonts w:hint="eastAsia" w:ascii="Times New Roman" w:hAnsi="Times New Roman"/>
                <w:color w:val="auto"/>
              </w:rPr>
              <w:t>总价</w:t>
            </w:r>
          </w:p>
        </w:tc>
        <w:tc>
          <w:tcPr>
            <w:tcW w:w="2127" w:type="dxa"/>
            <w:tcBorders>
              <w:top w:val="single" w:color="auto" w:sz="12" w:space="0"/>
              <w:left w:val="single" w:color="auto" w:sz="4" w:space="0"/>
              <w:bottom w:val="single" w:color="auto" w:sz="4" w:space="0"/>
              <w:right w:val="single" w:color="auto" w:sz="4" w:space="0"/>
            </w:tcBorders>
            <w:vAlign w:val="center"/>
          </w:tcPr>
          <w:p>
            <w:pPr>
              <w:pStyle w:val="91"/>
              <w:ind w:firstLine="0" w:firstLineChars="0"/>
              <w:rPr>
                <w:rFonts w:ascii="Times New Roman" w:hAnsi="Times New Roman"/>
                <w:color w:val="auto"/>
              </w:rPr>
            </w:pPr>
            <w:r>
              <w:rPr>
                <w:rFonts w:hint="eastAsia" w:ascii="Times New Roman" w:hAnsi="Times New Roman"/>
                <w:color w:val="auto"/>
              </w:rPr>
              <w:t>售后服务承诺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91"/>
              <w:ind w:firstLine="0" w:firstLineChars="0"/>
              <w:rPr>
                <w:rFonts w:ascii="Times New Roman" w:hAnsi="Times New Roman"/>
                <w:color w:val="auto"/>
              </w:rPr>
            </w:pPr>
          </w:p>
        </w:tc>
        <w:tc>
          <w:tcPr>
            <w:tcW w:w="1112" w:type="dxa"/>
            <w:tcBorders>
              <w:top w:val="single" w:color="auto" w:sz="4" w:space="0"/>
              <w:left w:val="single" w:color="auto" w:sz="4" w:space="0"/>
              <w:bottom w:val="single" w:color="auto" w:sz="4" w:space="0"/>
              <w:right w:val="single" w:color="auto" w:sz="4" w:space="0"/>
            </w:tcBorders>
            <w:vAlign w:val="center"/>
          </w:tcPr>
          <w:p>
            <w:pPr>
              <w:pStyle w:val="91"/>
              <w:ind w:firstLine="0" w:firstLineChars="0"/>
              <w:rPr>
                <w:rFonts w:ascii="Times New Roman" w:hAnsi="Times New Roman"/>
                <w:color w:val="auto"/>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91"/>
              <w:ind w:firstLine="0" w:firstLineChars="0"/>
              <w:rPr>
                <w:rFonts w:ascii="Times New Roman" w:hAnsi="Times New Roman"/>
                <w:color w:val="auto"/>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91"/>
              <w:ind w:firstLine="0" w:firstLineChars="0"/>
              <w:rPr>
                <w:rFonts w:ascii="Times New Roman" w:hAnsi="Times New Roman"/>
                <w:color w:val="auto"/>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91"/>
              <w:ind w:firstLine="0" w:firstLineChars="0"/>
              <w:rPr>
                <w:rFonts w:ascii="Times New Roman" w:hAnsi="Times New Roman"/>
                <w:color w:val="auto"/>
              </w:rPr>
            </w:pPr>
          </w:p>
        </w:tc>
        <w:tc>
          <w:tcPr>
            <w:tcW w:w="1050" w:type="dxa"/>
            <w:tcBorders>
              <w:top w:val="single" w:color="auto" w:sz="4" w:space="0"/>
              <w:left w:val="single" w:color="auto" w:sz="4" w:space="0"/>
              <w:bottom w:val="single" w:color="auto" w:sz="4" w:space="0"/>
              <w:right w:val="single" w:color="auto" w:sz="4" w:space="0"/>
            </w:tcBorders>
            <w:vAlign w:val="center"/>
          </w:tcPr>
          <w:p>
            <w:pPr>
              <w:pStyle w:val="91"/>
              <w:ind w:firstLine="0" w:firstLineChars="0"/>
              <w:rPr>
                <w:rFonts w:ascii="Times New Roman" w:hAnsi="Times New Roman"/>
                <w:color w:val="auto"/>
              </w:rPr>
            </w:pPr>
          </w:p>
        </w:tc>
        <w:tc>
          <w:tcPr>
            <w:tcW w:w="688" w:type="dxa"/>
            <w:tcBorders>
              <w:top w:val="single" w:color="auto" w:sz="4" w:space="0"/>
              <w:left w:val="single" w:color="auto" w:sz="4" w:space="0"/>
              <w:bottom w:val="single" w:color="auto" w:sz="4" w:space="0"/>
              <w:right w:val="single" w:color="auto" w:sz="4" w:space="0"/>
            </w:tcBorders>
            <w:vAlign w:val="center"/>
          </w:tcPr>
          <w:p>
            <w:pPr>
              <w:pStyle w:val="91"/>
              <w:ind w:firstLine="0" w:firstLineChars="0"/>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91"/>
              <w:ind w:firstLine="0" w:firstLineChars="0"/>
              <w:rPr>
                <w:rFonts w:ascii="Times New Roman" w:hAnsi="Times New Roman"/>
                <w:color w:val="auto"/>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91"/>
              <w:ind w:firstLine="0" w:firstLineChars="0"/>
              <w:rPr>
                <w:rFonts w:ascii="Times New Roman" w:hAnsi="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91"/>
              <w:ind w:firstLine="0" w:firstLineChars="0"/>
              <w:rPr>
                <w:rFonts w:ascii="Times New Roman" w:hAnsi="Times New Roman"/>
                <w:color w:val="auto"/>
              </w:rPr>
            </w:pPr>
            <w:r>
              <w:rPr>
                <w:rFonts w:hint="eastAsia" w:ascii="Times New Roman" w:hAnsi="Times New Roman"/>
                <w:color w:val="auto"/>
              </w:rPr>
              <w:t>合计：</w:t>
            </w:r>
          </w:p>
        </w:tc>
        <w:tc>
          <w:tcPr>
            <w:tcW w:w="2530" w:type="dxa"/>
            <w:gridSpan w:val="3"/>
            <w:tcBorders>
              <w:top w:val="single" w:color="auto" w:sz="4" w:space="0"/>
              <w:left w:val="single" w:color="auto" w:sz="4" w:space="0"/>
              <w:bottom w:val="single" w:color="auto" w:sz="4" w:space="0"/>
              <w:right w:val="single" w:color="auto" w:sz="4" w:space="0"/>
            </w:tcBorders>
            <w:vAlign w:val="center"/>
          </w:tcPr>
          <w:p>
            <w:pPr>
              <w:pStyle w:val="91"/>
              <w:ind w:firstLine="0" w:firstLineChars="0"/>
              <w:rPr>
                <w:rFonts w:ascii="Times New Roman" w:hAnsi="Times New Roman"/>
                <w:color w:val="auto"/>
              </w:rPr>
            </w:pPr>
            <w:r>
              <w:rPr>
                <w:rFonts w:hint="eastAsia" w:ascii="Times New Roman" w:hAnsi="Times New Roman"/>
                <w:color w:val="auto"/>
              </w:rPr>
              <w:t>小写：</w:t>
            </w:r>
            <w:r>
              <w:rPr>
                <w:rFonts w:ascii="Times New Roman" w:hAnsi="Times New Roman"/>
                <w:color w:val="auto"/>
              </w:rPr>
              <w:t xml:space="preserve">        </w:t>
            </w:r>
            <w:r>
              <w:rPr>
                <w:rFonts w:hint="eastAsia" w:ascii="Times New Roman" w:hAnsi="Times New Roman"/>
                <w:color w:val="auto"/>
              </w:rPr>
              <w:t>元</w:t>
            </w:r>
          </w:p>
        </w:tc>
        <w:tc>
          <w:tcPr>
            <w:tcW w:w="5566" w:type="dxa"/>
            <w:gridSpan w:val="5"/>
            <w:tcBorders>
              <w:top w:val="single" w:color="auto" w:sz="4" w:space="0"/>
              <w:bottom w:val="single" w:color="auto" w:sz="4" w:space="0"/>
              <w:right w:val="single" w:color="auto" w:sz="4" w:space="0"/>
            </w:tcBorders>
            <w:shd w:val="clear" w:color="auto" w:fill="auto"/>
          </w:tcPr>
          <w:p>
            <w:pPr>
              <w:widowControl/>
              <w:adjustRightInd/>
              <w:spacing w:line="240" w:lineRule="auto"/>
              <w:textAlignment w:val="auto"/>
              <w:rPr>
                <w:color w:val="auto"/>
              </w:rPr>
            </w:pPr>
          </w:p>
          <w:p>
            <w:pPr>
              <w:widowControl/>
              <w:adjustRightInd/>
              <w:spacing w:line="240" w:lineRule="auto"/>
              <w:textAlignment w:val="auto"/>
              <w:rPr>
                <w:color w:val="auto"/>
              </w:rPr>
            </w:pPr>
            <w:r>
              <w:rPr>
                <w:rFonts w:hint="eastAsia"/>
                <w:color w:val="auto"/>
              </w:rPr>
              <w:t>大写：                     元</w:t>
            </w:r>
          </w:p>
        </w:tc>
      </w:tr>
    </w:tbl>
    <w:p>
      <w:pPr>
        <w:pStyle w:val="20"/>
        <w:tabs>
          <w:tab w:val="left" w:pos="5580"/>
        </w:tabs>
        <w:spacing w:before="120" w:line="400" w:lineRule="exact"/>
        <w:ind w:firstLine="420" w:firstLineChars="200"/>
        <w:rPr>
          <w:rFonts w:ascii="Times New Roman" w:hAnsi="Times New Roman"/>
          <w:b/>
        </w:rPr>
      </w:pPr>
    </w:p>
    <w:p>
      <w:pPr>
        <w:pStyle w:val="20"/>
        <w:tabs>
          <w:tab w:val="left" w:pos="5580"/>
        </w:tabs>
        <w:spacing w:before="120" w:line="400" w:lineRule="exact"/>
        <w:ind w:firstLine="420" w:firstLineChars="200"/>
        <w:rPr>
          <w:rFonts w:ascii="Times New Roman" w:hAnsi="Times New Roman"/>
          <w:u w:val="single"/>
        </w:rPr>
      </w:pPr>
      <w:r>
        <w:rPr>
          <w:rFonts w:hint="eastAsia" w:ascii="Times New Roman" w:hAnsi="Times New Roman"/>
        </w:rPr>
        <w:t>响应人名称（盖章）：</w:t>
      </w:r>
    </w:p>
    <w:p>
      <w:pPr>
        <w:pStyle w:val="20"/>
        <w:tabs>
          <w:tab w:val="left" w:pos="5580"/>
        </w:tabs>
        <w:spacing w:before="120" w:line="400" w:lineRule="exact"/>
        <w:ind w:firstLine="420" w:firstLineChars="200"/>
        <w:rPr>
          <w:rFonts w:ascii="Times New Roman" w:hAnsi="Times New Roman"/>
        </w:rPr>
      </w:pPr>
      <w:r>
        <w:rPr>
          <w:rFonts w:hint="eastAsia" w:ascii="Times New Roman" w:hAnsi="Times New Roman"/>
        </w:rPr>
        <w:t>响应人授权代表（签字）：</w:t>
      </w:r>
    </w:p>
    <w:p>
      <w:pPr>
        <w:pStyle w:val="91"/>
        <w:jc w:val="right"/>
        <w:rPr>
          <w:rFonts w:ascii="Times New Roman" w:hAnsi="Times New Roman"/>
        </w:rPr>
      </w:pPr>
      <w:r>
        <w:rPr>
          <w:rFonts w:hint="eastAsia" w:ascii="Times New Roman" w:hAnsi="Times New Roman"/>
        </w:rPr>
        <w:t>年</w:t>
      </w:r>
      <w:r>
        <w:rPr>
          <w:rFonts w:ascii="Times New Roman" w:hAnsi="Times New Roman"/>
        </w:rPr>
        <w:t xml:space="preserve">  </w:t>
      </w:r>
      <w:r>
        <w:rPr>
          <w:rFonts w:hint="eastAsia" w:ascii="Times New Roman" w:hAnsi="Times New Roman"/>
        </w:rPr>
        <w:t>月</w:t>
      </w:r>
      <w:r>
        <w:rPr>
          <w:rFonts w:ascii="Times New Roman" w:hAnsi="Times New Roman"/>
        </w:rPr>
        <w:t xml:space="preserve">  </w:t>
      </w:r>
      <w:r>
        <w:rPr>
          <w:rFonts w:hint="eastAsia" w:ascii="Times New Roman" w:hAnsi="Times New Roman"/>
        </w:rPr>
        <w:t>日</w:t>
      </w:r>
    </w:p>
    <w:p>
      <w:pPr>
        <w:pStyle w:val="20"/>
        <w:tabs>
          <w:tab w:val="left" w:pos="5580"/>
        </w:tabs>
        <w:spacing w:before="120" w:line="400" w:lineRule="exact"/>
        <w:ind w:firstLine="420" w:firstLineChars="200"/>
        <w:rPr>
          <w:rFonts w:ascii="Times New Roman" w:hAnsi="Times New Roman"/>
        </w:rPr>
      </w:pPr>
    </w:p>
    <w:p>
      <w:pPr>
        <w:pStyle w:val="91"/>
        <w:rPr>
          <w:rFonts w:ascii="Times New Roman" w:hAnsi="Times New Roman"/>
        </w:rPr>
      </w:pPr>
      <w:r>
        <w:rPr>
          <w:rFonts w:hint="eastAsia" w:ascii="Times New Roman" w:hAnsi="Times New Roman"/>
        </w:rPr>
        <w:t>注：</w:t>
      </w:r>
      <w:r>
        <w:rPr>
          <w:rFonts w:ascii="Times New Roman" w:hAnsi="Times New Roman"/>
        </w:rPr>
        <w:t>1</w:t>
      </w:r>
      <w:r>
        <w:rPr>
          <w:rFonts w:hint="eastAsia" w:ascii="Times New Roman" w:hAnsi="Times New Roman"/>
        </w:rPr>
        <w:t>、此表应按响应人须知的规定密封标记并单独递交。</w:t>
      </w:r>
    </w:p>
    <w:p>
      <w:pPr>
        <w:pStyle w:val="91"/>
        <w:rPr>
          <w:rFonts w:ascii="Times New Roman" w:hAnsi="Times New Roman"/>
        </w:rPr>
      </w:pPr>
      <w:r>
        <w:rPr>
          <w:rFonts w:ascii="Times New Roman" w:hAnsi="Times New Roman"/>
        </w:rPr>
        <w:t>2</w:t>
      </w:r>
      <w:r>
        <w:rPr>
          <w:rFonts w:hint="eastAsia" w:ascii="Times New Roman" w:hAnsi="Times New Roman"/>
        </w:rPr>
        <w:t>、各项货物详细技术性能应另页描述。</w:t>
      </w:r>
    </w:p>
    <w:p>
      <w:pPr>
        <w:pStyle w:val="91"/>
        <w:rPr>
          <w:rFonts w:ascii="Times New Roman" w:hAnsi="Times New Roman"/>
        </w:rPr>
        <w:sectPr>
          <w:pgSz w:w="11906" w:h="16838"/>
          <w:pgMar w:top="1134" w:right="1134" w:bottom="1021" w:left="1418" w:header="851" w:footer="851" w:gutter="0"/>
          <w:cols w:space="720" w:num="1"/>
          <w:docGrid w:type="linesAndChars" w:linePitch="312" w:charSpace="0"/>
        </w:sectPr>
      </w:pPr>
      <w:r>
        <w:rPr>
          <w:rFonts w:ascii="Times New Roman" w:hAnsi="Times New Roman"/>
        </w:rPr>
        <w:t>3</w:t>
      </w:r>
      <w:r>
        <w:rPr>
          <w:rFonts w:hint="eastAsia" w:ascii="Times New Roman" w:hAnsi="Times New Roman"/>
        </w:rPr>
        <w:t>、除可填报项目外，对本表的任何实质性修改将被视为非实质性响应，从而导致响应被拒绝。</w:t>
      </w:r>
    </w:p>
    <w:p>
      <w:pPr>
        <w:pStyle w:val="44"/>
        <w:numPr>
          <w:ilvl w:val="0"/>
          <w:numId w:val="39"/>
        </w:numPr>
        <w:adjustRightInd/>
        <w:spacing w:line="415" w:lineRule="auto"/>
        <w:ind w:left="420"/>
        <w:jc w:val="both"/>
        <w:textAlignment w:val="auto"/>
        <w:rPr>
          <w:kern w:val="2"/>
        </w:rPr>
      </w:pPr>
      <w:bookmarkStart w:id="98" w:name="_Toc86202659"/>
      <w:r>
        <w:rPr>
          <w:kern w:val="2"/>
        </w:rPr>
        <w:t xml:space="preserve">  </w:t>
      </w:r>
      <w:bookmarkStart w:id="99" w:name="_Ref477454972"/>
      <w:bookmarkStart w:id="100" w:name="_Toc486583493"/>
      <w:r>
        <w:rPr>
          <w:rFonts w:hint="eastAsia"/>
          <w:kern w:val="2"/>
        </w:rPr>
        <w:t>响应人货物、服务项目偏离表</w:t>
      </w:r>
      <w:bookmarkEnd w:id="98"/>
      <w:bookmarkEnd w:id="99"/>
      <w:bookmarkEnd w:id="100"/>
    </w:p>
    <w:p>
      <w:pPr>
        <w:spacing w:line="400" w:lineRule="exact"/>
        <w:ind w:firstLine="420" w:firstLineChars="200"/>
        <w:jc w:val="both"/>
        <w:rPr>
          <w:sz w:val="21"/>
          <w:szCs w:val="21"/>
        </w:rPr>
      </w:pPr>
      <w:r>
        <w:rPr>
          <w:rFonts w:hint="eastAsia"/>
          <w:sz w:val="21"/>
          <w:szCs w:val="21"/>
        </w:rPr>
        <w:t>如响应人提供的货物、服务与磋商文件的要求存在偏离，需逐项填写该表，完全满足磋商文件要求的响应人需应答</w:t>
      </w:r>
      <w:r>
        <w:rPr>
          <w:sz w:val="21"/>
          <w:szCs w:val="21"/>
        </w:rPr>
        <w:t>“</w:t>
      </w:r>
      <w:r>
        <w:rPr>
          <w:rFonts w:hint="eastAsia"/>
          <w:sz w:val="21"/>
          <w:szCs w:val="21"/>
        </w:rPr>
        <w:t>完全满足磋商文件的全部要求</w:t>
      </w:r>
      <w:r>
        <w:rPr>
          <w:sz w:val="21"/>
          <w:szCs w:val="21"/>
        </w:rPr>
        <w:t>”</w:t>
      </w:r>
      <w:r>
        <w:rPr>
          <w:rFonts w:hint="eastAsia"/>
          <w:sz w:val="21"/>
          <w:szCs w:val="21"/>
        </w:rPr>
        <w:t>。</w:t>
      </w:r>
    </w:p>
    <w:p>
      <w:pPr>
        <w:spacing w:line="400" w:lineRule="exact"/>
        <w:ind w:firstLine="480" w:firstLineChars="200"/>
        <w:jc w:val="both"/>
        <w:rPr>
          <w:sz w:val="21"/>
          <w:szCs w:val="21"/>
        </w:rPr>
      </w:pPr>
      <w:r>
        <mc:AlternateContent>
          <mc:Choice Requires="wps">
            <w:drawing>
              <wp:anchor distT="0" distB="0" distL="114300" distR="114300" simplePos="0" relativeHeight="251658240" behindDoc="1" locked="0" layoutInCell="1" allowOverlap="1">
                <wp:simplePos x="0" y="0"/>
                <wp:positionH relativeFrom="column">
                  <wp:posOffset>635</wp:posOffset>
                </wp:positionH>
                <wp:positionV relativeFrom="paragraph">
                  <wp:posOffset>137160</wp:posOffset>
                </wp:positionV>
                <wp:extent cx="5707380" cy="3444240"/>
                <wp:effectExtent l="9525" t="7620" r="7620" b="5715"/>
                <wp:wrapNone/>
                <wp:docPr id="1" name="矩形 5"/>
                <wp:cNvGraphicFramePr/>
                <a:graphic xmlns:a="http://schemas.openxmlformats.org/drawingml/2006/main">
                  <a:graphicData uri="http://schemas.microsoft.com/office/word/2010/wordprocessingShape">
                    <wps:wsp>
                      <wps:cNvSpPr>
                        <a:spLocks noChangeArrowheads="1"/>
                      </wps:cNvSpPr>
                      <wps:spPr bwMode="auto">
                        <a:xfrm>
                          <a:off x="0" y="0"/>
                          <a:ext cx="5707380" cy="3444240"/>
                        </a:xfrm>
                        <a:prstGeom prst="rect">
                          <a:avLst/>
                        </a:prstGeom>
                        <a:solidFill>
                          <a:srgbClr val="FFFFFF"/>
                        </a:solidFill>
                        <a:ln w="9525">
                          <a:solidFill>
                            <a:srgbClr val="000000"/>
                          </a:solidFill>
                          <a:prstDash val="dash"/>
                          <a:miter lim="200000"/>
                        </a:ln>
                      </wps:spPr>
                      <wps:bodyPr rot="0" vert="horz" wrap="square" lIns="91440" tIns="45720" rIns="91440" bIns="45720" anchor="t" anchorCtr="0" upright="1">
                        <a:noAutofit/>
                      </wps:bodyPr>
                    </wps:wsp>
                  </a:graphicData>
                </a:graphic>
              </wp:anchor>
            </w:drawing>
          </mc:Choice>
          <mc:Fallback>
            <w:pict>
              <v:rect id="矩形 5" o:spid="_x0000_s1026" o:spt="1" style="position:absolute;left:0pt;margin-left:0.05pt;margin-top:10.8pt;height:271.2pt;width:449.4pt;z-index:-251658240;mso-width-relative:page;mso-height-relative:page;" fillcolor="#FFFFFF" filled="t" stroked="t" coordsize="21600,21600" o:gfxdata="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a&#10;ScLB1gAAAAcBAAAPAAAAAAAAAAEAIAAAACIAAABkcnMvZG93bnJldi54bWxQSwECFAAUAAAACACH&#10;TuJAZa354SYCAAA6BAAADgAAAAAAAAABACAAAAAlAQAAZHJzL2Uyb0RvYy54bWxQSwUGAAAAAAYA&#10;BgBZAQAAvQUAAAAA&#10;">
                <v:fill on="t" focussize="0,0"/>
                <v:stroke color="#000000" miterlimit="2" joinstyle="miter" dashstyle="dash"/>
                <v:imagedata o:title=""/>
                <o:lock v:ext="edit" aspectratio="f"/>
              </v:rect>
            </w:pict>
          </mc:Fallback>
        </mc:AlternateContent>
      </w:r>
    </w:p>
    <w:p>
      <w:pPr>
        <w:spacing w:line="400" w:lineRule="exact"/>
        <w:ind w:firstLine="420" w:firstLineChars="200"/>
        <w:rPr>
          <w:sz w:val="21"/>
          <w:szCs w:val="21"/>
          <w:u w:val="single"/>
        </w:rPr>
      </w:pPr>
      <w:r>
        <w:rPr>
          <w:rFonts w:hint="eastAsia"/>
          <w:sz w:val="21"/>
          <w:szCs w:val="21"/>
        </w:rPr>
        <w:t>项目名称：</w:t>
      </w:r>
      <w:r>
        <w:fldChar w:fldCharType="begin"/>
      </w:r>
      <w:r>
        <w:instrText xml:space="preserve"> REF 项目名称 \h  \* MERGEFORMAT </w:instrText>
      </w:r>
      <w:r>
        <w:fldChar w:fldCharType="separate"/>
      </w:r>
      <w:r>
        <w:rPr>
          <w:sz w:val="21"/>
          <w:szCs w:val="21"/>
        </w:rPr>
        <w:t>中央财经大学</w:t>
      </w:r>
      <w:r>
        <w:rPr>
          <w:rFonts w:hint="eastAsia"/>
          <w:sz w:val="21"/>
          <w:szCs w:val="21"/>
        </w:rPr>
        <w:t>沙河校区图书馆</w:t>
      </w:r>
      <w:r>
        <w:rPr>
          <w:sz w:val="21"/>
          <w:szCs w:val="21"/>
        </w:rPr>
        <w:t>电梯维保服务采购项目</w:t>
      </w:r>
      <w:r>
        <w:fldChar w:fldCharType="end"/>
      </w:r>
    </w:p>
    <w:p>
      <w:pPr>
        <w:spacing w:line="400" w:lineRule="exact"/>
        <w:ind w:firstLine="420" w:firstLineChars="200"/>
        <w:rPr>
          <w:sz w:val="21"/>
          <w:szCs w:val="21"/>
          <w:u w:val="single"/>
        </w:rPr>
      </w:pPr>
      <w:r>
        <w:rPr>
          <w:rFonts w:hint="eastAsia"/>
          <w:sz w:val="21"/>
          <w:szCs w:val="21"/>
        </w:rPr>
        <w:t>项目编号：</w:t>
      </w:r>
    </w:p>
    <w:p>
      <w:pPr>
        <w:spacing w:line="400" w:lineRule="exact"/>
        <w:ind w:firstLine="420" w:firstLineChars="200"/>
        <w:rPr>
          <w:sz w:val="21"/>
          <w:szCs w:val="21"/>
        </w:rPr>
      </w:pPr>
      <w:r>
        <w:rPr>
          <w:rFonts w:hint="eastAsia"/>
          <w:sz w:val="21"/>
          <w:szCs w:val="21"/>
        </w:rPr>
        <w:t>响应人名称：</w:t>
      </w:r>
    </w:p>
    <w:p>
      <w:pPr>
        <w:pStyle w:val="91"/>
        <w:rPr>
          <w:rFonts w:ascii="Times New Roman" w:hAnsi="Times New Roman"/>
        </w:rPr>
      </w:pPr>
      <w:r>
        <w:rPr>
          <w:rFonts w:hint="eastAsia" w:ascii="Times New Roman" w:hAnsi="Times New Roman"/>
          <w:szCs w:val="21"/>
        </w:rPr>
        <w:t>包号：</w:t>
      </w:r>
      <w:r>
        <w:rPr>
          <w:rFonts w:hint="eastAsia" w:ascii="Times New Roman" w:hAnsi="Times New Roman"/>
        </w:rPr>
        <w:t>（以包为单位分别填报，如无此项可不填写）</w:t>
      </w:r>
    </w:p>
    <w:p>
      <w:pPr>
        <w:spacing w:line="400" w:lineRule="exact"/>
        <w:ind w:firstLine="420" w:firstLineChars="200"/>
        <w:rPr>
          <w:sz w:val="21"/>
          <w:szCs w:val="21"/>
        </w:rPr>
      </w:pPr>
    </w:p>
    <w:tbl>
      <w:tblPr>
        <w:tblStyle w:val="42"/>
        <w:tblW w:w="88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779"/>
        <w:gridCol w:w="1701"/>
        <w:gridCol w:w="2551"/>
        <w:gridCol w:w="127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spacing w:line="400" w:lineRule="exact"/>
              <w:jc w:val="both"/>
              <w:rPr>
                <w:sz w:val="21"/>
                <w:szCs w:val="21"/>
              </w:rPr>
            </w:pPr>
            <w:r>
              <w:rPr>
                <w:rFonts w:hint="eastAsia"/>
                <w:sz w:val="21"/>
                <w:szCs w:val="21"/>
              </w:rPr>
              <w:t>序号</w:t>
            </w:r>
          </w:p>
        </w:tc>
        <w:tc>
          <w:tcPr>
            <w:tcW w:w="1779" w:type="dxa"/>
          </w:tcPr>
          <w:p>
            <w:pPr>
              <w:spacing w:line="400" w:lineRule="exact"/>
              <w:jc w:val="both"/>
              <w:rPr>
                <w:sz w:val="21"/>
                <w:szCs w:val="21"/>
              </w:rPr>
            </w:pPr>
            <w:r>
              <w:rPr>
                <w:rFonts w:hint="eastAsia"/>
                <w:sz w:val="21"/>
                <w:szCs w:val="21"/>
              </w:rPr>
              <w:t>磋商文件指标项</w:t>
            </w:r>
          </w:p>
        </w:tc>
        <w:tc>
          <w:tcPr>
            <w:tcW w:w="1701" w:type="dxa"/>
          </w:tcPr>
          <w:p>
            <w:pPr>
              <w:spacing w:line="400" w:lineRule="exact"/>
              <w:jc w:val="center"/>
              <w:rPr>
                <w:sz w:val="21"/>
                <w:szCs w:val="21"/>
              </w:rPr>
            </w:pPr>
            <w:r>
              <w:rPr>
                <w:rFonts w:hint="eastAsia"/>
                <w:sz w:val="21"/>
                <w:szCs w:val="21"/>
              </w:rPr>
              <w:t>磋商文件要求</w:t>
            </w:r>
          </w:p>
        </w:tc>
        <w:tc>
          <w:tcPr>
            <w:tcW w:w="2551" w:type="dxa"/>
          </w:tcPr>
          <w:p>
            <w:pPr>
              <w:spacing w:line="400" w:lineRule="exact"/>
              <w:jc w:val="both"/>
              <w:rPr>
                <w:sz w:val="21"/>
                <w:szCs w:val="21"/>
              </w:rPr>
            </w:pPr>
            <w:r>
              <w:rPr>
                <w:rFonts w:hint="eastAsia"/>
                <w:sz w:val="21"/>
                <w:szCs w:val="21"/>
              </w:rPr>
              <w:t>响应文件的应答</w:t>
            </w:r>
          </w:p>
        </w:tc>
        <w:tc>
          <w:tcPr>
            <w:tcW w:w="1276" w:type="dxa"/>
          </w:tcPr>
          <w:p>
            <w:pPr>
              <w:spacing w:line="400" w:lineRule="exact"/>
              <w:jc w:val="both"/>
              <w:rPr>
                <w:sz w:val="21"/>
                <w:szCs w:val="21"/>
              </w:rPr>
            </w:pPr>
            <w:r>
              <w:rPr>
                <w:rFonts w:hint="eastAsia"/>
                <w:sz w:val="21"/>
                <w:szCs w:val="21"/>
              </w:rPr>
              <w:t>偏离情况</w:t>
            </w:r>
          </w:p>
        </w:tc>
        <w:tc>
          <w:tcPr>
            <w:tcW w:w="851" w:type="dxa"/>
          </w:tcPr>
          <w:p>
            <w:pPr>
              <w:spacing w:line="400" w:lineRule="exact"/>
              <w:jc w:val="both"/>
              <w:rPr>
                <w:sz w:val="21"/>
                <w:szCs w:val="21"/>
              </w:rPr>
            </w:pPr>
            <w:r>
              <w:rPr>
                <w:rFonts w:hint="eastAsia"/>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spacing w:line="400" w:lineRule="exact"/>
              <w:jc w:val="both"/>
              <w:rPr>
                <w:sz w:val="21"/>
                <w:szCs w:val="21"/>
              </w:rPr>
            </w:pPr>
          </w:p>
        </w:tc>
        <w:tc>
          <w:tcPr>
            <w:tcW w:w="1779" w:type="dxa"/>
          </w:tcPr>
          <w:p>
            <w:pPr>
              <w:spacing w:line="400" w:lineRule="exact"/>
              <w:jc w:val="both"/>
              <w:rPr>
                <w:sz w:val="21"/>
                <w:szCs w:val="21"/>
              </w:rPr>
            </w:pPr>
          </w:p>
        </w:tc>
        <w:tc>
          <w:tcPr>
            <w:tcW w:w="1701" w:type="dxa"/>
          </w:tcPr>
          <w:p>
            <w:pPr>
              <w:spacing w:line="400" w:lineRule="exact"/>
              <w:jc w:val="both"/>
              <w:rPr>
                <w:sz w:val="21"/>
                <w:szCs w:val="21"/>
              </w:rPr>
            </w:pPr>
          </w:p>
        </w:tc>
        <w:tc>
          <w:tcPr>
            <w:tcW w:w="2551" w:type="dxa"/>
          </w:tcPr>
          <w:p>
            <w:pPr>
              <w:spacing w:line="400" w:lineRule="exact"/>
              <w:jc w:val="both"/>
              <w:rPr>
                <w:sz w:val="21"/>
                <w:szCs w:val="21"/>
              </w:rPr>
            </w:pPr>
            <w:r>
              <w:rPr>
                <w:rFonts w:hint="eastAsia"/>
                <w:sz w:val="21"/>
                <w:szCs w:val="21"/>
              </w:rPr>
              <w:t>完全满足磋商文件的全部要求</w:t>
            </w:r>
          </w:p>
        </w:tc>
        <w:tc>
          <w:tcPr>
            <w:tcW w:w="1276" w:type="dxa"/>
          </w:tcPr>
          <w:p>
            <w:pPr>
              <w:spacing w:line="400" w:lineRule="exact"/>
              <w:jc w:val="both"/>
              <w:rPr>
                <w:sz w:val="21"/>
                <w:szCs w:val="21"/>
              </w:rPr>
            </w:pPr>
          </w:p>
        </w:tc>
        <w:tc>
          <w:tcPr>
            <w:tcW w:w="851" w:type="dxa"/>
          </w:tcPr>
          <w:p>
            <w:pPr>
              <w:spacing w:line="400" w:lineRule="exact"/>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spacing w:line="400" w:lineRule="exact"/>
              <w:jc w:val="both"/>
              <w:rPr>
                <w:sz w:val="21"/>
                <w:szCs w:val="21"/>
              </w:rPr>
            </w:pPr>
          </w:p>
        </w:tc>
        <w:tc>
          <w:tcPr>
            <w:tcW w:w="1779" w:type="dxa"/>
          </w:tcPr>
          <w:p>
            <w:pPr>
              <w:spacing w:line="400" w:lineRule="exact"/>
              <w:jc w:val="both"/>
              <w:rPr>
                <w:sz w:val="21"/>
                <w:szCs w:val="21"/>
              </w:rPr>
            </w:pPr>
          </w:p>
        </w:tc>
        <w:tc>
          <w:tcPr>
            <w:tcW w:w="1701" w:type="dxa"/>
          </w:tcPr>
          <w:p>
            <w:pPr>
              <w:spacing w:line="400" w:lineRule="exact"/>
              <w:jc w:val="both"/>
              <w:rPr>
                <w:sz w:val="21"/>
                <w:szCs w:val="21"/>
              </w:rPr>
            </w:pPr>
          </w:p>
        </w:tc>
        <w:tc>
          <w:tcPr>
            <w:tcW w:w="2551" w:type="dxa"/>
          </w:tcPr>
          <w:p>
            <w:pPr>
              <w:spacing w:line="400" w:lineRule="exact"/>
              <w:jc w:val="both"/>
              <w:rPr>
                <w:sz w:val="21"/>
                <w:szCs w:val="21"/>
              </w:rPr>
            </w:pPr>
          </w:p>
        </w:tc>
        <w:tc>
          <w:tcPr>
            <w:tcW w:w="1276" w:type="dxa"/>
          </w:tcPr>
          <w:p>
            <w:pPr>
              <w:spacing w:line="400" w:lineRule="exact"/>
              <w:jc w:val="both"/>
              <w:rPr>
                <w:sz w:val="21"/>
                <w:szCs w:val="21"/>
              </w:rPr>
            </w:pPr>
          </w:p>
        </w:tc>
        <w:tc>
          <w:tcPr>
            <w:tcW w:w="851" w:type="dxa"/>
          </w:tcPr>
          <w:p>
            <w:pPr>
              <w:spacing w:line="400" w:lineRule="exact"/>
              <w:jc w:val="both"/>
              <w:rPr>
                <w:sz w:val="21"/>
                <w:szCs w:val="21"/>
              </w:rPr>
            </w:pPr>
          </w:p>
        </w:tc>
      </w:tr>
    </w:tbl>
    <w:p>
      <w:pPr>
        <w:pStyle w:val="20"/>
        <w:tabs>
          <w:tab w:val="left" w:pos="5580"/>
        </w:tabs>
        <w:spacing w:before="120" w:line="400" w:lineRule="exact"/>
        <w:ind w:firstLine="420" w:firstLineChars="200"/>
        <w:rPr>
          <w:rFonts w:ascii="Times New Roman" w:hAnsi="Times New Roman"/>
          <w:u w:val="single"/>
        </w:rPr>
      </w:pPr>
      <w:r>
        <w:rPr>
          <w:rFonts w:hint="eastAsia" w:ascii="Times New Roman" w:hAnsi="Times New Roman"/>
        </w:rPr>
        <w:t>响应人名称（盖章）：</w:t>
      </w:r>
    </w:p>
    <w:p>
      <w:pPr>
        <w:pStyle w:val="20"/>
        <w:tabs>
          <w:tab w:val="left" w:pos="5580"/>
        </w:tabs>
        <w:spacing w:before="120" w:line="400" w:lineRule="exact"/>
        <w:ind w:firstLine="420" w:firstLineChars="200"/>
        <w:rPr>
          <w:rFonts w:ascii="Times New Roman" w:hAnsi="Times New Roman"/>
        </w:rPr>
      </w:pPr>
      <w:r>
        <w:rPr>
          <w:rFonts w:hint="eastAsia" w:ascii="Times New Roman" w:hAnsi="Times New Roman"/>
        </w:rPr>
        <w:t>响应人授权代表（签字）：</w:t>
      </w:r>
    </w:p>
    <w:p>
      <w:pPr>
        <w:pStyle w:val="91"/>
        <w:jc w:val="right"/>
        <w:rPr>
          <w:rFonts w:ascii="Times New Roman" w:hAnsi="Times New Roman"/>
          <w:b/>
          <w:bCs/>
          <w:szCs w:val="21"/>
        </w:rPr>
      </w:pPr>
      <w:r>
        <w:rPr>
          <w:rFonts w:hint="eastAsia" w:ascii="Times New Roman" w:hAnsi="Times New Roman"/>
        </w:rPr>
        <w:t>年</w:t>
      </w:r>
      <w:r>
        <w:rPr>
          <w:rFonts w:ascii="Times New Roman" w:hAnsi="Times New Roman"/>
        </w:rPr>
        <w:t xml:space="preserve">  </w:t>
      </w:r>
      <w:r>
        <w:rPr>
          <w:rFonts w:hint="eastAsia" w:ascii="Times New Roman" w:hAnsi="Times New Roman"/>
        </w:rPr>
        <w:t>月</w:t>
      </w:r>
      <w:r>
        <w:rPr>
          <w:rFonts w:ascii="Times New Roman" w:hAnsi="Times New Roman"/>
        </w:rPr>
        <w:t xml:space="preserve">  </w:t>
      </w:r>
      <w:r>
        <w:rPr>
          <w:rFonts w:hint="eastAsia" w:ascii="Times New Roman" w:hAnsi="Times New Roman"/>
        </w:rPr>
        <w:t>日</w:t>
      </w:r>
    </w:p>
    <w:sectPr>
      <w:pgSz w:w="11909" w:h="16834"/>
      <w:pgMar w:top="1418" w:right="1418" w:bottom="1418" w:left="1559" w:header="851"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p>
    <w:pPr>
      <w:pStyle w:v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p>
  <w:p>
    <w:pPr>
      <w:pStyle w:val="2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top w:val="none" w:color="auto" w:sz="0" w:space="1"/>
        <w:left w:val="none" w:color="auto" w:sz="0" w:space="4"/>
        <w:bottom w:val="none" w:color="auto" w:sz="0" w:space="1"/>
        <w:right w:val="none" w:color="auto" w:sz="0" w:space="4"/>
      </w:pBd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tentative="0">
      <w:start w:val="1"/>
      <w:numFmt w:val="decimal"/>
      <w:lvlText w:val="第%1章 "/>
      <w:lvlJc w:val="center"/>
      <w:pPr>
        <w:ind w:left="420" w:hanging="420"/>
      </w:pPr>
      <w:rPr>
        <w:rFonts w:hint="eastAsia"/>
      </w:rPr>
    </w:lvl>
    <w:lvl w:ilvl="1" w:tentative="0">
      <w:start w:val="1"/>
      <w:numFmt w:val="decimal"/>
      <w:pStyle w:val="86"/>
      <w:lvlText w:val="%1.%2 "/>
      <w:lvlJc w:val="left"/>
      <w:pPr>
        <w:ind w:left="840" w:hanging="420"/>
      </w:pPr>
      <w:rPr>
        <w:rFonts w:hint="eastAsia"/>
      </w:rPr>
    </w:lvl>
    <w:lvl w:ilvl="2" w:tentative="0">
      <w:start w:val="1"/>
      <w:numFmt w:val="decimal"/>
      <w:lvlText w:val="%1.%2.%3 "/>
      <w:lvlJc w:val="left"/>
      <w:pPr>
        <w:ind w:left="375" w:hanging="375"/>
      </w:pPr>
      <w:rPr>
        <w:rFonts w:hint="default"/>
      </w:rPr>
    </w:lvl>
    <w:lvl w:ilvl="3" w:tentative="0">
      <w:start w:val="1"/>
      <w:numFmt w:val="decimal"/>
      <w:lvlText w:val="%1.%2.%3.%4 "/>
      <w:lvlJc w:val="left"/>
      <w:pPr>
        <w:ind w:left="1680" w:hanging="420"/>
      </w:pPr>
      <w:rPr>
        <w:rFonts w:hint="eastAsia"/>
      </w:rPr>
    </w:lvl>
    <w:lvl w:ilvl="4" w:tentative="0">
      <w:start w:val="1"/>
      <w:numFmt w:val="upperLetter"/>
      <w:lvlText w:val="%5) "/>
      <w:lvlJc w:val="left"/>
      <w:pPr>
        <w:ind w:left="2100" w:hanging="420"/>
      </w:pPr>
      <w:rPr>
        <w:rFonts w:hint="eastAsia"/>
      </w:rPr>
    </w:lvl>
    <w:lvl w:ilvl="5" w:tentative="0">
      <w:start w:val="1"/>
      <w:numFmt w:val="lowerRoman"/>
      <w:lvlText w:val="%6. "/>
      <w:lvlJc w:val="right"/>
      <w:pPr>
        <w:ind w:left="2520" w:hanging="420"/>
      </w:pPr>
      <w:rPr>
        <w:rFonts w:hint="eastAsia"/>
      </w:rPr>
    </w:lvl>
    <w:lvl w:ilvl="6" w:tentative="0">
      <w:start w:val="1"/>
      <w:numFmt w:val="decimal"/>
      <w:lvlText w:val="%7. "/>
      <w:lvlJc w:val="left"/>
      <w:pPr>
        <w:ind w:left="2940" w:hanging="420"/>
      </w:pPr>
      <w:rPr>
        <w:rFonts w:hint="eastAsia"/>
      </w:rPr>
    </w:lvl>
    <w:lvl w:ilvl="7" w:tentative="0">
      <w:start w:val="1"/>
      <w:numFmt w:val="lowerLetter"/>
      <w:lvlText w:val="%8) "/>
      <w:lvlJc w:val="left"/>
      <w:pPr>
        <w:ind w:left="3360" w:hanging="420"/>
      </w:pPr>
      <w:rPr>
        <w:rFonts w:hint="eastAsia"/>
      </w:rPr>
    </w:lvl>
    <w:lvl w:ilvl="8" w:tentative="0">
      <w:start w:val="1"/>
      <w:numFmt w:val="lowerRoman"/>
      <w:lvlText w:val="%9) "/>
      <w:lvlJc w:val="right"/>
      <w:pPr>
        <w:ind w:left="3780" w:hanging="420"/>
      </w:pPr>
      <w:rPr>
        <w:rFonts w:hint="eastAsia"/>
      </w:rPr>
    </w:lvl>
  </w:abstractNum>
  <w:abstractNum w:abstractNumId="1">
    <w:nsid w:val="00000012"/>
    <w:multiLevelType w:val="multilevel"/>
    <w:tmpl w:val="00000012"/>
    <w:lvl w:ilvl="0" w:tentative="0">
      <w:start w:val="1"/>
      <w:numFmt w:val="decimal"/>
      <w:lvlText w:val="%1."/>
      <w:lvlJc w:val="left"/>
      <w:pPr>
        <w:tabs>
          <w:tab w:val="left" w:pos="425"/>
        </w:tabs>
        <w:ind w:left="425" w:hanging="425"/>
      </w:pPr>
      <w:rPr>
        <w:rFonts w:hint="eastAsia"/>
      </w:rPr>
    </w:lvl>
    <w:lvl w:ilvl="1" w:tentative="0">
      <w:start w:val="1"/>
      <w:numFmt w:val="decimal"/>
      <w:pStyle w:val="67"/>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0000013"/>
    <w:multiLevelType w:val="multilevel"/>
    <w:tmpl w:val="00000013"/>
    <w:lvl w:ilvl="0" w:tentative="0">
      <w:start w:val="1"/>
      <w:numFmt w:val="chineseCountingThousand"/>
      <w:pStyle w:val="2"/>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240" w:firstLine="0"/>
      </w:pPr>
      <w:rPr>
        <w:rFonts w:hint="eastAsia" w:ascii="宋体" w:hAnsi="宋体" w:eastAsia="宋体"/>
        <w:sz w:val="24"/>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pStyle w:val="3"/>
      <w:suff w:val="nothing"/>
      <w:lvlText w:val="%5、"/>
      <w:lvlJc w:val="left"/>
      <w:pPr>
        <w:ind w:left="0" w:firstLine="0"/>
      </w:pPr>
      <w:rPr>
        <w:rFonts w:hint="eastAsia"/>
      </w:rPr>
    </w:lvl>
    <w:lvl w:ilvl="5" w:tentative="0">
      <w:start w:val="1"/>
      <w:numFmt w:val="none"/>
      <w:pStyle w:val="4"/>
      <w:suff w:val="nothing"/>
      <w:lvlText w:val=""/>
      <w:lvlJc w:val="left"/>
      <w:pPr>
        <w:ind w:left="0" w:firstLine="0"/>
      </w:pPr>
      <w:rPr>
        <w:rFonts w:hint="eastAsia"/>
      </w:rPr>
    </w:lvl>
    <w:lvl w:ilvl="6" w:tentative="0">
      <w:start w:val="1"/>
      <w:numFmt w:val="none"/>
      <w:pStyle w:val="5"/>
      <w:suff w:val="nothing"/>
      <w:lvlText w:val=""/>
      <w:lvlJc w:val="left"/>
      <w:pPr>
        <w:ind w:left="0" w:firstLine="0"/>
      </w:pPr>
      <w:rPr>
        <w:rFonts w:hint="eastAsia"/>
      </w:rPr>
    </w:lvl>
    <w:lvl w:ilvl="7" w:tentative="0">
      <w:start w:val="1"/>
      <w:numFmt w:val="none"/>
      <w:pStyle w:val="6"/>
      <w:suff w:val="nothing"/>
      <w:lvlText w:val=""/>
      <w:lvlJc w:val="left"/>
      <w:pPr>
        <w:ind w:left="0" w:firstLine="0"/>
      </w:pPr>
      <w:rPr>
        <w:rFonts w:hint="eastAsia"/>
      </w:rPr>
    </w:lvl>
    <w:lvl w:ilvl="8" w:tentative="0">
      <w:start w:val="1"/>
      <w:numFmt w:val="none"/>
      <w:pStyle w:val="7"/>
      <w:suff w:val="nothing"/>
      <w:lvlText w:val=""/>
      <w:lvlJc w:val="left"/>
      <w:pPr>
        <w:ind w:left="0" w:firstLine="0"/>
      </w:pPr>
      <w:rPr>
        <w:rFonts w:hint="eastAsia"/>
      </w:rPr>
    </w:lvl>
  </w:abstractNum>
  <w:abstractNum w:abstractNumId="3">
    <w:nsid w:val="0000001D"/>
    <w:multiLevelType w:val="singleLevel"/>
    <w:tmpl w:val="0000001D"/>
    <w:lvl w:ilvl="0" w:tentative="0">
      <w:start w:val="5"/>
      <w:numFmt w:val="decimal"/>
      <w:pStyle w:val="90"/>
      <w:lvlText w:val="%1."/>
      <w:lvlJc w:val="left"/>
      <w:pPr>
        <w:tabs>
          <w:tab w:val="left" w:pos="735"/>
        </w:tabs>
        <w:ind w:left="735" w:hanging="735"/>
      </w:pPr>
      <w:rPr>
        <w:rFonts w:hint="eastAsia"/>
      </w:rPr>
    </w:lvl>
  </w:abstractNum>
  <w:abstractNum w:abstractNumId="4">
    <w:nsid w:val="0000001E"/>
    <w:multiLevelType w:val="singleLevel"/>
    <w:tmpl w:val="0000001E"/>
    <w:lvl w:ilvl="0" w:tentative="0">
      <w:start w:val="3"/>
      <w:numFmt w:val="decimal"/>
      <w:pStyle w:val="87"/>
      <w:lvlText w:val="%1."/>
      <w:lvlJc w:val="left"/>
      <w:pPr>
        <w:tabs>
          <w:tab w:val="left" w:pos="735"/>
        </w:tabs>
        <w:ind w:left="735" w:hanging="735"/>
      </w:pPr>
      <w:rPr>
        <w:rFonts w:hint="eastAsia"/>
      </w:rPr>
    </w:lvl>
  </w:abstractNum>
  <w:abstractNum w:abstractNumId="5">
    <w:nsid w:val="00000025"/>
    <w:multiLevelType w:val="multilevel"/>
    <w:tmpl w:val="00000025"/>
    <w:lvl w:ilvl="0" w:tentative="0">
      <w:start w:val="1"/>
      <w:numFmt w:val="chineseCountingThousand"/>
      <w:suff w:val="space"/>
      <w:lvlText w:val="%1、"/>
      <w:lvlJc w:val="left"/>
      <w:pPr>
        <w:ind w:left="0" w:firstLine="737"/>
      </w:pPr>
      <w:rPr>
        <w:rFonts w:hint="eastAsia"/>
      </w:rPr>
    </w:lvl>
    <w:lvl w:ilvl="1" w:tentative="0">
      <w:start w:val="1"/>
      <w:numFmt w:val="ideographDigital"/>
      <w:suff w:val="space"/>
      <w:lvlText w:val="（%2）"/>
      <w:lvlJc w:val="left"/>
      <w:pPr>
        <w:ind w:left="0" w:firstLine="737"/>
      </w:pPr>
      <w:rPr>
        <w:rFonts w:hint="eastAsia"/>
      </w:rPr>
    </w:lvl>
    <w:lvl w:ilvl="2" w:tentative="0">
      <w:start w:val="1"/>
      <w:numFmt w:val="decimal"/>
      <w:suff w:val="space"/>
      <w:lvlText w:val="%3."/>
      <w:lvlJc w:val="left"/>
      <w:pPr>
        <w:ind w:left="0" w:firstLine="737"/>
      </w:pPr>
      <w:rPr>
        <w:rFonts w:hint="eastAsia"/>
      </w:rPr>
    </w:lvl>
    <w:lvl w:ilvl="3" w:tentative="0">
      <w:start w:val="1"/>
      <w:numFmt w:val="decimal"/>
      <w:suff w:val="space"/>
      <w:lvlText w:val="(%4)"/>
      <w:lvlJc w:val="left"/>
      <w:pPr>
        <w:ind w:left="0" w:firstLine="737"/>
      </w:pPr>
      <w:rPr>
        <w:rFonts w:hint="eastAsia"/>
      </w:rPr>
    </w:lvl>
    <w:lvl w:ilvl="4" w:tentative="0">
      <w:start w:val="1"/>
      <w:numFmt w:val="decimalEnclosedCircle"/>
      <w:suff w:val="space"/>
      <w:lvlText w:val="%5"/>
      <w:lvlJc w:val="left"/>
      <w:pPr>
        <w:ind w:left="0" w:firstLine="737"/>
      </w:pPr>
      <w:rPr>
        <w:rFonts w:hint="eastAsia"/>
      </w:rPr>
    </w:lvl>
    <w:lvl w:ilvl="5" w:tentative="0">
      <w:start w:val="1"/>
      <w:numFmt w:val="none"/>
      <w:lvlText w:val=""/>
      <w:lvlJc w:val="left"/>
      <w:pPr>
        <w:tabs>
          <w:tab w:val="left" w:pos="0"/>
        </w:tabs>
        <w:ind w:left="0" w:firstLine="737"/>
      </w:pPr>
      <w:rPr>
        <w:rFonts w:hint="eastAsia"/>
      </w:rPr>
    </w:lvl>
    <w:lvl w:ilvl="6" w:tentative="0">
      <w:start w:val="1"/>
      <w:numFmt w:val="lowerRoman"/>
      <w:lvlText w:val="(%7)"/>
      <w:lvlJc w:val="left"/>
      <w:pPr>
        <w:tabs>
          <w:tab w:val="left" w:pos="0"/>
        </w:tabs>
        <w:ind w:left="0" w:firstLine="737"/>
      </w:pPr>
      <w:rPr>
        <w:rFonts w:hint="eastAsia"/>
      </w:rPr>
    </w:lvl>
    <w:lvl w:ilvl="7" w:tentative="0">
      <w:start w:val="1"/>
      <w:numFmt w:val="decimal"/>
      <w:lvlRestart w:val="0"/>
      <w:suff w:val="space"/>
      <w:lvlText w:val="表%8 "/>
      <w:lvlJc w:val="center"/>
      <w:pPr>
        <w:ind w:left="0" w:firstLine="0"/>
      </w:pPr>
      <w:rPr>
        <w:rFonts w:hint="eastAsia"/>
      </w:rPr>
    </w:lvl>
    <w:lvl w:ilvl="8" w:tentative="0">
      <w:start w:val="1"/>
      <w:numFmt w:val="decimal"/>
      <w:lvlRestart w:val="0"/>
      <w:pStyle w:val="47"/>
      <w:suff w:val="space"/>
      <w:lvlText w:val="图%9 "/>
      <w:lvlJc w:val="center"/>
      <w:pPr>
        <w:ind w:left="0" w:firstLine="0"/>
      </w:pPr>
      <w:rPr>
        <w:rFonts w:hint="eastAsia"/>
      </w:rPr>
    </w:lvl>
  </w:abstractNum>
  <w:abstractNum w:abstractNumId="6">
    <w:nsid w:val="00000026"/>
    <w:multiLevelType w:val="multilevel"/>
    <w:tmpl w:val="00000026"/>
    <w:lvl w:ilvl="0" w:tentative="0">
      <w:start w:val="1"/>
      <w:numFmt w:val="decimal"/>
      <w:pStyle w:val="7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8C92D51"/>
    <w:multiLevelType w:val="multilevel"/>
    <w:tmpl w:val="08C92D51"/>
    <w:lvl w:ilvl="0" w:tentative="0">
      <w:start w:val="1"/>
      <w:numFmt w:val="decimal"/>
      <w:lvlText w:val="附件%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10E67B7D"/>
    <w:multiLevelType w:val="multilevel"/>
    <w:tmpl w:val="10E67B7D"/>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9">
    <w:nsid w:val="11A81CF5"/>
    <w:multiLevelType w:val="multilevel"/>
    <w:tmpl w:val="11A81CF5"/>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0">
    <w:nsid w:val="18594D4C"/>
    <w:multiLevelType w:val="multilevel"/>
    <w:tmpl w:val="18594D4C"/>
    <w:lvl w:ilvl="0" w:tentative="0">
      <w:start w:val="1"/>
      <w:numFmt w:val="chineseCountingThousand"/>
      <w:suff w:val="space"/>
      <w:lvlText w:val="%1、"/>
      <w:lvlJc w:val="left"/>
      <w:pPr>
        <w:ind w:left="126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C343F39"/>
    <w:multiLevelType w:val="multilevel"/>
    <w:tmpl w:val="1C343F39"/>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2">
    <w:nsid w:val="1C82507F"/>
    <w:multiLevelType w:val="multilevel"/>
    <w:tmpl w:val="1C82507F"/>
    <w:lvl w:ilvl="0" w:tentative="0">
      <w:start w:val="1"/>
      <w:numFmt w:val="decimal"/>
      <w:lvlText w:val="%1、"/>
      <w:lvlJc w:val="left"/>
      <w:pPr>
        <w:ind w:left="840" w:hanging="420"/>
      </w:pPr>
      <w:rPr>
        <w:rFonts w:hint="eastAsia" w:eastAsia="黑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1F343393"/>
    <w:multiLevelType w:val="multilevel"/>
    <w:tmpl w:val="1F343393"/>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1FC91F05"/>
    <w:multiLevelType w:val="multilevel"/>
    <w:tmpl w:val="1FC91F05"/>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5">
    <w:nsid w:val="1FCC002C"/>
    <w:multiLevelType w:val="multilevel"/>
    <w:tmpl w:val="1FCC002C"/>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6">
    <w:nsid w:val="209D6075"/>
    <w:multiLevelType w:val="multilevel"/>
    <w:tmpl w:val="209D6075"/>
    <w:lvl w:ilvl="0" w:tentative="0">
      <w:start w:val="1"/>
      <w:numFmt w:val="decimal"/>
      <w:lvlText w:val="%1、"/>
      <w:lvlJc w:val="left"/>
      <w:pPr>
        <w:ind w:left="2406"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7">
    <w:nsid w:val="22432295"/>
    <w:multiLevelType w:val="multilevel"/>
    <w:tmpl w:val="22432295"/>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8">
    <w:nsid w:val="26E71884"/>
    <w:multiLevelType w:val="multilevel"/>
    <w:tmpl w:val="26E71884"/>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9">
    <w:nsid w:val="2BB4439B"/>
    <w:multiLevelType w:val="multilevel"/>
    <w:tmpl w:val="2BB4439B"/>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0">
    <w:nsid w:val="34490A7F"/>
    <w:multiLevelType w:val="multilevel"/>
    <w:tmpl w:val="34490A7F"/>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3EA910F5"/>
    <w:multiLevelType w:val="multilevel"/>
    <w:tmpl w:val="3EA910F5"/>
    <w:lvl w:ilvl="0" w:tentative="0">
      <w:start w:val="1"/>
      <w:numFmt w:val="decimal"/>
      <w:suff w:val="nothing"/>
      <w:lvlText w:val="%1、"/>
      <w:lvlJc w:val="left"/>
      <w:pPr>
        <w:ind w:left="845" w:hanging="420"/>
      </w:pPr>
      <w:rPr>
        <w:rFonts w:hint="eastAsia" w:eastAsia="黑体"/>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2">
    <w:nsid w:val="3FCF2CDA"/>
    <w:multiLevelType w:val="multilevel"/>
    <w:tmpl w:val="3FCF2CDA"/>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3">
    <w:nsid w:val="43AC60FF"/>
    <w:multiLevelType w:val="multilevel"/>
    <w:tmpl w:val="43AC60FF"/>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4">
    <w:nsid w:val="49E35BF3"/>
    <w:multiLevelType w:val="multilevel"/>
    <w:tmpl w:val="49E35BF3"/>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5">
    <w:nsid w:val="4B460FCE"/>
    <w:multiLevelType w:val="multilevel"/>
    <w:tmpl w:val="4B460FCE"/>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6">
    <w:nsid w:val="4C176197"/>
    <w:multiLevelType w:val="multilevel"/>
    <w:tmpl w:val="4C176197"/>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501E480D"/>
    <w:multiLevelType w:val="multilevel"/>
    <w:tmpl w:val="501E480D"/>
    <w:lvl w:ilvl="0" w:tentative="0">
      <w:start w:val="1"/>
      <w:numFmt w:val="decimal"/>
      <w:lvlText w:val="%1"/>
      <w:lvlJc w:val="left"/>
      <w:pPr>
        <w:ind w:left="0" w:firstLine="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516B2E2F"/>
    <w:multiLevelType w:val="multilevel"/>
    <w:tmpl w:val="516B2E2F"/>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9">
    <w:nsid w:val="549365DA"/>
    <w:multiLevelType w:val="multilevel"/>
    <w:tmpl w:val="549365DA"/>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5C254DAB"/>
    <w:multiLevelType w:val="multilevel"/>
    <w:tmpl w:val="5C254DAB"/>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31">
    <w:nsid w:val="5C6316EE"/>
    <w:multiLevelType w:val="multilevel"/>
    <w:tmpl w:val="5C6316EE"/>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2">
    <w:nsid w:val="60CC31F8"/>
    <w:multiLevelType w:val="multilevel"/>
    <w:tmpl w:val="60CC31F8"/>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610D7044"/>
    <w:multiLevelType w:val="multilevel"/>
    <w:tmpl w:val="610D7044"/>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4">
    <w:nsid w:val="65A653C2"/>
    <w:multiLevelType w:val="multilevel"/>
    <w:tmpl w:val="65A653C2"/>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67CD7566"/>
    <w:multiLevelType w:val="multilevel"/>
    <w:tmpl w:val="67CD7566"/>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6">
    <w:nsid w:val="699E2EBD"/>
    <w:multiLevelType w:val="multilevel"/>
    <w:tmpl w:val="699E2EBD"/>
    <w:lvl w:ilvl="0" w:tentative="0">
      <w:start w:val="1"/>
      <w:numFmt w:val="decimal"/>
      <w:lvlText w:val="%1、"/>
      <w:lvlJc w:val="left"/>
      <w:pPr>
        <w:ind w:left="840" w:hanging="420"/>
      </w:pPr>
      <w:rPr>
        <w:rFonts w:hint="eastAsia" w:eastAsia="黑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
    <w:nsid w:val="6E057830"/>
    <w:multiLevelType w:val="multilevel"/>
    <w:tmpl w:val="6E057830"/>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766C6FDC"/>
    <w:multiLevelType w:val="multilevel"/>
    <w:tmpl w:val="766C6FDC"/>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39">
    <w:nsid w:val="7946496B"/>
    <w:multiLevelType w:val="multilevel"/>
    <w:tmpl w:val="7946496B"/>
    <w:lvl w:ilvl="0" w:tentative="0">
      <w:start w:val="1"/>
      <w:numFmt w:val="decimal"/>
      <w:lvlText w:val="%1、"/>
      <w:lvlJc w:val="left"/>
      <w:pPr>
        <w:ind w:left="840" w:hanging="420"/>
      </w:pPr>
      <w:rPr>
        <w:rFonts w:hint="eastAsia" w:eastAsia="黑体"/>
      </w:rPr>
    </w:lvl>
    <w:lvl w:ilvl="1" w:tentative="0">
      <w:start w:val="1"/>
      <w:numFmt w:val="decimal"/>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0">
    <w:nsid w:val="7DF034C0"/>
    <w:multiLevelType w:val="multilevel"/>
    <w:tmpl w:val="7DF034C0"/>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 w:numId="8">
    <w:abstractNumId w:val="10"/>
  </w:num>
  <w:num w:numId="9">
    <w:abstractNumId w:val="12"/>
  </w:num>
  <w:num w:numId="10">
    <w:abstractNumId w:val="27"/>
  </w:num>
  <w:num w:numId="11">
    <w:abstractNumId w:val="32"/>
  </w:num>
  <w:num w:numId="12">
    <w:abstractNumId w:val="34"/>
  </w:num>
  <w:num w:numId="13">
    <w:abstractNumId w:val="26"/>
  </w:num>
  <w:num w:numId="14">
    <w:abstractNumId w:val="29"/>
    <w:lvlOverride w:ilvl="0">
      <w:startOverride w:val="1"/>
    </w:lvlOverride>
  </w:num>
  <w:num w:numId="15">
    <w:abstractNumId w:val="20"/>
  </w:num>
  <w:num w:numId="16">
    <w:abstractNumId w:val="15"/>
  </w:num>
  <w:num w:numId="17">
    <w:abstractNumId w:val="19"/>
  </w:num>
  <w:num w:numId="18">
    <w:abstractNumId w:val="18"/>
  </w:num>
  <w:num w:numId="19">
    <w:abstractNumId w:val="28"/>
  </w:num>
  <w:num w:numId="20">
    <w:abstractNumId w:val="38"/>
  </w:num>
  <w:num w:numId="21">
    <w:abstractNumId w:val="22"/>
  </w:num>
  <w:num w:numId="22">
    <w:abstractNumId w:val="16"/>
  </w:num>
  <w:num w:numId="23">
    <w:abstractNumId w:val="33"/>
  </w:num>
  <w:num w:numId="24">
    <w:abstractNumId w:val="17"/>
  </w:num>
  <w:num w:numId="25">
    <w:abstractNumId w:val="31"/>
  </w:num>
  <w:num w:numId="26">
    <w:abstractNumId w:val="24"/>
  </w:num>
  <w:num w:numId="27">
    <w:abstractNumId w:val="35"/>
  </w:num>
  <w:num w:numId="28">
    <w:abstractNumId w:val="30"/>
  </w:num>
  <w:num w:numId="29">
    <w:abstractNumId w:val="23"/>
  </w:num>
  <w:num w:numId="30">
    <w:abstractNumId w:val="9"/>
  </w:num>
  <w:num w:numId="31">
    <w:abstractNumId w:val="14"/>
  </w:num>
  <w:num w:numId="32">
    <w:abstractNumId w:val="13"/>
  </w:num>
  <w:num w:numId="33">
    <w:abstractNumId w:val="36"/>
  </w:num>
  <w:num w:numId="34">
    <w:abstractNumId w:val="39"/>
  </w:num>
  <w:num w:numId="35">
    <w:abstractNumId w:val="37"/>
  </w:num>
  <w:num w:numId="36">
    <w:abstractNumId w:val="40"/>
  </w:num>
  <w:num w:numId="37">
    <w:abstractNumId w:val="21"/>
  </w:num>
  <w:num w:numId="38">
    <w:abstractNumId w:val="8"/>
  </w:num>
  <w:num w:numId="39">
    <w:abstractNumId w:val="7"/>
  </w:num>
  <w:num w:numId="40">
    <w:abstractNumId w:val="1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43"/>
    <w:rsid w:val="00020C5C"/>
    <w:rsid w:val="000909BD"/>
    <w:rsid w:val="000A5D9B"/>
    <w:rsid w:val="000D7342"/>
    <w:rsid w:val="000D7F41"/>
    <w:rsid w:val="000E001D"/>
    <w:rsid w:val="000F6577"/>
    <w:rsid w:val="00100B63"/>
    <w:rsid w:val="00133288"/>
    <w:rsid w:val="00133ACC"/>
    <w:rsid w:val="00144C1A"/>
    <w:rsid w:val="00146847"/>
    <w:rsid w:val="00162AB9"/>
    <w:rsid w:val="001B350A"/>
    <w:rsid w:val="001C4C23"/>
    <w:rsid w:val="001C55C4"/>
    <w:rsid w:val="001E6D95"/>
    <w:rsid w:val="0020282C"/>
    <w:rsid w:val="002442FA"/>
    <w:rsid w:val="00251C0D"/>
    <w:rsid w:val="002826A6"/>
    <w:rsid w:val="00284A6C"/>
    <w:rsid w:val="00297D07"/>
    <w:rsid w:val="002A5266"/>
    <w:rsid w:val="002C3436"/>
    <w:rsid w:val="002C68BC"/>
    <w:rsid w:val="002D6ABF"/>
    <w:rsid w:val="002E5469"/>
    <w:rsid w:val="0032553D"/>
    <w:rsid w:val="00341635"/>
    <w:rsid w:val="00370EAF"/>
    <w:rsid w:val="003735FA"/>
    <w:rsid w:val="00381AFE"/>
    <w:rsid w:val="00395675"/>
    <w:rsid w:val="003A1172"/>
    <w:rsid w:val="003A7C2F"/>
    <w:rsid w:val="003D71DA"/>
    <w:rsid w:val="003E013D"/>
    <w:rsid w:val="003E021B"/>
    <w:rsid w:val="003E0AF3"/>
    <w:rsid w:val="00401B17"/>
    <w:rsid w:val="004270BE"/>
    <w:rsid w:val="00462E70"/>
    <w:rsid w:val="004851FE"/>
    <w:rsid w:val="00485CF9"/>
    <w:rsid w:val="00493948"/>
    <w:rsid w:val="004A2556"/>
    <w:rsid w:val="004B4078"/>
    <w:rsid w:val="004B7A32"/>
    <w:rsid w:val="004C18B8"/>
    <w:rsid w:val="004D7D6B"/>
    <w:rsid w:val="004F27F8"/>
    <w:rsid w:val="005023C6"/>
    <w:rsid w:val="00505CFB"/>
    <w:rsid w:val="00543360"/>
    <w:rsid w:val="00544D14"/>
    <w:rsid w:val="005D1143"/>
    <w:rsid w:val="0060016F"/>
    <w:rsid w:val="0061344F"/>
    <w:rsid w:val="00620575"/>
    <w:rsid w:val="0069589B"/>
    <w:rsid w:val="006B6E97"/>
    <w:rsid w:val="006C11C2"/>
    <w:rsid w:val="006D28A1"/>
    <w:rsid w:val="006D6570"/>
    <w:rsid w:val="006E1DCC"/>
    <w:rsid w:val="006F35A4"/>
    <w:rsid w:val="006F3896"/>
    <w:rsid w:val="006F6091"/>
    <w:rsid w:val="0072131C"/>
    <w:rsid w:val="00736B20"/>
    <w:rsid w:val="00766B51"/>
    <w:rsid w:val="007679A7"/>
    <w:rsid w:val="00771EC2"/>
    <w:rsid w:val="00795210"/>
    <w:rsid w:val="00796B6E"/>
    <w:rsid w:val="007A5D29"/>
    <w:rsid w:val="007B0BE5"/>
    <w:rsid w:val="007C3F19"/>
    <w:rsid w:val="007E1A98"/>
    <w:rsid w:val="00823A75"/>
    <w:rsid w:val="0087353C"/>
    <w:rsid w:val="00961FF2"/>
    <w:rsid w:val="0099011C"/>
    <w:rsid w:val="009E0D4C"/>
    <w:rsid w:val="00A22337"/>
    <w:rsid w:val="00A3452E"/>
    <w:rsid w:val="00A52C8D"/>
    <w:rsid w:val="00A84BCF"/>
    <w:rsid w:val="00A9385E"/>
    <w:rsid w:val="00AA6A23"/>
    <w:rsid w:val="00AB1B03"/>
    <w:rsid w:val="00AB4AE1"/>
    <w:rsid w:val="00AE193B"/>
    <w:rsid w:val="00B03057"/>
    <w:rsid w:val="00B10A03"/>
    <w:rsid w:val="00B24647"/>
    <w:rsid w:val="00B95B63"/>
    <w:rsid w:val="00BC58DB"/>
    <w:rsid w:val="00BD172A"/>
    <w:rsid w:val="00C241BA"/>
    <w:rsid w:val="00C36546"/>
    <w:rsid w:val="00C5704E"/>
    <w:rsid w:val="00CB31CA"/>
    <w:rsid w:val="00CB43D5"/>
    <w:rsid w:val="00CE1CB2"/>
    <w:rsid w:val="00D728A9"/>
    <w:rsid w:val="00D87201"/>
    <w:rsid w:val="00D90F96"/>
    <w:rsid w:val="00DA400A"/>
    <w:rsid w:val="00DE136A"/>
    <w:rsid w:val="00DF122C"/>
    <w:rsid w:val="00E1147D"/>
    <w:rsid w:val="00E13A4B"/>
    <w:rsid w:val="00E32FF7"/>
    <w:rsid w:val="00EA3150"/>
    <w:rsid w:val="00EA61C2"/>
    <w:rsid w:val="00EB7FCB"/>
    <w:rsid w:val="00EF55D1"/>
    <w:rsid w:val="00EF5AE1"/>
    <w:rsid w:val="00F03A8E"/>
    <w:rsid w:val="00FA401A"/>
    <w:rsid w:val="00FC3496"/>
    <w:rsid w:val="00FD3179"/>
    <w:rsid w:val="00FE6F3E"/>
    <w:rsid w:val="00FF56B8"/>
    <w:rsid w:val="01054988"/>
    <w:rsid w:val="01C21AF0"/>
    <w:rsid w:val="01E82FBF"/>
    <w:rsid w:val="020375E3"/>
    <w:rsid w:val="03814D67"/>
    <w:rsid w:val="03BC6F11"/>
    <w:rsid w:val="042B1F32"/>
    <w:rsid w:val="054946BE"/>
    <w:rsid w:val="055860DE"/>
    <w:rsid w:val="06580E3A"/>
    <w:rsid w:val="08C42EF5"/>
    <w:rsid w:val="094F6E3A"/>
    <w:rsid w:val="09C72C07"/>
    <w:rsid w:val="0AB706EF"/>
    <w:rsid w:val="0B49265D"/>
    <w:rsid w:val="0CCF2A27"/>
    <w:rsid w:val="0D314017"/>
    <w:rsid w:val="0D694830"/>
    <w:rsid w:val="1021376A"/>
    <w:rsid w:val="112D6621"/>
    <w:rsid w:val="1161085D"/>
    <w:rsid w:val="11A16294"/>
    <w:rsid w:val="12955C8F"/>
    <w:rsid w:val="129A0E02"/>
    <w:rsid w:val="12E768FC"/>
    <w:rsid w:val="13091D9E"/>
    <w:rsid w:val="13C62755"/>
    <w:rsid w:val="141D6F66"/>
    <w:rsid w:val="146A5874"/>
    <w:rsid w:val="14B638C9"/>
    <w:rsid w:val="155527C0"/>
    <w:rsid w:val="198670CE"/>
    <w:rsid w:val="19EC2D49"/>
    <w:rsid w:val="1A102F7B"/>
    <w:rsid w:val="1A687220"/>
    <w:rsid w:val="1B9320A5"/>
    <w:rsid w:val="1D09397C"/>
    <w:rsid w:val="1D4C7A7C"/>
    <w:rsid w:val="1E42606D"/>
    <w:rsid w:val="1F612239"/>
    <w:rsid w:val="21740BB5"/>
    <w:rsid w:val="22602D0D"/>
    <w:rsid w:val="24741C0A"/>
    <w:rsid w:val="24DD75A1"/>
    <w:rsid w:val="25626019"/>
    <w:rsid w:val="25EB08A9"/>
    <w:rsid w:val="283C111D"/>
    <w:rsid w:val="28E20E2C"/>
    <w:rsid w:val="290869E7"/>
    <w:rsid w:val="29FB0E7C"/>
    <w:rsid w:val="2B1910FE"/>
    <w:rsid w:val="2BD66B0A"/>
    <w:rsid w:val="2D177837"/>
    <w:rsid w:val="2FB13122"/>
    <w:rsid w:val="30571B52"/>
    <w:rsid w:val="305908B2"/>
    <w:rsid w:val="309A6A6E"/>
    <w:rsid w:val="30CD2755"/>
    <w:rsid w:val="318343FC"/>
    <w:rsid w:val="34607CDA"/>
    <w:rsid w:val="34BA69FD"/>
    <w:rsid w:val="356C5820"/>
    <w:rsid w:val="357F3DC2"/>
    <w:rsid w:val="36823099"/>
    <w:rsid w:val="368639B6"/>
    <w:rsid w:val="371A1C9B"/>
    <w:rsid w:val="37660416"/>
    <w:rsid w:val="384756BB"/>
    <w:rsid w:val="39460EFE"/>
    <w:rsid w:val="3CD64841"/>
    <w:rsid w:val="3D6C2705"/>
    <w:rsid w:val="3EC34EB2"/>
    <w:rsid w:val="3EEA68E5"/>
    <w:rsid w:val="411C35EA"/>
    <w:rsid w:val="423F056D"/>
    <w:rsid w:val="42F81ACE"/>
    <w:rsid w:val="443351FD"/>
    <w:rsid w:val="44404066"/>
    <w:rsid w:val="44457ACB"/>
    <w:rsid w:val="44533E2C"/>
    <w:rsid w:val="44A15919"/>
    <w:rsid w:val="45C14145"/>
    <w:rsid w:val="45E306A9"/>
    <w:rsid w:val="45E4355F"/>
    <w:rsid w:val="4723746E"/>
    <w:rsid w:val="47775226"/>
    <w:rsid w:val="48CB2E90"/>
    <w:rsid w:val="498F7A5D"/>
    <w:rsid w:val="4AA53B30"/>
    <w:rsid w:val="4BFA02EF"/>
    <w:rsid w:val="4CA61DDB"/>
    <w:rsid w:val="4D212485"/>
    <w:rsid w:val="4D6356EC"/>
    <w:rsid w:val="4E933C05"/>
    <w:rsid w:val="4F980C2D"/>
    <w:rsid w:val="4F9C3033"/>
    <w:rsid w:val="4F9F5D37"/>
    <w:rsid w:val="4FD62B43"/>
    <w:rsid w:val="514B5F8A"/>
    <w:rsid w:val="52037D28"/>
    <w:rsid w:val="528A2105"/>
    <w:rsid w:val="532B4404"/>
    <w:rsid w:val="55175ABF"/>
    <w:rsid w:val="55293A59"/>
    <w:rsid w:val="55902FED"/>
    <w:rsid w:val="56304BDD"/>
    <w:rsid w:val="57946F3B"/>
    <w:rsid w:val="5814444F"/>
    <w:rsid w:val="581D67C1"/>
    <w:rsid w:val="588E12F3"/>
    <w:rsid w:val="5A87348D"/>
    <w:rsid w:val="5AE7385C"/>
    <w:rsid w:val="5B1252C6"/>
    <w:rsid w:val="5BC575F4"/>
    <w:rsid w:val="5CA30B94"/>
    <w:rsid w:val="5DC206DD"/>
    <w:rsid w:val="5F300E89"/>
    <w:rsid w:val="5FD158D6"/>
    <w:rsid w:val="60392E63"/>
    <w:rsid w:val="60513374"/>
    <w:rsid w:val="61260AA4"/>
    <w:rsid w:val="612A0FFE"/>
    <w:rsid w:val="61447E65"/>
    <w:rsid w:val="619977DD"/>
    <w:rsid w:val="61A224EB"/>
    <w:rsid w:val="62FA008E"/>
    <w:rsid w:val="65703AD4"/>
    <w:rsid w:val="6641655A"/>
    <w:rsid w:val="66D42C7B"/>
    <w:rsid w:val="676D1E08"/>
    <w:rsid w:val="67F63EE4"/>
    <w:rsid w:val="68AB2B0F"/>
    <w:rsid w:val="68C23609"/>
    <w:rsid w:val="692F7BB2"/>
    <w:rsid w:val="69367E9C"/>
    <w:rsid w:val="697579A9"/>
    <w:rsid w:val="6A3E051A"/>
    <w:rsid w:val="6B2025FF"/>
    <w:rsid w:val="6DB25C26"/>
    <w:rsid w:val="6DD129AA"/>
    <w:rsid w:val="6DE06F2A"/>
    <w:rsid w:val="6E661873"/>
    <w:rsid w:val="6EF532A3"/>
    <w:rsid w:val="6F2E0E06"/>
    <w:rsid w:val="70250E73"/>
    <w:rsid w:val="709654A8"/>
    <w:rsid w:val="712C019A"/>
    <w:rsid w:val="72C53767"/>
    <w:rsid w:val="73AE205D"/>
    <w:rsid w:val="743C26A0"/>
    <w:rsid w:val="74471CE0"/>
    <w:rsid w:val="752D7766"/>
    <w:rsid w:val="75881D45"/>
    <w:rsid w:val="77664E20"/>
    <w:rsid w:val="782F01D3"/>
    <w:rsid w:val="788E431A"/>
    <w:rsid w:val="78A61546"/>
    <w:rsid w:val="78D425ED"/>
    <w:rsid w:val="7B597FB2"/>
    <w:rsid w:val="7BD07463"/>
    <w:rsid w:val="7C1C51EE"/>
    <w:rsid w:val="7CCC734B"/>
    <w:rsid w:val="7D621A97"/>
    <w:rsid w:val="7DB529D6"/>
    <w:rsid w:val="7E9011C6"/>
    <w:rsid w:val="7EE36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9"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qFormat="1" w:unhideWhenUsed="0" w:uiPriority="0" w:semiHidden="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1"/>
    <w:link w:val="101"/>
    <w:qFormat/>
    <w:uiPriority w:val="0"/>
    <w:pPr>
      <w:keepNext/>
      <w:keepLines/>
      <w:numPr>
        <w:ilvl w:val="0"/>
        <w:numId w:val="1"/>
      </w:numPr>
      <w:spacing w:before="340" w:after="330" w:line="578" w:lineRule="atLeast"/>
      <w:outlineLvl w:val="0"/>
    </w:pPr>
    <w:rPr>
      <w:b/>
      <w:bCs/>
      <w:kern w:val="44"/>
      <w:sz w:val="44"/>
      <w:szCs w:val="44"/>
    </w:rPr>
  </w:style>
  <w:style w:type="paragraph" w:styleId="3">
    <w:name w:val="heading 5"/>
    <w:basedOn w:val="1"/>
    <w:next w:val="1"/>
    <w:link w:val="109"/>
    <w:qFormat/>
    <w:uiPriority w:val="0"/>
    <w:pPr>
      <w:keepNext/>
      <w:keepLines/>
      <w:numPr>
        <w:ilvl w:val="4"/>
        <w:numId w:val="1"/>
      </w:numPr>
      <w:spacing w:before="280" w:after="290" w:line="376" w:lineRule="atLeast"/>
      <w:outlineLvl w:val="4"/>
    </w:pPr>
    <w:rPr>
      <w:b/>
      <w:bCs/>
      <w:sz w:val="28"/>
      <w:szCs w:val="28"/>
    </w:rPr>
  </w:style>
  <w:style w:type="paragraph" w:styleId="4">
    <w:name w:val="heading 6"/>
    <w:basedOn w:val="1"/>
    <w:next w:val="1"/>
    <w:link w:val="107"/>
    <w:qFormat/>
    <w:uiPriority w:val="0"/>
    <w:pPr>
      <w:keepNext/>
      <w:keepLines/>
      <w:numPr>
        <w:ilvl w:val="5"/>
        <w:numId w:val="1"/>
      </w:numPr>
      <w:spacing w:before="240" w:after="64" w:line="320" w:lineRule="atLeast"/>
      <w:outlineLvl w:val="5"/>
    </w:pPr>
    <w:rPr>
      <w:rFonts w:ascii="Arial" w:hAnsi="Arial" w:eastAsia="黑体"/>
      <w:b/>
      <w:bCs/>
      <w:szCs w:val="24"/>
    </w:rPr>
  </w:style>
  <w:style w:type="paragraph" w:styleId="5">
    <w:name w:val="heading 7"/>
    <w:basedOn w:val="1"/>
    <w:next w:val="1"/>
    <w:link w:val="114"/>
    <w:qFormat/>
    <w:uiPriority w:val="0"/>
    <w:pPr>
      <w:keepNext/>
      <w:keepLines/>
      <w:numPr>
        <w:ilvl w:val="6"/>
        <w:numId w:val="1"/>
      </w:numPr>
      <w:spacing w:before="240" w:after="64" w:line="320" w:lineRule="atLeast"/>
      <w:outlineLvl w:val="6"/>
    </w:pPr>
    <w:rPr>
      <w:b/>
      <w:bCs/>
      <w:szCs w:val="24"/>
    </w:rPr>
  </w:style>
  <w:style w:type="paragraph" w:styleId="6">
    <w:name w:val="heading 8"/>
    <w:basedOn w:val="1"/>
    <w:next w:val="1"/>
    <w:link w:val="104"/>
    <w:qFormat/>
    <w:uiPriority w:val="0"/>
    <w:pPr>
      <w:keepNext/>
      <w:keepLines/>
      <w:numPr>
        <w:ilvl w:val="7"/>
        <w:numId w:val="1"/>
      </w:numPr>
      <w:spacing w:before="240" w:after="64" w:line="320" w:lineRule="atLeast"/>
      <w:outlineLvl w:val="7"/>
    </w:pPr>
    <w:rPr>
      <w:rFonts w:ascii="Arial" w:hAnsi="Arial" w:eastAsia="黑体"/>
      <w:szCs w:val="24"/>
    </w:rPr>
  </w:style>
  <w:style w:type="paragraph" w:styleId="7">
    <w:name w:val="heading 9"/>
    <w:basedOn w:val="1"/>
    <w:next w:val="1"/>
    <w:link w:val="106"/>
    <w:qFormat/>
    <w:uiPriority w:val="0"/>
    <w:pPr>
      <w:keepNext/>
      <w:keepLines/>
      <w:numPr>
        <w:ilvl w:val="8"/>
        <w:numId w:val="1"/>
      </w:numPr>
      <w:spacing w:before="240" w:after="64" w:line="320" w:lineRule="atLeast"/>
      <w:outlineLvl w:val="8"/>
    </w:pPr>
    <w:rPr>
      <w:rFonts w:ascii="Arial" w:hAnsi="Arial" w:eastAsia="黑体"/>
      <w:sz w:val="21"/>
      <w:szCs w:val="21"/>
    </w:rPr>
  </w:style>
  <w:style w:type="character" w:default="1" w:styleId="36">
    <w:name w:val="Default Paragraph Font"/>
    <w:unhideWhenUsed/>
    <w:qFormat/>
    <w:uiPriority w:val="1"/>
  </w:style>
  <w:style w:type="table" w:default="1" w:styleId="42">
    <w:name w:val="Normal Table"/>
    <w:unhideWhenUsed/>
    <w:qFormat/>
    <w:uiPriority w:val="99"/>
    <w:tblPr>
      <w:tblLayout w:type="fixed"/>
      <w:tblCellMar>
        <w:top w:w="0" w:type="dxa"/>
        <w:left w:w="108" w:type="dxa"/>
        <w:bottom w:w="0" w:type="dxa"/>
        <w:right w:w="108" w:type="dxa"/>
      </w:tblCellMar>
    </w:tblPr>
  </w:style>
  <w:style w:type="paragraph" w:styleId="8">
    <w:name w:val="annotation subject"/>
    <w:basedOn w:val="9"/>
    <w:next w:val="9"/>
    <w:semiHidden/>
    <w:qFormat/>
    <w:uiPriority w:val="0"/>
    <w:rPr>
      <w:b/>
      <w:bCs/>
    </w:rPr>
  </w:style>
  <w:style w:type="paragraph" w:styleId="9">
    <w:name w:val="annotation text"/>
    <w:basedOn w:val="1"/>
    <w:link w:val="116"/>
    <w:qFormat/>
    <w:uiPriority w:val="0"/>
  </w:style>
  <w:style w:type="paragraph" w:styleId="10">
    <w:name w:val="toc 7"/>
    <w:basedOn w:val="1"/>
    <w:next w:val="1"/>
    <w:qFormat/>
    <w:uiPriority w:val="0"/>
    <w:pPr>
      <w:adjustRightInd/>
      <w:spacing w:line="240" w:lineRule="auto"/>
      <w:ind w:left="1260"/>
      <w:textAlignment w:val="auto"/>
    </w:pPr>
    <w:rPr>
      <w:kern w:val="2"/>
      <w:sz w:val="21"/>
      <w:szCs w:val="21"/>
    </w:rPr>
  </w:style>
  <w:style w:type="paragraph" w:styleId="11">
    <w:name w:val="Body Text First Indent"/>
    <w:basedOn w:val="12"/>
    <w:link w:val="108"/>
    <w:qFormat/>
    <w:uiPriority w:val="0"/>
    <w:pPr>
      <w:ind w:firstLine="420" w:firstLineChars="100"/>
    </w:pPr>
  </w:style>
  <w:style w:type="paragraph" w:styleId="12">
    <w:name w:val="Body Text"/>
    <w:basedOn w:val="1"/>
    <w:qFormat/>
    <w:uiPriority w:val="0"/>
    <w:pPr>
      <w:spacing w:after="120"/>
    </w:pPr>
  </w:style>
  <w:style w:type="paragraph" w:styleId="1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imes New Roman" w:eastAsia="宋体" w:cs="Times New Roman"/>
      <w:sz w:val="24"/>
      <w:lang w:val="en-US" w:eastAsia="zh-CN" w:bidi="ar-SA"/>
    </w:rPr>
  </w:style>
  <w:style w:type="paragraph" w:styleId="14">
    <w:name w:val="Normal Indent"/>
    <w:basedOn w:val="1"/>
    <w:qFormat/>
    <w:uiPriority w:val="0"/>
    <w:pPr>
      <w:ind w:firstLine="420" w:firstLineChars="200"/>
    </w:pPr>
  </w:style>
  <w:style w:type="paragraph" w:styleId="15">
    <w:name w:val="Document Map"/>
    <w:basedOn w:val="1"/>
    <w:link w:val="103"/>
    <w:qFormat/>
    <w:uiPriority w:val="0"/>
    <w:pPr>
      <w:shd w:val="clear" w:color="auto" w:fill="000080"/>
    </w:pPr>
  </w:style>
  <w:style w:type="paragraph" w:styleId="16">
    <w:name w:val="Body Text 3"/>
    <w:basedOn w:val="1"/>
    <w:qFormat/>
    <w:uiPriority w:val="0"/>
    <w:pPr>
      <w:spacing w:after="120"/>
    </w:pPr>
    <w:rPr>
      <w:sz w:val="16"/>
      <w:szCs w:val="16"/>
    </w:rPr>
  </w:style>
  <w:style w:type="paragraph" w:styleId="17">
    <w:name w:val="Body Text Indent"/>
    <w:basedOn w:val="1"/>
    <w:qFormat/>
    <w:uiPriority w:val="0"/>
    <w:pPr>
      <w:spacing w:after="120"/>
      <w:ind w:left="420" w:leftChars="200"/>
    </w:pPr>
  </w:style>
  <w:style w:type="paragraph" w:styleId="18">
    <w:name w:val="toc 5"/>
    <w:basedOn w:val="1"/>
    <w:next w:val="1"/>
    <w:qFormat/>
    <w:uiPriority w:val="0"/>
    <w:pPr>
      <w:adjustRightInd/>
      <w:spacing w:line="240" w:lineRule="auto"/>
      <w:ind w:left="840"/>
      <w:textAlignment w:val="auto"/>
    </w:pPr>
    <w:rPr>
      <w:kern w:val="2"/>
      <w:sz w:val="21"/>
      <w:szCs w:val="21"/>
    </w:rPr>
  </w:style>
  <w:style w:type="paragraph" w:styleId="19">
    <w:name w:val="toc 3"/>
    <w:basedOn w:val="1"/>
    <w:next w:val="1"/>
    <w:qFormat/>
    <w:uiPriority w:val="39"/>
    <w:pPr>
      <w:adjustRightInd/>
      <w:spacing w:line="240" w:lineRule="auto"/>
      <w:ind w:left="420"/>
      <w:textAlignment w:val="auto"/>
    </w:pPr>
    <w:rPr>
      <w:i/>
      <w:iCs/>
      <w:kern w:val="2"/>
      <w:sz w:val="21"/>
      <w:szCs w:val="24"/>
    </w:rPr>
  </w:style>
  <w:style w:type="paragraph" w:styleId="20">
    <w:name w:val="Plain Text"/>
    <w:basedOn w:val="1"/>
    <w:link w:val="105"/>
    <w:qFormat/>
    <w:uiPriority w:val="0"/>
    <w:pPr>
      <w:adjustRightInd/>
      <w:spacing w:line="240" w:lineRule="auto"/>
      <w:jc w:val="both"/>
      <w:textAlignment w:val="auto"/>
    </w:pPr>
    <w:rPr>
      <w:rFonts w:ascii="宋体" w:hAnsi="Courier New"/>
      <w:kern w:val="2"/>
      <w:sz w:val="21"/>
      <w:szCs w:val="21"/>
    </w:rPr>
  </w:style>
  <w:style w:type="paragraph" w:styleId="21">
    <w:name w:val="toc 8"/>
    <w:basedOn w:val="1"/>
    <w:next w:val="1"/>
    <w:qFormat/>
    <w:uiPriority w:val="0"/>
    <w:pPr>
      <w:adjustRightInd/>
      <w:spacing w:line="240" w:lineRule="auto"/>
      <w:ind w:left="1470"/>
      <w:textAlignment w:val="auto"/>
    </w:pPr>
    <w:rPr>
      <w:kern w:val="2"/>
      <w:sz w:val="21"/>
      <w:szCs w:val="21"/>
    </w:rPr>
  </w:style>
  <w:style w:type="paragraph" w:styleId="22">
    <w:name w:val="Date"/>
    <w:basedOn w:val="1"/>
    <w:next w:val="1"/>
    <w:qFormat/>
    <w:uiPriority w:val="0"/>
    <w:pPr>
      <w:ind w:left="100" w:leftChars="2500"/>
    </w:pPr>
  </w:style>
  <w:style w:type="paragraph" w:styleId="23">
    <w:name w:val="Body Text Indent 2"/>
    <w:basedOn w:val="1"/>
    <w:qFormat/>
    <w:uiPriority w:val="0"/>
    <w:pPr>
      <w:spacing w:after="120" w:line="480" w:lineRule="auto"/>
      <w:ind w:left="420" w:leftChars="200"/>
    </w:pPr>
  </w:style>
  <w:style w:type="paragraph" w:styleId="24">
    <w:name w:val="Balloon Text"/>
    <w:basedOn w:val="1"/>
    <w:qFormat/>
    <w:uiPriority w:val="0"/>
    <w:rPr>
      <w:sz w:val="18"/>
      <w:szCs w:val="18"/>
    </w:rPr>
  </w:style>
  <w:style w:type="paragraph" w:styleId="25">
    <w:name w:val="footer"/>
    <w:basedOn w:val="1"/>
    <w:link w:val="110"/>
    <w:qFormat/>
    <w:uiPriority w:val="99"/>
    <w:pPr>
      <w:tabs>
        <w:tab w:val="center" w:pos="4153"/>
        <w:tab w:val="right" w:pos="8306"/>
      </w:tabs>
      <w:spacing w:line="240" w:lineRule="atLeast"/>
    </w:pPr>
    <w:rPr>
      <w:sz w:val="18"/>
    </w:rPr>
  </w:style>
  <w:style w:type="paragraph" w:styleId="26">
    <w:name w:val="header"/>
    <w:basedOn w:val="1"/>
    <w:link w:val="97"/>
    <w:qFormat/>
    <w:uiPriority w:val="0"/>
    <w:pPr>
      <w:pBdr>
        <w:bottom w:val="single" w:color="auto" w:sz="6" w:space="1"/>
      </w:pBdr>
      <w:tabs>
        <w:tab w:val="center" w:pos="4153"/>
        <w:tab w:val="right" w:pos="8306"/>
      </w:tabs>
      <w:spacing w:line="240" w:lineRule="atLeast"/>
      <w:jc w:val="center"/>
    </w:pPr>
    <w:rPr>
      <w:sz w:val="18"/>
    </w:rPr>
  </w:style>
  <w:style w:type="paragraph" w:styleId="27">
    <w:name w:val="toc 1"/>
    <w:basedOn w:val="1"/>
    <w:next w:val="1"/>
    <w:qFormat/>
    <w:uiPriority w:val="0"/>
  </w:style>
  <w:style w:type="paragraph" w:styleId="28">
    <w:name w:val="toc 4"/>
    <w:basedOn w:val="1"/>
    <w:next w:val="1"/>
    <w:qFormat/>
    <w:uiPriority w:val="0"/>
    <w:pPr>
      <w:adjustRightInd/>
      <w:spacing w:line="240" w:lineRule="auto"/>
      <w:ind w:left="630"/>
      <w:textAlignment w:val="auto"/>
    </w:pPr>
    <w:rPr>
      <w:kern w:val="2"/>
      <w:sz w:val="21"/>
      <w:szCs w:val="21"/>
    </w:rPr>
  </w:style>
  <w:style w:type="paragraph" w:styleId="29">
    <w:name w:val="footnote text"/>
    <w:basedOn w:val="1"/>
    <w:qFormat/>
    <w:uiPriority w:val="0"/>
    <w:pPr>
      <w:spacing w:line="312" w:lineRule="atLeast"/>
    </w:pPr>
    <w:rPr>
      <w:kern w:val="2"/>
      <w:sz w:val="18"/>
      <w:szCs w:val="18"/>
    </w:rPr>
  </w:style>
  <w:style w:type="paragraph" w:styleId="30">
    <w:name w:val="toc 6"/>
    <w:basedOn w:val="1"/>
    <w:next w:val="1"/>
    <w:qFormat/>
    <w:uiPriority w:val="0"/>
    <w:pPr>
      <w:adjustRightInd/>
      <w:spacing w:line="240" w:lineRule="auto"/>
      <w:ind w:left="1050"/>
      <w:textAlignment w:val="auto"/>
    </w:pPr>
    <w:rPr>
      <w:kern w:val="2"/>
      <w:sz w:val="21"/>
      <w:szCs w:val="21"/>
    </w:rPr>
  </w:style>
  <w:style w:type="paragraph" w:styleId="31">
    <w:name w:val="Body Text Indent 3"/>
    <w:basedOn w:val="1"/>
    <w:qFormat/>
    <w:uiPriority w:val="0"/>
    <w:pPr>
      <w:spacing w:after="120"/>
      <w:ind w:left="420" w:leftChars="200"/>
    </w:pPr>
    <w:rPr>
      <w:sz w:val="16"/>
      <w:szCs w:val="16"/>
    </w:rPr>
  </w:style>
  <w:style w:type="paragraph" w:styleId="32">
    <w:name w:val="toc 2"/>
    <w:basedOn w:val="1"/>
    <w:next w:val="1"/>
    <w:qFormat/>
    <w:uiPriority w:val="39"/>
    <w:pPr>
      <w:ind w:left="420" w:leftChars="200"/>
    </w:pPr>
  </w:style>
  <w:style w:type="paragraph" w:styleId="33">
    <w:name w:val="toc 9"/>
    <w:basedOn w:val="1"/>
    <w:next w:val="1"/>
    <w:qFormat/>
    <w:uiPriority w:val="0"/>
    <w:pPr>
      <w:adjustRightInd/>
      <w:spacing w:line="240" w:lineRule="auto"/>
      <w:ind w:left="1680"/>
      <w:textAlignment w:val="auto"/>
    </w:pPr>
    <w:rPr>
      <w:kern w:val="2"/>
      <w:sz w:val="21"/>
      <w:szCs w:val="21"/>
    </w:rPr>
  </w:style>
  <w:style w:type="paragraph" w:styleId="34">
    <w:name w:val="Body Text 2"/>
    <w:basedOn w:val="1"/>
    <w:qFormat/>
    <w:uiPriority w:val="0"/>
    <w:pPr>
      <w:spacing w:after="120" w:line="480" w:lineRule="auto"/>
    </w:pPr>
  </w:style>
  <w:style w:type="paragraph" w:styleId="35">
    <w:name w:val="Normal (Web)"/>
    <w:basedOn w:val="1"/>
    <w:qFormat/>
    <w:uiPriority w:val="0"/>
    <w:pPr>
      <w:widowControl/>
      <w:adjustRightInd/>
      <w:spacing w:before="100" w:beforeAutospacing="1" w:after="100" w:afterAutospacing="1" w:line="240" w:lineRule="auto"/>
      <w:textAlignment w:val="auto"/>
    </w:pPr>
    <w:rPr>
      <w:rFonts w:ascii="宋体" w:hAnsi="宋体" w:cs="宋体"/>
      <w:szCs w:val="24"/>
    </w:rPr>
  </w:style>
  <w:style w:type="character" w:styleId="37">
    <w:name w:val="Strong"/>
    <w:qFormat/>
    <w:uiPriority w:val="0"/>
    <w:rPr>
      <w:b/>
    </w:rPr>
  </w:style>
  <w:style w:type="character" w:styleId="38">
    <w:name w:val="page number"/>
    <w:basedOn w:val="36"/>
    <w:qFormat/>
    <w:uiPriority w:val="0"/>
  </w:style>
  <w:style w:type="character" w:styleId="39">
    <w:name w:val="Emphasis"/>
    <w:qFormat/>
    <w:uiPriority w:val="0"/>
    <w:rPr>
      <w:color w:val="CC0000"/>
    </w:rPr>
  </w:style>
  <w:style w:type="character" w:styleId="40">
    <w:name w:val="Hyperlink"/>
    <w:qFormat/>
    <w:uiPriority w:val="99"/>
    <w:rPr>
      <w:color w:val="0000FF"/>
      <w:u w:val="single"/>
    </w:rPr>
  </w:style>
  <w:style w:type="character" w:styleId="41">
    <w:name w:val="annotation reference"/>
    <w:qFormat/>
    <w:uiPriority w:val="99"/>
    <w:rPr>
      <w:sz w:val="21"/>
      <w:szCs w:val="21"/>
    </w:rPr>
  </w:style>
  <w:style w:type="paragraph" w:customStyle="1" w:styleId="43">
    <w:name w:val="标题 21"/>
    <w:basedOn w:val="1"/>
    <w:next w:val="1"/>
    <w:link w:val="113"/>
    <w:qFormat/>
    <w:uiPriority w:val="9"/>
    <w:pPr>
      <w:keepNext/>
      <w:keepLines/>
      <w:spacing w:before="260" w:after="260" w:line="416" w:lineRule="atLeast"/>
      <w:outlineLvl w:val="1"/>
    </w:pPr>
    <w:rPr>
      <w:rFonts w:ascii="Arial" w:hAnsi="Arial" w:eastAsia="黑体"/>
      <w:b/>
      <w:bCs/>
      <w:sz w:val="32"/>
      <w:szCs w:val="32"/>
    </w:rPr>
  </w:style>
  <w:style w:type="paragraph" w:customStyle="1" w:styleId="44">
    <w:name w:val="标题 31"/>
    <w:basedOn w:val="1"/>
    <w:next w:val="1"/>
    <w:link w:val="111"/>
    <w:qFormat/>
    <w:uiPriority w:val="0"/>
    <w:pPr>
      <w:keepNext/>
      <w:keepLines/>
      <w:spacing w:before="260" w:after="260" w:line="416" w:lineRule="atLeast"/>
      <w:outlineLvl w:val="2"/>
    </w:pPr>
    <w:rPr>
      <w:b/>
      <w:bCs/>
      <w:sz w:val="32"/>
      <w:szCs w:val="32"/>
    </w:rPr>
  </w:style>
  <w:style w:type="paragraph" w:customStyle="1" w:styleId="45">
    <w:name w:val="标题 41"/>
    <w:basedOn w:val="1"/>
    <w:next w:val="1"/>
    <w:link w:val="112"/>
    <w:qFormat/>
    <w:uiPriority w:val="9"/>
    <w:pPr>
      <w:keepNext/>
      <w:keepLines/>
      <w:spacing w:before="280" w:after="290" w:line="376" w:lineRule="atLeast"/>
      <w:outlineLvl w:val="3"/>
    </w:pPr>
    <w:rPr>
      <w:rFonts w:ascii="Arial" w:hAnsi="Arial" w:eastAsia="黑体"/>
      <w:b/>
      <w:bCs/>
      <w:sz w:val="28"/>
      <w:szCs w:val="28"/>
    </w:rPr>
  </w:style>
  <w:style w:type="paragraph" w:customStyle="1" w:styleId="46">
    <w:name w:val="Char Char16"/>
    <w:basedOn w:val="1"/>
    <w:qFormat/>
    <w:uiPriority w:val="0"/>
    <w:pPr>
      <w:widowControl/>
      <w:adjustRightInd/>
      <w:spacing w:after="160" w:line="240" w:lineRule="exact"/>
      <w:textAlignment w:val="auto"/>
    </w:pPr>
    <w:rPr>
      <w:rFonts w:ascii="Verdana" w:hAnsi="Verdana" w:eastAsia="仿宋_GB2312"/>
      <w:lang w:eastAsia="en-US"/>
    </w:rPr>
  </w:style>
  <w:style w:type="paragraph" w:customStyle="1" w:styleId="47">
    <w:name w:val="图标题"/>
    <w:basedOn w:val="1"/>
    <w:qFormat/>
    <w:uiPriority w:val="0"/>
    <w:pPr>
      <w:numPr>
        <w:ilvl w:val="8"/>
        <w:numId w:val="2"/>
      </w:numPr>
    </w:pPr>
  </w:style>
  <w:style w:type="paragraph" w:customStyle="1" w:styleId="48">
    <w:name w:val="Car Car"/>
    <w:basedOn w:val="1"/>
    <w:qFormat/>
    <w:uiPriority w:val="0"/>
    <w:pPr>
      <w:adjustRightInd/>
      <w:spacing w:line="240" w:lineRule="auto"/>
      <w:jc w:val="both"/>
      <w:textAlignment w:val="auto"/>
    </w:pPr>
    <w:rPr>
      <w:rFonts w:ascii="Tahoma" w:hAnsi="Tahoma"/>
      <w:kern w:val="2"/>
    </w:rPr>
  </w:style>
  <w:style w:type="paragraph" w:customStyle="1" w:styleId="49">
    <w:name w:val="Body Text Indent 21"/>
    <w:basedOn w:val="1"/>
    <w:qFormat/>
    <w:uiPriority w:val="0"/>
    <w:pPr>
      <w:spacing w:line="240" w:lineRule="auto"/>
      <w:ind w:left="720" w:hanging="720"/>
      <w:jc w:val="both"/>
    </w:pPr>
    <w:rPr>
      <w:b/>
      <w:kern w:val="2"/>
      <w:sz w:val="28"/>
    </w:rPr>
  </w:style>
  <w:style w:type="paragraph" w:customStyle="1" w:styleId="50">
    <w:name w:val="样式 标题 4 + 段前: 5 磅 段后: 5 磅 行距: 单倍行距"/>
    <w:basedOn w:val="45"/>
    <w:qFormat/>
    <w:uiPriority w:val="0"/>
    <w:pPr>
      <w:spacing w:before="100" w:after="100" w:line="240" w:lineRule="auto"/>
    </w:pPr>
    <w:rPr>
      <w:rFonts w:cs="宋体"/>
      <w:szCs w:val="20"/>
    </w:rPr>
  </w:style>
  <w:style w:type="paragraph" w:customStyle="1" w:styleId="51">
    <w:name w:val="样式 样式 标题 4 + 段前: 5 磅 段后: 5 磅 行距: 单倍行距 + 五号"/>
    <w:basedOn w:val="50"/>
    <w:qFormat/>
    <w:uiPriority w:val="0"/>
    <w:rPr>
      <w:sz w:val="21"/>
    </w:rPr>
  </w:style>
  <w:style w:type="paragraph" w:customStyle="1" w:styleId="52">
    <w:name w:val="样式 宋体 五号 两端对齐 行距: 单倍行距1"/>
    <w:basedOn w:val="1"/>
    <w:qFormat/>
    <w:uiPriority w:val="0"/>
    <w:pPr>
      <w:spacing w:line="240" w:lineRule="auto"/>
      <w:jc w:val="both"/>
    </w:pPr>
    <w:rPr>
      <w:rFonts w:ascii="宋体" w:hAnsi="宋体" w:cs="宋体"/>
      <w:sz w:val="21"/>
    </w:rPr>
  </w:style>
  <w:style w:type="paragraph" w:customStyle="1" w:styleId="53">
    <w:name w:val="默认段落字体 Para Char Char Char Char Char Char Char"/>
    <w:basedOn w:val="1"/>
    <w:qFormat/>
    <w:uiPriority w:val="0"/>
    <w:pPr>
      <w:adjustRightInd/>
      <w:spacing w:line="240" w:lineRule="auto"/>
      <w:jc w:val="both"/>
      <w:textAlignment w:val="auto"/>
    </w:pPr>
    <w:rPr>
      <w:rFonts w:ascii="Tahoma" w:hAnsi="Tahoma"/>
      <w:kern w:val="2"/>
    </w:rPr>
  </w:style>
  <w:style w:type="paragraph" w:customStyle="1" w:styleId="54">
    <w:name w:val="样式 标题 5 + 段前: 5 磅 段后: 5 磅 行距: 单倍行距"/>
    <w:basedOn w:val="3"/>
    <w:qFormat/>
    <w:uiPriority w:val="0"/>
    <w:pPr>
      <w:spacing w:before="100" w:after="100" w:line="240" w:lineRule="auto"/>
    </w:pPr>
    <w:rPr>
      <w:rFonts w:cs="宋体"/>
      <w:szCs w:val="20"/>
    </w:rPr>
  </w:style>
  <w:style w:type="paragraph" w:customStyle="1" w:styleId="55">
    <w:name w:val="Body Text 21"/>
    <w:basedOn w:val="1"/>
    <w:qFormat/>
    <w:uiPriority w:val="0"/>
    <w:pPr>
      <w:spacing w:before="240" w:line="400" w:lineRule="exact"/>
      <w:ind w:firstLine="357"/>
      <w:jc w:val="both"/>
    </w:pPr>
    <w:rPr>
      <w:kern w:val="2"/>
      <w:sz w:val="28"/>
    </w:rPr>
  </w:style>
  <w:style w:type="paragraph" w:customStyle="1" w:styleId="56">
    <w:name w:val="Default"/>
    <w:qFormat/>
    <w:uiPriority w:val="0"/>
    <w:pPr>
      <w:widowControl w:val="0"/>
      <w:autoSpaceDE w:val="0"/>
      <w:autoSpaceDN w:val="0"/>
    </w:pPr>
    <w:rPr>
      <w:rFonts w:hint="eastAsia" w:ascii="宋体" w:hAnsi="宋体" w:eastAsia="宋体" w:cs="Times New Roman"/>
      <w:color w:val="000000"/>
      <w:sz w:val="24"/>
      <w:lang w:val="en-US" w:eastAsia="zh-CN" w:bidi="ar-SA"/>
    </w:rPr>
  </w:style>
  <w:style w:type="paragraph" w:customStyle="1" w:styleId="57">
    <w:name w:val="PMstyle"/>
    <w:qFormat/>
    <w:uiPriority w:val="0"/>
    <w:rPr>
      <w:rFonts w:ascii="Tahoma" w:hAnsi="Tahoma" w:eastAsia="宋体" w:cs="Times New Roman"/>
      <w:sz w:val="22"/>
      <w:lang w:val="en-US" w:eastAsia="zh-CN" w:bidi="ar-SA"/>
    </w:rPr>
  </w:style>
  <w:style w:type="paragraph" w:customStyle="1" w:styleId="58">
    <w:name w:val="纯文本1"/>
    <w:basedOn w:val="1"/>
    <w:qFormat/>
    <w:uiPriority w:val="0"/>
    <w:rPr>
      <w:rFonts w:ascii="宋体" w:hAnsi="Courier New" w:cs="宋体"/>
      <w:szCs w:val="21"/>
    </w:rPr>
  </w:style>
  <w:style w:type="paragraph" w:customStyle="1" w:styleId="59">
    <w:name w:val="样式 样式 样式 样式 标题 2 + 宋体 五号 非加粗 黑色 + 段前: 6 磅 段后: 0 磅 行距: 单倍行距 + 段前:..."/>
    <w:basedOn w:val="60"/>
    <w:qFormat/>
    <w:uiPriority w:val="0"/>
    <w:rPr>
      <w:b/>
      <w:bCs/>
    </w:rPr>
  </w:style>
  <w:style w:type="paragraph" w:customStyle="1" w:styleId="60">
    <w:name w:val="样式 样式 样式 标题 2 + 宋体 五号 非加粗 黑色 + 段前: 6 磅 段后: 0 磅 行距: 单倍行距 + 段前: 12..."/>
    <w:basedOn w:val="61"/>
    <w:qFormat/>
    <w:uiPriority w:val="0"/>
    <w:pPr>
      <w:spacing w:before="240"/>
    </w:pPr>
  </w:style>
  <w:style w:type="paragraph" w:customStyle="1" w:styleId="61">
    <w:name w:val="样式 样式 标题 2 + 宋体 五号 非加粗 黑色 + 段前: 6 磅 段后: 0 磅 行距: 单倍行距"/>
    <w:basedOn w:val="62"/>
    <w:qFormat/>
    <w:uiPriority w:val="0"/>
    <w:pPr>
      <w:spacing w:before="120" w:after="0" w:line="240" w:lineRule="auto"/>
    </w:pPr>
    <w:rPr>
      <w:rFonts w:cs="宋体"/>
      <w:szCs w:val="20"/>
    </w:rPr>
  </w:style>
  <w:style w:type="paragraph" w:customStyle="1" w:styleId="62">
    <w:name w:val="样式 标题 2 + 宋体 五号 非加粗 黑色"/>
    <w:basedOn w:val="43"/>
    <w:qFormat/>
    <w:uiPriority w:val="0"/>
    <w:rPr>
      <w:rFonts w:ascii="宋体" w:hAnsi="宋体" w:eastAsia="宋体"/>
      <w:b w:val="0"/>
      <w:bCs w:val="0"/>
      <w:color w:val="000000"/>
      <w:sz w:val="21"/>
    </w:rPr>
  </w:style>
  <w:style w:type="paragraph" w:customStyle="1" w:styleId="63">
    <w:name w:val="PMletterText"/>
    <w:basedOn w:val="57"/>
    <w:qFormat/>
    <w:uiPriority w:val="0"/>
    <w:pPr>
      <w:spacing w:before="240"/>
      <w:ind w:left="720"/>
    </w:pPr>
  </w:style>
  <w:style w:type="paragraph" w:customStyle="1" w:styleId="64">
    <w:name w:val="样式 标题 2 + 宋体 五号 行距: 单倍行距"/>
    <w:basedOn w:val="43"/>
    <w:qFormat/>
    <w:uiPriority w:val="0"/>
    <w:pPr>
      <w:spacing w:line="240" w:lineRule="auto"/>
    </w:pPr>
    <w:rPr>
      <w:rFonts w:ascii="宋体" w:hAnsi="宋体" w:eastAsia="宋体" w:cs="宋体"/>
      <w:sz w:val="21"/>
      <w:szCs w:val="20"/>
    </w:rPr>
  </w:style>
  <w:style w:type="paragraph" w:customStyle="1" w:styleId="65">
    <w:name w:val="7"/>
    <w:basedOn w:val="1"/>
    <w:next w:val="1"/>
    <w:qFormat/>
    <w:uiPriority w:val="0"/>
    <w:pPr>
      <w:adjustRightInd/>
      <w:spacing w:line="240" w:lineRule="auto"/>
      <w:jc w:val="both"/>
      <w:textAlignment w:val="auto"/>
    </w:pPr>
    <w:rPr>
      <w:kern w:val="2"/>
      <w:sz w:val="21"/>
      <w:szCs w:val="24"/>
    </w:rPr>
  </w:style>
  <w:style w:type="paragraph" w:customStyle="1" w:styleId="66">
    <w:name w:val="正文文本缩进1"/>
    <w:basedOn w:val="1"/>
    <w:qFormat/>
    <w:uiPriority w:val="0"/>
    <w:pPr>
      <w:snapToGrid w:val="0"/>
      <w:spacing w:line="312" w:lineRule="auto"/>
      <w:ind w:firstLine="480" w:firstLineChars="200"/>
    </w:pPr>
    <w:rPr>
      <w:rFonts w:ascii="宋体" w:hAnsi="宋体"/>
      <w:szCs w:val="24"/>
    </w:rPr>
  </w:style>
  <w:style w:type="paragraph" w:customStyle="1" w:styleId="67">
    <w:name w:val="样式2"/>
    <w:basedOn w:val="1"/>
    <w:qFormat/>
    <w:uiPriority w:val="0"/>
    <w:pPr>
      <w:numPr>
        <w:ilvl w:val="1"/>
        <w:numId w:val="3"/>
      </w:numPr>
      <w:tabs>
        <w:tab w:val="left" w:pos="425"/>
      </w:tabs>
      <w:spacing w:line="240" w:lineRule="auto"/>
      <w:jc w:val="both"/>
    </w:pPr>
    <w:rPr>
      <w:rFonts w:ascii="宋体" w:hAnsi="宋体"/>
      <w:sz w:val="21"/>
      <w:szCs w:val="21"/>
    </w:rPr>
  </w:style>
  <w:style w:type="paragraph" w:customStyle="1" w:styleId="68">
    <w:name w:val="表格"/>
    <w:basedOn w:val="1"/>
    <w:qFormat/>
    <w:uiPriority w:val="0"/>
    <w:pPr>
      <w:adjustRightInd/>
      <w:spacing w:line="240" w:lineRule="auto"/>
      <w:textAlignment w:val="auto"/>
    </w:pPr>
    <w:rPr>
      <w:kern w:val="2"/>
      <w:sz w:val="18"/>
      <w:szCs w:val="24"/>
    </w:rPr>
  </w:style>
  <w:style w:type="paragraph" w:customStyle="1" w:styleId="69">
    <w:name w:val="正文1"/>
    <w:basedOn w:val="1"/>
    <w:qFormat/>
    <w:uiPriority w:val="0"/>
    <w:pPr>
      <w:adjustRightInd/>
      <w:spacing w:before="60" w:after="60" w:line="360" w:lineRule="auto"/>
      <w:ind w:left="1080"/>
      <w:jc w:val="both"/>
      <w:textAlignment w:val="auto"/>
      <w:outlineLvl w:val="6"/>
    </w:pPr>
    <w:rPr>
      <w:kern w:val="2"/>
      <w:szCs w:val="24"/>
    </w:rPr>
  </w:style>
  <w:style w:type="paragraph" w:customStyle="1" w:styleId="70">
    <w:name w:val="样式1"/>
    <w:basedOn w:val="1"/>
    <w:qFormat/>
    <w:uiPriority w:val="0"/>
    <w:pPr>
      <w:numPr>
        <w:ilvl w:val="0"/>
        <w:numId w:val="4"/>
      </w:numPr>
      <w:spacing w:line="240" w:lineRule="auto"/>
      <w:jc w:val="both"/>
    </w:pPr>
    <w:rPr>
      <w:rFonts w:ascii="宋体" w:hAnsi="宋体"/>
      <w:sz w:val="21"/>
      <w:szCs w:val="21"/>
    </w:rPr>
  </w:style>
  <w:style w:type="paragraph" w:customStyle="1" w:styleId="71">
    <w:name w:val="正文3"/>
    <w:basedOn w:val="1"/>
    <w:qFormat/>
    <w:uiPriority w:val="0"/>
    <w:pPr>
      <w:adjustRightInd/>
      <w:spacing w:before="60" w:after="60" w:line="360" w:lineRule="auto"/>
      <w:jc w:val="both"/>
      <w:textAlignment w:val="auto"/>
      <w:outlineLvl w:val="8"/>
    </w:pPr>
    <w:rPr>
      <w:kern w:val="2"/>
      <w:szCs w:val="21"/>
    </w:rPr>
  </w:style>
  <w:style w:type="paragraph" w:customStyle="1" w:styleId="72">
    <w:name w:val="缺省文本"/>
    <w:basedOn w:val="1"/>
    <w:qFormat/>
    <w:uiPriority w:val="0"/>
    <w:pPr>
      <w:widowControl/>
      <w:overflowPunct w:val="0"/>
      <w:autoSpaceDE w:val="0"/>
      <w:autoSpaceDN w:val="0"/>
      <w:spacing w:line="360" w:lineRule="auto"/>
      <w:ind w:firstLine="720"/>
      <w:jc w:val="both"/>
    </w:pPr>
    <w:rPr>
      <w:rFonts w:ascii="宋体" w:eastAsia="仿宋_GB2312"/>
      <w:sz w:val="28"/>
    </w:rPr>
  </w:style>
  <w:style w:type="paragraph" w:customStyle="1" w:styleId="73">
    <w:name w:val="列出段落1"/>
    <w:basedOn w:val="1"/>
    <w:qFormat/>
    <w:uiPriority w:val="34"/>
    <w:pPr>
      <w:ind w:firstLine="200" w:firstLineChars="200"/>
    </w:pPr>
    <w:rPr>
      <w:kern w:val="2"/>
      <w:sz w:val="21"/>
      <w:szCs w:val="21"/>
    </w:rPr>
  </w:style>
  <w:style w:type="paragraph" w:customStyle="1" w:styleId="74">
    <w:name w:val="样式 宋体 五号 行距: 单倍行距"/>
    <w:basedOn w:val="1"/>
    <w:qFormat/>
    <w:uiPriority w:val="0"/>
    <w:pPr>
      <w:spacing w:line="240" w:lineRule="auto"/>
    </w:pPr>
    <w:rPr>
      <w:rFonts w:ascii="宋体" w:hAnsi="宋体" w:cs="宋体"/>
      <w:sz w:val="21"/>
    </w:rPr>
  </w:style>
  <w:style w:type="paragraph" w:customStyle="1" w:styleId="75">
    <w:name w:val="BankNormal"/>
    <w:basedOn w:val="1"/>
    <w:qFormat/>
    <w:uiPriority w:val="0"/>
    <w:pPr>
      <w:adjustRightInd/>
      <w:spacing w:line="312" w:lineRule="atLeast"/>
      <w:jc w:val="both"/>
      <w:textAlignment w:val="auto"/>
    </w:pPr>
    <w:rPr>
      <w:kern w:val="2"/>
      <w:sz w:val="21"/>
      <w:szCs w:val="24"/>
    </w:rPr>
  </w:style>
  <w:style w:type="paragraph" w:customStyle="1" w:styleId="76">
    <w:name w:val="1 Char Char Char Char"/>
    <w:basedOn w:val="1"/>
    <w:qFormat/>
    <w:uiPriority w:val="0"/>
    <w:pPr>
      <w:adjustRightInd/>
      <w:spacing w:line="240" w:lineRule="auto"/>
      <w:jc w:val="both"/>
      <w:textAlignment w:val="auto"/>
    </w:pPr>
    <w:rPr>
      <w:kern w:val="2"/>
      <w:sz w:val="21"/>
    </w:rPr>
  </w:style>
  <w:style w:type="paragraph" w:customStyle="1" w:styleId="77">
    <w:name w:val="样式 标题 1 + 四号 居中 段前: 12 磅 段后: 12 磅 行距: 单倍行距"/>
    <w:basedOn w:val="2"/>
    <w:qFormat/>
    <w:uiPriority w:val="0"/>
    <w:pPr>
      <w:spacing w:before="240" w:after="240" w:line="240" w:lineRule="auto"/>
      <w:jc w:val="center"/>
    </w:pPr>
    <w:rPr>
      <w:rFonts w:cs="宋体"/>
      <w:sz w:val="28"/>
      <w:szCs w:val="20"/>
    </w:rPr>
  </w:style>
  <w:style w:type="paragraph" w:customStyle="1" w:styleId="78">
    <w:name w:val="Char Char Char"/>
    <w:basedOn w:val="1"/>
    <w:qFormat/>
    <w:uiPriority w:val="0"/>
    <w:pPr>
      <w:adjustRightInd/>
      <w:spacing w:line="240" w:lineRule="auto"/>
      <w:jc w:val="both"/>
      <w:textAlignment w:val="auto"/>
    </w:pPr>
    <w:rPr>
      <w:rFonts w:ascii="Tahoma" w:hAnsi="Tahoma"/>
      <w:kern w:val="2"/>
    </w:rPr>
  </w:style>
  <w:style w:type="paragraph" w:customStyle="1" w:styleId="79">
    <w:name w:val="正文字缩2字"/>
    <w:basedOn w:val="1"/>
    <w:qFormat/>
    <w:uiPriority w:val="0"/>
    <w:pPr>
      <w:adjustRightInd/>
      <w:spacing w:before="60" w:after="60" w:line="360" w:lineRule="auto"/>
      <w:ind w:left="200" w:leftChars="200" w:firstLine="200" w:firstLineChars="200"/>
      <w:jc w:val="both"/>
      <w:textAlignment w:val="auto"/>
    </w:pPr>
    <w:rPr>
      <w:kern w:val="2"/>
      <w:szCs w:val="24"/>
    </w:rPr>
  </w:style>
  <w:style w:type="paragraph" w:customStyle="1" w:styleId="80">
    <w:name w:val="样式 宋体 五号 两端对齐 行距: 单倍行距"/>
    <w:basedOn w:val="1"/>
    <w:qFormat/>
    <w:uiPriority w:val="0"/>
    <w:pPr>
      <w:spacing w:line="240" w:lineRule="auto"/>
      <w:jc w:val="both"/>
    </w:pPr>
    <w:rPr>
      <w:rFonts w:ascii="宋体" w:hAnsi="宋体" w:cs="宋体"/>
      <w:sz w:val="21"/>
    </w:rPr>
  </w:style>
  <w:style w:type="paragraph" w:customStyle="1" w:styleId="81">
    <w:name w:val="Char"/>
    <w:basedOn w:val="1"/>
    <w:qFormat/>
    <w:uiPriority w:val="0"/>
    <w:pPr>
      <w:tabs>
        <w:tab w:val="left" w:pos="432"/>
      </w:tabs>
      <w:spacing w:line="240" w:lineRule="auto"/>
      <w:ind w:left="432" w:hanging="432"/>
    </w:pPr>
    <w:rPr>
      <w:rFonts w:ascii="Tahoma" w:hAnsi="Tahoma"/>
      <w:kern w:val="2"/>
    </w:rPr>
  </w:style>
  <w:style w:type="paragraph" w:customStyle="1" w:styleId="82">
    <w:name w:val="Char Char Char Char Char Char"/>
    <w:basedOn w:val="1"/>
    <w:qFormat/>
    <w:uiPriority w:val="0"/>
    <w:pPr>
      <w:spacing w:line="360" w:lineRule="auto"/>
      <w:jc w:val="both"/>
      <w:textAlignment w:val="auto"/>
    </w:pPr>
    <w:rPr>
      <w:rFonts w:ascii="Calibri" w:hAnsi="Calibri"/>
    </w:rPr>
  </w:style>
  <w:style w:type="paragraph" w:customStyle="1" w:styleId="83">
    <w:name w:val="Default Text"/>
    <w:basedOn w:val="1"/>
    <w:qFormat/>
    <w:uiPriority w:val="0"/>
    <w:pPr>
      <w:widowControl/>
      <w:overflowPunct w:val="0"/>
      <w:autoSpaceDE w:val="0"/>
      <w:autoSpaceDN w:val="0"/>
      <w:spacing w:line="240" w:lineRule="auto"/>
    </w:pPr>
    <w:rPr>
      <w:rFonts w:eastAsia="仿宋_GB2312"/>
    </w:rPr>
  </w:style>
  <w:style w:type="paragraph" w:customStyle="1" w:styleId="84">
    <w:name w:val="样式 样式 标题 5 + 段前: 5 磅 段后: 5 磅 行距: 单倍行距 + 五号"/>
    <w:basedOn w:val="54"/>
    <w:qFormat/>
    <w:uiPriority w:val="0"/>
    <w:rPr>
      <w:sz w:val="21"/>
    </w:rPr>
  </w:style>
  <w:style w:type="paragraph" w:customStyle="1" w:styleId="85">
    <w:name w:val="heade"/>
    <w:basedOn w:val="1"/>
    <w:qFormat/>
    <w:uiPriority w:val="0"/>
    <w:pPr>
      <w:adjustRightInd/>
      <w:spacing w:line="312" w:lineRule="atLeast"/>
      <w:jc w:val="both"/>
      <w:textAlignment w:val="auto"/>
    </w:pPr>
    <w:rPr>
      <w:kern w:val="2"/>
      <w:sz w:val="21"/>
      <w:szCs w:val="24"/>
    </w:rPr>
  </w:style>
  <w:style w:type="paragraph" w:customStyle="1" w:styleId="86">
    <w:name w:val="样式8"/>
    <w:basedOn w:val="1"/>
    <w:next w:val="1"/>
    <w:qFormat/>
    <w:uiPriority w:val="0"/>
    <w:pPr>
      <w:widowControl/>
      <w:numPr>
        <w:ilvl w:val="1"/>
        <w:numId w:val="5"/>
      </w:numPr>
      <w:spacing w:beforeLines="50" w:afterLines="50" w:line="240" w:lineRule="auto"/>
      <w:outlineLvl w:val="1"/>
    </w:pPr>
    <w:rPr>
      <w:b/>
      <w:szCs w:val="24"/>
      <w:lang w:bidi="en-US"/>
    </w:rPr>
  </w:style>
  <w:style w:type="paragraph" w:customStyle="1" w:styleId="87">
    <w:name w:val="PMtextBullet"/>
    <w:basedOn w:val="57"/>
    <w:qFormat/>
    <w:uiPriority w:val="0"/>
    <w:pPr>
      <w:numPr>
        <w:ilvl w:val="0"/>
        <w:numId w:val="6"/>
      </w:numPr>
      <w:tabs>
        <w:tab w:val="left" w:pos="2520"/>
        <w:tab w:val="clear" w:pos="735"/>
      </w:tabs>
      <w:spacing w:after="200"/>
      <w:ind w:left="2520"/>
    </w:pPr>
  </w:style>
  <w:style w:type="paragraph" w:customStyle="1" w:styleId="88">
    <w:name w:val="正文2"/>
    <w:basedOn w:val="1"/>
    <w:qFormat/>
    <w:uiPriority w:val="0"/>
    <w:pPr>
      <w:adjustRightInd/>
      <w:spacing w:before="60" w:after="60" w:line="360" w:lineRule="auto"/>
      <w:jc w:val="both"/>
      <w:textAlignment w:val="auto"/>
      <w:outlineLvl w:val="7"/>
    </w:pPr>
    <w:rPr>
      <w:kern w:val="2"/>
      <w:szCs w:val="24"/>
    </w:rPr>
  </w:style>
  <w:style w:type="paragraph" w:customStyle="1" w:styleId="89">
    <w:name w:val="样式 标题 3h3H3sect1.2.3 + 五号 段前: 6 磅 段后: 6 磅 行距: 单倍行距"/>
    <w:basedOn w:val="44"/>
    <w:qFormat/>
    <w:uiPriority w:val="0"/>
    <w:pPr>
      <w:spacing w:before="120" w:after="120" w:line="240" w:lineRule="auto"/>
    </w:pPr>
    <w:rPr>
      <w:rFonts w:cs="宋体"/>
      <w:sz w:val="21"/>
      <w:szCs w:val="20"/>
    </w:rPr>
  </w:style>
  <w:style w:type="paragraph" w:customStyle="1" w:styleId="90">
    <w:name w:val="PMletterTextBullet"/>
    <w:basedOn w:val="63"/>
    <w:qFormat/>
    <w:uiPriority w:val="0"/>
    <w:pPr>
      <w:numPr>
        <w:ilvl w:val="0"/>
        <w:numId w:val="7"/>
      </w:numPr>
      <w:tabs>
        <w:tab w:val="left" w:pos="1800"/>
        <w:tab w:val="clear" w:pos="735"/>
      </w:tabs>
      <w:ind w:left="1800"/>
    </w:pPr>
  </w:style>
  <w:style w:type="paragraph" w:customStyle="1" w:styleId="91">
    <w:name w:val="正文内容"/>
    <w:basedOn w:val="1"/>
    <w:link w:val="115"/>
    <w:qFormat/>
    <w:uiPriority w:val="0"/>
    <w:pPr>
      <w:adjustRightInd/>
      <w:spacing w:line="400" w:lineRule="exact"/>
      <w:ind w:firstLine="420" w:firstLineChars="200"/>
      <w:textAlignment w:val="auto"/>
    </w:pPr>
    <w:rPr>
      <w:rFonts w:ascii="宋体" w:hAnsi="宋体"/>
      <w:kern w:val="2"/>
      <w:sz w:val="21"/>
      <w:szCs w:val="22"/>
    </w:rPr>
  </w:style>
  <w:style w:type="paragraph" w:customStyle="1" w:styleId="92">
    <w:name w:val="TOC 标题1"/>
    <w:basedOn w:val="2"/>
    <w:next w:val="1"/>
    <w:unhideWhenUsed/>
    <w:qFormat/>
    <w:uiPriority w:val="39"/>
    <w:pPr>
      <w:widowControl/>
      <w:numPr>
        <w:numId w:val="0"/>
      </w:numPr>
      <w:adjustRightInd/>
      <w:spacing w:before="240" w:after="0" w:line="259" w:lineRule="auto"/>
      <w:textAlignment w:val="auto"/>
      <w:outlineLvl w:val="9"/>
    </w:pPr>
    <w:rPr>
      <w:rFonts w:ascii="Calibri Light" w:hAnsi="Calibri Light" w:cs="黑体"/>
      <w:b w:val="0"/>
      <w:bCs w:val="0"/>
      <w:color w:val="2D73B3"/>
      <w:kern w:val="0"/>
      <w:sz w:val="32"/>
      <w:szCs w:val="32"/>
    </w:rPr>
  </w:style>
  <w:style w:type="paragraph" w:customStyle="1" w:styleId="93">
    <w:name w:val="无间隔1"/>
    <w:qFormat/>
    <w:uiPriority w:val="1"/>
    <w:pPr>
      <w:widowControl w:val="0"/>
      <w:jc w:val="both"/>
    </w:pPr>
    <w:rPr>
      <w:rFonts w:ascii="Calibri" w:hAnsi="Calibri" w:eastAsia="宋体" w:cs="Times New Roman"/>
      <w:kern w:val="2"/>
      <w:sz w:val="21"/>
      <w:szCs w:val="22"/>
      <w:lang w:val="en-US" w:eastAsia="zh-CN" w:bidi="ar-SA"/>
    </w:rPr>
  </w:style>
  <w:style w:type="character" w:customStyle="1" w:styleId="94">
    <w:name w:val="Char Char6"/>
    <w:qFormat/>
    <w:uiPriority w:val="0"/>
    <w:rPr>
      <w:rFonts w:ascii="宋体" w:hAnsi="Courier New" w:eastAsia="宋体"/>
      <w:kern w:val="2"/>
      <w:sz w:val="21"/>
      <w:lang w:val="en-US" w:eastAsia="zh-CN" w:bidi="ar-SA"/>
    </w:rPr>
  </w:style>
  <w:style w:type="character" w:customStyle="1" w:styleId="95">
    <w:name w:val="case31"/>
    <w:qFormat/>
    <w:uiPriority w:val="0"/>
    <w:rPr>
      <w:rFonts w:ascii="ˎ̥" w:hAnsi="ˎ̥" w:eastAsia="宋体"/>
      <w:sz w:val="24"/>
      <w:szCs w:val="24"/>
    </w:rPr>
  </w:style>
  <w:style w:type="character" w:customStyle="1" w:styleId="96">
    <w:name w:val="px_10"/>
    <w:basedOn w:val="36"/>
    <w:qFormat/>
    <w:uiPriority w:val="0"/>
  </w:style>
  <w:style w:type="character" w:customStyle="1" w:styleId="97">
    <w:name w:val="页眉 字符"/>
    <w:link w:val="26"/>
    <w:qFormat/>
    <w:uiPriority w:val="0"/>
    <w:rPr>
      <w:rFonts w:eastAsia="宋体"/>
      <w:sz w:val="18"/>
      <w:lang w:val="en-US" w:eastAsia="zh-CN" w:bidi="ar-SA"/>
    </w:rPr>
  </w:style>
  <w:style w:type="character" w:customStyle="1" w:styleId="98">
    <w:name w:val="style591"/>
    <w:qFormat/>
    <w:uiPriority w:val="0"/>
    <w:rPr>
      <w:rFonts w:hint="default" w:ascii="Arial" w:hAnsi="Arial"/>
      <w:sz w:val="18"/>
      <w:u w:val="none"/>
    </w:rPr>
  </w:style>
  <w:style w:type="character" w:customStyle="1" w:styleId="99">
    <w:name w:val="style551"/>
    <w:qFormat/>
    <w:uiPriority w:val="0"/>
    <w:rPr>
      <w:rFonts w:hint="default" w:ascii="Arial" w:hAnsi="Arial"/>
      <w:color w:val="333333"/>
      <w:sz w:val="18"/>
    </w:rPr>
  </w:style>
  <w:style w:type="character" w:customStyle="1" w:styleId="100">
    <w:name w:val="正文文本 Char Char"/>
    <w:qFormat/>
    <w:uiPriority w:val="0"/>
    <w:rPr>
      <w:rFonts w:eastAsia="宋体"/>
      <w:kern w:val="2"/>
      <w:sz w:val="24"/>
      <w:szCs w:val="24"/>
      <w:lang w:val="en-US" w:eastAsia="zh-CN" w:bidi="ar-SA"/>
    </w:rPr>
  </w:style>
  <w:style w:type="character" w:customStyle="1" w:styleId="101">
    <w:name w:val="标题 1 字符"/>
    <w:link w:val="2"/>
    <w:qFormat/>
    <w:uiPriority w:val="0"/>
    <w:rPr>
      <w:b/>
      <w:bCs/>
      <w:kern w:val="44"/>
      <w:sz w:val="44"/>
      <w:szCs w:val="44"/>
    </w:rPr>
  </w:style>
  <w:style w:type="character" w:customStyle="1" w:styleId="102">
    <w:name w:val="Char Char15"/>
    <w:qFormat/>
    <w:uiPriority w:val="0"/>
    <w:rPr>
      <w:rFonts w:eastAsia="宋体"/>
      <w:sz w:val="18"/>
      <w:lang w:val="en-US" w:eastAsia="zh-CN" w:bidi="ar-SA"/>
    </w:rPr>
  </w:style>
  <w:style w:type="character" w:customStyle="1" w:styleId="103">
    <w:name w:val="文档结构图 字符"/>
    <w:link w:val="15"/>
    <w:qFormat/>
    <w:uiPriority w:val="0"/>
    <w:rPr>
      <w:rFonts w:eastAsia="宋体"/>
      <w:sz w:val="24"/>
      <w:lang w:val="en-US" w:eastAsia="zh-CN" w:bidi="ar-SA"/>
    </w:rPr>
  </w:style>
  <w:style w:type="character" w:customStyle="1" w:styleId="104">
    <w:name w:val="标题 8 字符"/>
    <w:link w:val="6"/>
    <w:qFormat/>
    <w:uiPriority w:val="0"/>
    <w:rPr>
      <w:rFonts w:ascii="Arial" w:hAnsi="Arial" w:eastAsia="黑体"/>
      <w:sz w:val="24"/>
      <w:szCs w:val="24"/>
    </w:rPr>
  </w:style>
  <w:style w:type="character" w:customStyle="1" w:styleId="105">
    <w:name w:val="纯文本 字符"/>
    <w:link w:val="20"/>
    <w:qFormat/>
    <w:uiPriority w:val="0"/>
    <w:rPr>
      <w:rFonts w:ascii="宋体" w:hAnsi="Courier New" w:eastAsia="宋体"/>
      <w:kern w:val="2"/>
      <w:sz w:val="21"/>
      <w:szCs w:val="21"/>
      <w:lang w:val="en-US" w:eastAsia="zh-CN" w:bidi="ar-SA"/>
    </w:rPr>
  </w:style>
  <w:style w:type="character" w:customStyle="1" w:styleId="106">
    <w:name w:val="标题 9 字符"/>
    <w:link w:val="7"/>
    <w:qFormat/>
    <w:uiPriority w:val="0"/>
    <w:rPr>
      <w:rFonts w:ascii="Arial" w:hAnsi="Arial" w:eastAsia="黑体"/>
      <w:sz w:val="21"/>
      <w:szCs w:val="21"/>
    </w:rPr>
  </w:style>
  <w:style w:type="character" w:customStyle="1" w:styleId="107">
    <w:name w:val="标题 6 字符"/>
    <w:link w:val="4"/>
    <w:qFormat/>
    <w:uiPriority w:val="0"/>
    <w:rPr>
      <w:rFonts w:ascii="Arial" w:hAnsi="Arial" w:eastAsia="黑体"/>
      <w:b/>
      <w:bCs/>
      <w:sz w:val="24"/>
      <w:szCs w:val="24"/>
    </w:rPr>
  </w:style>
  <w:style w:type="character" w:customStyle="1" w:styleId="108">
    <w:name w:val="正文首行缩进 字符"/>
    <w:link w:val="11"/>
    <w:qFormat/>
    <w:uiPriority w:val="0"/>
    <w:rPr>
      <w:rFonts w:eastAsia="宋体"/>
      <w:sz w:val="24"/>
      <w:lang w:val="en-US" w:eastAsia="zh-CN" w:bidi="ar-SA"/>
    </w:rPr>
  </w:style>
  <w:style w:type="character" w:customStyle="1" w:styleId="109">
    <w:name w:val="标题 5 字符"/>
    <w:link w:val="3"/>
    <w:qFormat/>
    <w:uiPriority w:val="0"/>
    <w:rPr>
      <w:b/>
      <w:bCs/>
      <w:sz w:val="28"/>
      <w:szCs w:val="28"/>
    </w:rPr>
  </w:style>
  <w:style w:type="character" w:customStyle="1" w:styleId="110">
    <w:name w:val="页脚 字符"/>
    <w:link w:val="25"/>
    <w:qFormat/>
    <w:uiPriority w:val="99"/>
    <w:rPr>
      <w:rFonts w:eastAsia="宋体"/>
      <w:sz w:val="18"/>
      <w:lang w:val="en-US" w:eastAsia="zh-CN" w:bidi="ar-SA"/>
    </w:rPr>
  </w:style>
  <w:style w:type="character" w:customStyle="1" w:styleId="111">
    <w:name w:val="标题 3 Char"/>
    <w:link w:val="44"/>
    <w:qFormat/>
    <w:uiPriority w:val="0"/>
    <w:rPr>
      <w:rFonts w:eastAsia="宋体"/>
      <w:b/>
      <w:bCs/>
      <w:sz w:val="32"/>
      <w:szCs w:val="32"/>
      <w:lang w:val="en-US" w:eastAsia="zh-CN" w:bidi="ar-SA"/>
    </w:rPr>
  </w:style>
  <w:style w:type="character" w:customStyle="1" w:styleId="112">
    <w:name w:val="标题 4 Char"/>
    <w:link w:val="45"/>
    <w:qFormat/>
    <w:uiPriority w:val="9"/>
    <w:rPr>
      <w:rFonts w:ascii="Arial" w:hAnsi="Arial" w:eastAsia="黑体"/>
      <w:b/>
      <w:bCs/>
      <w:sz w:val="28"/>
      <w:szCs w:val="28"/>
      <w:lang w:val="en-US" w:eastAsia="zh-CN" w:bidi="ar-SA"/>
    </w:rPr>
  </w:style>
  <w:style w:type="character" w:customStyle="1" w:styleId="113">
    <w:name w:val="标题 2 Char"/>
    <w:link w:val="43"/>
    <w:qFormat/>
    <w:uiPriority w:val="9"/>
    <w:rPr>
      <w:rFonts w:ascii="Arial" w:hAnsi="Arial" w:eastAsia="黑体"/>
      <w:b/>
      <w:bCs/>
      <w:sz w:val="32"/>
      <w:szCs w:val="32"/>
      <w:lang w:val="en-US" w:eastAsia="zh-CN" w:bidi="ar-SA"/>
    </w:rPr>
  </w:style>
  <w:style w:type="character" w:customStyle="1" w:styleId="114">
    <w:name w:val="标题 7 字符"/>
    <w:link w:val="5"/>
    <w:qFormat/>
    <w:uiPriority w:val="0"/>
    <w:rPr>
      <w:b/>
      <w:bCs/>
      <w:sz w:val="24"/>
      <w:szCs w:val="24"/>
    </w:rPr>
  </w:style>
  <w:style w:type="character" w:customStyle="1" w:styleId="115">
    <w:name w:val="正文内容 Char Char"/>
    <w:link w:val="91"/>
    <w:qFormat/>
    <w:uiPriority w:val="0"/>
    <w:rPr>
      <w:rFonts w:ascii="宋体" w:hAnsi="宋体" w:eastAsia="宋体" w:cs="黑体"/>
      <w:kern w:val="2"/>
      <w:sz w:val="21"/>
      <w:szCs w:val="22"/>
    </w:rPr>
  </w:style>
  <w:style w:type="character" w:customStyle="1" w:styleId="116">
    <w:name w:val="批注文字 字符"/>
    <w:link w:val="9"/>
    <w:qFormat/>
    <w:uiPriority w:val="0"/>
    <w:rPr>
      <w:sz w:val="24"/>
    </w:rPr>
  </w:style>
  <w:style w:type="paragraph" w:customStyle="1" w:styleId="117">
    <w:name w:val="修订1"/>
    <w:hidden/>
    <w:semiHidden/>
    <w:qFormat/>
    <w:uiPriority w:val="99"/>
    <w:rPr>
      <w:rFonts w:ascii="Times New Roman" w:hAnsi="Times New Roman" w:eastAsia="宋体" w:cs="Times New Roman"/>
      <w:sz w:val="24"/>
      <w:lang w:val="en-US" w:eastAsia="zh-CN" w:bidi="ar-SA"/>
    </w:rPr>
  </w:style>
  <w:style w:type="character" w:customStyle="1" w:styleId="118">
    <w:name w:val="正文内容 Char"/>
    <w:qFormat/>
    <w:uiPriority w:val="0"/>
    <w:rPr>
      <w:rFonts w:ascii="宋体" w:hAnsi="宋体" w:eastAsia="宋体" w:cs="Times New Roman"/>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3B0ECF-66BD-43DE-9600-2405B3DC7B3D}">
  <ds:schemaRefs/>
</ds:datastoreItem>
</file>

<file path=docProps/app.xml><?xml version="1.0" encoding="utf-8"?>
<Properties xmlns="http://schemas.openxmlformats.org/officeDocument/2006/extended-properties" xmlns:vt="http://schemas.openxmlformats.org/officeDocument/2006/docPropsVTypes">
  <Template>Normal.dotm</Template>
  <Company>HYAS-GHOST-XP</Company>
  <Pages>37</Pages>
  <Words>4450</Words>
  <Characters>25371</Characters>
  <Lines>211</Lines>
  <Paragraphs>59</Paragraphs>
  <ScaleCrop>false</ScaleCrop>
  <LinksUpToDate>false</LinksUpToDate>
  <CharactersWithSpaces>29762</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2017-09-12T04:00:00Z</dcterms:created>
  <dc:creator>工程部</dc:creator>
  <cp:lastModifiedBy>yan</cp:lastModifiedBy>
  <cp:lastPrinted>2015-10-28T01:15:00Z</cp:lastPrinted>
  <dcterms:modified xsi:type="dcterms:W3CDTF">2017-09-13T08:39:53Z</dcterms:modified>
  <dc:title>招 标 文 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