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omments.xml" ContentType="application/vnd.openxmlformats-officedocument.wordprocessingml.comments+xml"/>
  <Override PartName="/word/commentsExtended.xml" ContentType="application/vnd.openxmlformats-officedocument.wordprocessingml.commentsExtended+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spacing w:line="400" w:lineRule="exact"/>
        <w:ind w:firstLine="420" w:firstLineChars="200"/>
        <w:jc w:val="center"/>
        <w:rPr>
          <w:rFonts w:eastAsiaTheme="minorEastAsia"/>
          <w:szCs w:val="21"/>
        </w:rPr>
      </w:pPr>
    </w:p>
    <w:p>
      <w:pPr>
        <w:jc w:val="center"/>
        <w:rPr>
          <w:b/>
          <w:bCs/>
          <w:sz w:val="72"/>
          <w:szCs w:val="72"/>
        </w:rPr>
      </w:pPr>
      <w:r>
        <w:rPr>
          <w:b/>
          <w:bCs/>
          <w:sz w:val="72"/>
          <w:szCs w:val="72"/>
        </w:rPr>
        <w:t>竞争性谈判文件</w:t>
      </w:r>
    </w:p>
    <w:p>
      <w:pPr>
        <w:pStyle w:val="40"/>
      </w:pPr>
    </w:p>
    <w:p>
      <w:pPr>
        <w:pStyle w:val="40"/>
      </w:pPr>
    </w:p>
    <w:p>
      <w:pPr>
        <w:pStyle w:val="40"/>
      </w:pPr>
    </w:p>
    <w:p>
      <w:pPr>
        <w:pStyle w:val="40"/>
      </w:pPr>
    </w:p>
    <w:p>
      <w:pPr>
        <w:pStyle w:val="40"/>
      </w:pPr>
    </w:p>
    <w:p>
      <w:pPr>
        <w:pStyle w:val="40"/>
      </w:pPr>
    </w:p>
    <w:p>
      <w:pPr>
        <w:pStyle w:val="40"/>
        <w:ind w:firstLine="480"/>
        <w:rPr>
          <w:sz w:val="24"/>
          <w:szCs w:val="24"/>
        </w:rPr>
      </w:pPr>
      <w:r>
        <w:rPr>
          <w:sz w:val="24"/>
          <w:szCs w:val="24"/>
        </w:rPr>
        <w:t>项目编号：</w:t>
      </w:r>
      <w:bookmarkStart w:id="0" w:name="项目编号"/>
      <w:r>
        <w:rPr>
          <w:sz w:val="24"/>
          <w:szCs w:val="24"/>
        </w:rPr>
        <w:t>JT-20</w:t>
      </w:r>
      <w:bookmarkEnd w:id="0"/>
      <w:r>
        <w:rPr>
          <w:rFonts w:hint="eastAsia"/>
          <w:sz w:val="24"/>
          <w:szCs w:val="24"/>
        </w:rPr>
        <w:t>17009</w:t>
      </w:r>
    </w:p>
    <w:p>
      <w:pPr>
        <w:pStyle w:val="40"/>
        <w:ind w:firstLine="480"/>
        <w:rPr>
          <w:sz w:val="24"/>
          <w:szCs w:val="24"/>
        </w:rPr>
      </w:pPr>
      <w:r>
        <w:rPr>
          <w:sz w:val="24"/>
          <w:szCs w:val="24"/>
        </w:rPr>
        <w:t>项目名称：</w:t>
      </w:r>
      <w:bookmarkStart w:id="1" w:name="项目名称"/>
      <w:r>
        <w:rPr>
          <w:sz w:val="24"/>
          <w:szCs w:val="24"/>
        </w:rPr>
        <w:t>中央财经大学</w:t>
      </w:r>
      <w:r>
        <w:rPr>
          <w:rFonts w:hint="eastAsia"/>
          <w:sz w:val="24"/>
          <w:szCs w:val="24"/>
        </w:rPr>
        <w:t>两校区网络核心机房配电改造</w:t>
      </w:r>
      <w:r>
        <w:rPr>
          <w:sz w:val="24"/>
          <w:szCs w:val="24"/>
        </w:rPr>
        <w:t>采购项目</w:t>
      </w:r>
      <w:bookmarkEnd w:id="1"/>
    </w:p>
    <w:p>
      <w:pPr>
        <w:pStyle w:val="40"/>
      </w:pPr>
    </w:p>
    <w:p>
      <w:pPr>
        <w:pStyle w:val="40"/>
      </w:pPr>
    </w:p>
    <w:p>
      <w:pPr>
        <w:pStyle w:val="40"/>
      </w:pPr>
    </w:p>
    <w:p>
      <w:pPr>
        <w:pStyle w:val="40"/>
      </w:pPr>
    </w:p>
    <w:p>
      <w:pPr>
        <w:pStyle w:val="40"/>
      </w:pPr>
    </w:p>
    <w:p>
      <w:pPr>
        <w:pStyle w:val="40"/>
      </w:pPr>
    </w:p>
    <w:p>
      <w:pPr>
        <w:pStyle w:val="40"/>
      </w:pPr>
    </w:p>
    <w:p>
      <w:pPr>
        <w:pStyle w:val="40"/>
      </w:pPr>
    </w:p>
    <w:p>
      <w:pPr>
        <w:pStyle w:val="40"/>
      </w:pPr>
    </w:p>
    <w:p>
      <w:pPr>
        <w:pStyle w:val="40"/>
        <w:jc w:val="center"/>
      </w:pPr>
    </w:p>
    <w:p>
      <w:pPr>
        <w:pStyle w:val="40"/>
        <w:jc w:val="center"/>
      </w:pPr>
      <w:r>
        <w:t>中央财经大学</w:t>
      </w:r>
    </w:p>
    <w:p>
      <w:pPr>
        <w:pStyle w:val="40"/>
        <w:jc w:val="center"/>
      </w:pPr>
      <w:r>
        <w:t>招标与采购事务中心</w:t>
      </w:r>
    </w:p>
    <w:p>
      <w:pPr>
        <w:pStyle w:val="40"/>
        <w:jc w:val="center"/>
      </w:pPr>
      <w:r>
        <w:t>二○一七年</w:t>
      </w:r>
    </w:p>
    <w:p>
      <w:pPr>
        <w:widowControl/>
        <w:spacing w:line="400" w:lineRule="exact"/>
        <w:ind w:firstLine="420" w:firstLineChars="200"/>
        <w:jc w:val="center"/>
        <w:rPr>
          <w:rFonts w:eastAsiaTheme="minorEastAsia"/>
          <w:szCs w:val="21"/>
        </w:rPr>
        <w:sectPr>
          <w:headerReference r:id="rId5" w:type="default"/>
          <w:footerReference r:id="rId6" w:type="default"/>
          <w:pgSz w:w="11906" w:h="16838"/>
          <w:pgMar w:top="1440" w:right="1800" w:bottom="1440" w:left="1800" w:header="851" w:footer="992" w:gutter="0"/>
          <w:cols w:space="720" w:num="1"/>
          <w:docGrid w:type="lines" w:linePitch="312" w:charSpace="0"/>
        </w:sectPr>
      </w:pPr>
    </w:p>
    <w:sdt>
      <w:sdtPr>
        <w:rPr>
          <w:rFonts w:ascii="Times New Roman" w:hAnsi="Times New Roman" w:eastAsia="宋体" w:cs="Times New Roman"/>
          <w:color w:val="auto"/>
          <w:kern w:val="2"/>
          <w:sz w:val="21"/>
          <w:szCs w:val="24"/>
          <w:lang w:val="zh-CN"/>
        </w:rPr>
        <w:id w:val="-308556633"/>
      </w:sdtPr>
      <w:sdtEndPr>
        <w:rPr>
          <w:rFonts w:ascii="Times New Roman" w:hAnsi="Times New Roman" w:eastAsia="宋体" w:cs="Times New Roman"/>
          <w:b/>
          <w:bCs/>
          <w:color w:val="auto"/>
          <w:kern w:val="2"/>
          <w:sz w:val="21"/>
          <w:szCs w:val="24"/>
          <w:lang w:val="zh-CN"/>
        </w:rPr>
      </w:sdtEndPr>
      <w:sdtContent>
        <w:p>
          <w:pPr>
            <w:pStyle w:val="50"/>
          </w:pPr>
          <w:r>
            <w:rPr>
              <w:lang w:val="zh-CN"/>
            </w:rPr>
            <w:t>目录</w:t>
          </w:r>
        </w:p>
        <w:p>
          <w:pPr>
            <w:pStyle w:val="14"/>
            <w:tabs>
              <w:tab w:val="right" w:leader="dot" w:pos="8296"/>
            </w:tabs>
            <w:rPr>
              <w:rFonts w:asciiTheme="minorHAnsi" w:hAnsiTheme="minorHAnsi" w:eastAsiaTheme="minorEastAsia" w:cstheme="minorBidi"/>
              <w:szCs w:val="22"/>
            </w:rPr>
          </w:pPr>
          <w:r>
            <w:fldChar w:fldCharType="begin"/>
          </w:r>
          <w:r>
            <w:instrText xml:space="preserve"> TOC \o "1-3" \h \z \u </w:instrText>
          </w:r>
          <w:r>
            <w:fldChar w:fldCharType="separate"/>
          </w:r>
          <w:r>
            <w:fldChar w:fldCharType="begin"/>
          </w:r>
          <w:r>
            <w:instrText xml:space="preserve"> HYPERLINK \l "_Toc477981709" </w:instrText>
          </w:r>
          <w:r>
            <w:fldChar w:fldCharType="separate"/>
          </w:r>
          <w:r>
            <w:rPr>
              <w:rStyle w:val="20"/>
              <w:rFonts w:hint="default" w:ascii="Times New Roman" w:hAnsi="Times New Roman" w:eastAsiaTheme="majorEastAsia"/>
            </w:rPr>
            <w:t>第一部分  谈判邀请</w:t>
          </w:r>
          <w:r>
            <w:tab/>
          </w:r>
          <w:r>
            <w:fldChar w:fldCharType="begin"/>
          </w:r>
          <w:r>
            <w:instrText xml:space="preserve"> PAGEREF _Toc477981709 \h </w:instrText>
          </w:r>
          <w:r>
            <w:fldChar w:fldCharType="separate"/>
          </w:r>
          <w:r>
            <w:t>3</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"_Toc477981710" </w:instrText>
          </w:r>
          <w:r>
            <w:fldChar w:fldCharType="separate"/>
          </w:r>
          <w:r>
            <w:rPr>
              <w:rStyle w:val="20"/>
              <w:rFonts w:hint="default" w:ascii="Times New Roman" w:hAnsi="Times New Roman" w:eastAsiaTheme="majorEastAsia"/>
            </w:rPr>
            <w:t>第二部分  谈判须知前附表</w:t>
          </w:r>
          <w:r>
            <w:tab/>
          </w:r>
          <w:r>
            <w:fldChar w:fldCharType="begin"/>
          </w:r>
          <w:r>
            <w:instrText xml:space="preserve"> PAGEREF _Toc477981710 \h </w:instrText>
          </w:r>
          <w:r>
            <w:fldChar w:fldCharType="separate"/>
          </w:r>
          <w:r>
            <w:t>5</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"_Toc477981711" </w:instrText>
          </w:r>
          <w:r>
            <w:fldChar w:fldCharType="separate"/>
          </w:r>
          <w:r>
            <w:rPr>
              <w:rStyle w:val="20"/>
              <w:rFonts w:hint="default" w:ascii="Times New Roman" w:hAnsi="Times New Roman" w:eastAsiaTheme="majorEastAsia"/>
            </w:rPr>
            <w:t>第三部分  响应人须知</w:t>
          </w:r>
          <w:r>
            <w:tab/>
          </w:r>
          <w:r>
            <w:fldChar w:fldCharType="begin"/>
          </w:r>
          <w:r>
            <w:instrText xml:space="preserve"> PAGEREF _Toc477981711 \h </w:instrText>
          </w:r>
          <w:r>
            <w:fldChar w:fldCharType="separate"/>
          </w:r>
          <w:r>
            <w:t>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"_Toc477981712" </w:instrText>
          </w:r>
          <w:r>
            <w:fldChar w:fldCharType="separate"/>
          </w:r>
          <w:r>
            <w:rPr>
              <w:rStyle w:val="20"/>
              <w:rFonts w:hint="default" w:ascii="Times New Roman" w:hAnsi="Times New Roman"/>
              <w:bCs/>
            </w:rPr>
            <w:t>一、 总  则</w:t>
          </w:r>
          <w:r>
            <w:tab/>
          </w:r>
          <w:r>
            <w:fldChar w:fldCharType="begin"/>
          </w:r>
          <w:r>
            <w:instrText xml:space="preserve"> PAGEREF _Toc477981712 \h </w:instrText>
          </w:r>
          <w:r>
            <w:fldChar w:fldCharType="separate"/>
          </w:r>
          <w:r>
            <w:t>8</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"_Toc477981713" </w:instrText>
          </w:r>
          <w:r>
            <w:fldChar w:fldCharType="separate"/>
          </w:r>
          <w:r>
            <w:rPr>
              <w:rStyle w:val="20"/>
              <w:rFonts w:hint="default" w:ascii="Times New Roman" w:hAnsi="Times New Roman"/>
              <w:bCs/>
            </w:rPr>
            <w:t>二、 竞争性谈判文件</w:t>
          </w:r>
          <w:r>
            <w:tab/>
          </w:r>
          <w:r>
            <w:fldChar w:fldCharType="begin"/>
          </w:r>
          <w:r>
            <w:instrText xml:space="preserve"> PAGEREF _Toc477981713 \h </w:instrText>
          </w:r>
          <w:r>
            <w:fldChar w:fldCharType="separate"/>
          </w:r>
          <w:r>
            <w:t>10</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"_Toc477981714" </w:instrText>
          </w:r>
          <w:r>
            <w:fldChar w:fldCharType="separate"/>
          </w:r>
          <w:r>
            <w:rPr>
              <w:rStyle w:val="20"/>
              <w:rFonts w:hint="default" w:ascii="Times New Roman" w:hAnsi="Times New Roman"/>
              <w:bCs/>
            </w:rPr>
            <w:t>三、 谈判响应文件</w:t>
          </w:r>
          <w:r>
            <w:tab/>
          </w:r>
          <w:r>
            <w:fldChar w:fldCharType="begin"/>
          </w:r>
          <w:r>
            <w:instrText xml:space="preserve"> PAGEREF _Toc477981714 \h </w:instrText>
          </w:r>
          <w:r>
            <w:fldChar w:fldCharType="separate"/>
          </w:r>
          <w:r>
            <w:t>11</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"_Toc477981715" </w:instrText>
          </w:r>
          <w:r>
            <w:fldChar w:fldCharType="separate"/>
          </w:r>
          <w:r>
            <w:rPr>
              <w:rStyle w:val="20"/>
              <w:rFonts w:hint="default" w:ascii="Times New Roman" w:hAnsi="Times New Roman"/>
              <w:bCs/>
            </w:rPr>
            <w:t>四、 谈判响应文件的递交</w:t>
          </w:r>
          <w:r>
            <w:tab/>
          </w:r>
          <w:r>
            <w:fldChar w:fldCharType="begin"/>
          </w:r>
          <w:r>
            <w:instrText xml:space="preserve"> PAGEREF _Toc477981715 \h </w:instrText>
          </w:r>
          <w:r>
            <w:fldChar w:fldCharType="separate"/>
          </w:r>
          <w:r>
            <w:t>13</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"_Toc477981716" </w:instrText>
          </w:r>
          <w:r>
            <w:fldChar w:fldCharType="separate"/>
          </w:r>
          <w:r>
            <w:rPr>
              <w:rStyle w:val="20"/>
              <w:rFonts w:hint="default" w:ascii="Times New Roman" w:hAnsi="Times New Roman"/>
              <w:bCs/>
            </w:rPr>
            <w:t>五、 谈判内容及流程</w:t>
          </w:r>
          <w:r>
            <w:tab/>
          </w:r>
          <w:r>
            <w:fldChar w:fldCharType="begin"/>
          </w:r>
          <w:r>
            <w:instrText xml:space="preserve"> PAGEREF _Toc477981716 \h </w:instrText>
          </w:r>
          <w:r>
            <w:fldChar w:fldCharType="separate"/>
          </w:r>
          <w:r>
            <w:t>14</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"_Toc477981717" </w:instrText>
          </w:r>
          <w:r>
            <w:fldChar w:fldCharType="separate"/>
          </w:r>
          <w:r>
            <w:rPr>
              <w:rStyle w:val="20"/>
              <w:rFonts w:hint="default" w:ascii="Times New Roman" w:hAnsi="Times New Roman"/>
              <w:bCs/>
            </w:rPr>
            <w:t>六、 授予合同</w:t>
          </w:r>
          <w:r>
            <w:tab/>
          </w:r>
          <w:r>
            <w:fldChar w:fldCharType="begin"/>
          </w:r>
          <w:r>
            <w:instrText xml:space="preserve"> PAGEREF _Toc477981717 \h </w:instrText>
          </w:r>
          <w:r>
            <w:fldChar w:fldCharType="separate"/>
          </w:r>
          <w:r>
            <w:t>15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"_Toc477981718" </w:instrText>
          </w:r>
          <w:r>
            <w:fldChar w:fldCharType="separate"/>
          </w:r>
          <w:r>
            <w:rPr>
              <w:rStyle w:val="20"/>
              <w:rFonts w:hint="default" w:ascii="Times New Roman" w:hAnsi="Times New Roman"/>
              <w:bCs/>
            </w:rPr>
            <w:t>七、 成交服务费</w:t>
          </w:r>
          <w:r>
            <w:tab/>
          </w:r>
          <w:r>
            <w:fldChar w:fldCharType="begin"/>
          </w:r>
          <w:r>
            <w:instrText xml:space="preserve"> PAGEREF _Toc477981718 \h </w:instrText>
          </w:r>
          <w:r>
            <w:fldChar w:fldCharType="separate"/>
          </w:r>
          <w:r>
            <w:t>16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"_Toc477981719" </w:instrText>
          </w:r>
          <w:r>
            <w:fldChar w:fldCharType="separate"/>
          </w:r>
          <w:r>
            <w:rPr>
              <w:rStyle w:val="20"/>
              <w:rFonts w:hint="default" w:ascii="Times New Roman" w:hAnsi="Times New Roman"/>
              <w:bCs/>
            </w:rPr>
            <w:t>八、 处罚、询问和质疑</w:t>
          </w:r>
          <w:r>
            <w:tab/>
          </w:r>
          <w:r>
            <w:fldChar w:fldCharType="begin"/>
          </w:r>
          <w:r>
            <w:instrText xml:space="preserve"> PAGEREF _Toc477981719 \h </w:instrText>
          </w:r>
          <w:r>
            <w:fldChar w:fldCharType="separate"/>
          </w:r>
          <w:r>
            <w:t>16</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"_Toc477981720" </w:instrText>
          </w:r>
          <w:r>
            <w:fldChar w:fldCharType="separate"/>
          </w:r>
          <w:r>
            <w:rPr>
              <w:rStyle w:val="20"/>
              <w:rFonts w:hint="default" w:ascii="Times New Roman" w:hAnsi="Times New Roman"/>
              <w:bCs/>
            </w:rPr>
            <w:t>九、 保密和披露</w:t>
          </w:r>
          <w:r>
            <w:tab/>
          </w:r>
          <w:r>
            <w:fldChar w:fldCharType="begin"/>
          </w:r>
          <w:r>
            <w:instrText xml:space="preserve"> PAGEREF _Toc477981720 \h </w:instrText>
          </w:r>
          <w:r>
            <w:fldChar w:fldCharType="separate"/>
          </w:r>
          <w:r>
            <w:t>18</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"_Toc477981721" </w:instrText>
          </w:r>
          <w:r>
            <w:fldChar w:fldCharType="separate"/>
          </w:r>
          <w:r>
            <w:rPr>
              <w:rStyle w:val="20"/>
              <w:rFonts w:hint="default" w:ascii="Times New Roman" w:hAnsi="Times New Roman" w:eastAsiaTheme="majorEastAsia"/>
            </w:rPr>
            <w:t>第四部分  评标标准和评标办法</w:t>
          </w:r>
          <w:r>
            <w:tab/>
          </w:r>
          <w:r>
            <w:fldChar w:fldCharType="begin"/>
          </w:r>
          <w:r>
            <w:instrText xml:space="preserve"> PAGEREF _Toc477981721 \h </w:instrText>
          </w:r>
          <w:r>
            <w:fldChar w:fldCharType="separate"/>
          </w:r>
          <w:r>
            <w:t>19</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"_Toc477981722" </w:instrText>
          </w:r>
          <w:r>
            <w:fldChar w:fldCharType="separate"/>
          </w:r>
          <w:r>
            <w:rPr>
              <w:rStyle w:val="20"/>
              <w:rFonts w:hint="default" w:ascii="Times New Roman" w:hAnsi="Times New Roman" w:eastAsiaTheme="majorEastAsia"/>
            </w:rPr>
            <w:t>第五部分  谈判货物、服务的具体要求</w:t>
          </w:r>
          <w:r>
            <w:tab/>
          </w:r>
          <w:r>
            <w:fldChar w:fldCharType="begin"/>
          </w:r>
          <w:r>
            <w:instrText xml:space="preserve"> PAGEREF _Toc477981722 \h </w:instrText>
          </w:r>
          <w:r>
            <w:fldChar w:fldCharType="separate"/>
          </w:r>
          <w:r>
            <w:t>20</w:t>
          </w:r>
          <w:r>
            <w:fldChar w:fldCharType="end"/>
          </w:r>
          <w:r>
            <w:fldChar w:fldCharType="end"/>
          </w:r>
        </w:p>
        <w:p>
          <w:pPr>
            <w:pStyle w:val="14"/>
            <w:tabs>
              <w:tab w:val="right" w:leader="dot" w:pos="8296"/>
            </w:tabs>
            <w:rPr>
              <w:rFonts w:asciiTheme="minorHAnsi" w:hAnsiTheme="minorHAnsi" w:eastAsiaTheme="minorEastAsia" w:cstheme="minorBidi"/>
              <w:szCs w:val="22"/>
            </w:rPr>
          </w:pPr>
          <w:r>
            <w:fldChar w:fldCharType="begin"/>
          </w:r>
          <w:r>
            <w:instrText xml:space="preserve"> HYPERLINK \l "_Toc477981723" </w:instrText>
          </w:r>
          <w:r>
            <w:fldChar w:fldCharType="separate"/>
          </w:r>
          <w:r>
            <w:rPr>
              <w:rStyle w:val="20"/>
              <w:rFonts w:hint="default" w:ascii="Times New Roman" w:hAnsi="Times New Roman" w:eastAsiaTheme="majorEastAsia"/>
            </w:rPr>
            <w:t>第六部分  谈判响应文件格式</w:t>
          </w:r>
          <w:r>
            <w:tab/>
          </w:r>
          <w:r>
            <w:fldChar w:fldCharType="begin"/>
          </w:r>
          <w:r>
            <w:instrText xml:space="preserve"> PAGEREF _Toc477981723 \h </w:instrText>
          </w:r>
          <w:r>
            <w:fldChar w:fldCharType="separate"/>
          </w:r>
          <w:r>
            <w:t>35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"_Toc477981724" </w:instrText>
          </w:r>
          <w:r>
            <w:fldChar w:fldCharType="separate"/>
          </w:r>
          <w:r>
            <w:rPr>
              <w:rStyle w:val="20"/>
              <w:rFonts w:hint="default" w:ascii="Times New Roman" w:hAnsi="Times New Roman"/>
              <w:bCs/>
            </w:rPr>
            <w:t>一、 谈判供应商提交文件须知</w:t>
          </w:r>
          <w:r>
            <w:tab/>
          </w:r>
          <w:r>
            <w:fldChar w:fldCharType="begin"/>
          </w:r>
          <w:r>
            <w:instrText xml:space="preserve"> PAGEREF _Toc477981724 \h </w:instrText>
          </w:r>
          <w:r>
            <w:fldChar w:fldCharType="separate"/>
          </w:r>
          <w:r>
            <w:t>35</w:t>
          </w:r>
          <w:r>
            <w:fldChar w:fldCharType="end"/>
          </w:r>
          <w:r>
            <w:fldChar w:fldCharType="end"/>
          </w:r>
        </w:p>
        <w:p>
          <w:pPr>
            <w:pStyle w:val="8"/>
            <w:tabs>
              <w:tab w:val="right" w:leader="dot" w:pos="8296"/>
            </w:tabs>
            <w:rPr>
              <w:rFonts w:asciiTheme="minorHAnsi" w:hAnsiTheme="minorHAnsi" w:eastAsiaTheme="minorEastAsia" w:cstheme="minorBidi"/>
              <w:szCs w:val="22"/>
            </w:rPr>
          </w:pPr>
          <w:r>
            <w:fldChar w:fldCharType="begin"/>
          </w:r>
          <w:r>
            <w:instrText xml:space="preserve"> HYPERLINK \l "_Toc477981725" </w:instrText>
          </w:r>
          <w:r>
            <w:fldChar w:fldCharType="separate"/>
          </w:r>
          <w:r>
            <w:rPr>
              <w:rStyle w:val="20"/>
              <w:rFonts w:hint="default" w:ascii="Times New Roman" w:hAnsi="Times New Roman"/>
              <w:bCs/>
            </w:rPr>
            <w:t>二、 响应文件顺序</w:t>
          </w:r>
          <w:r>
            <w:tab/>
          </w:r>
          <w:r>
            <w:fldChar w:fldCharType="begin"/>
          </w:r>
          <w:r>
            <w:instrText xml:space="preserve"> PAGEREF _Toc477981725 \h </w:instrText>
          </w:r>
          <w:r>
            <w:fldChar w:fldCharType="separate"/>
          </w:r>
          <w:r>
            <w:t>36</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"_Toc477981726" </w:instrText>
          </w:r>
          <w:r>
            <w:fldChar w:fldCharType="separate"/>
          </w:r>
          <w:r>
            <w:rPr>
              <w:rStyle w:val="20"/>
              <w:rFonts w:hint="default" w:ascii="Times New Roman" w:hAnsi="Times New Roman"/>
              <w:bCs/>
            </w:rPr>
            <w:t>附件1</w:t>
          </w:r>
          <w:r>
            <w:rPr>
              <w:rFonts w:asciiTheme="minorHAnsi" w:hAnsiTheme="minorHAnsi" w:eastAsiaTheme="minorEastAsia" w:cstheme="minorBidi"/>
              <w:szCs w:val="22"/>
            </w:rPr>
            <w:tab/>
          </w:r>
          <w:r>
            <w:rPr>
              <w:rStyle w:val="20"/>
              <w:rFonts w:hint="default" w:ascii="Times New Roman" w:hAnsi="Times New Roman"/>
              <w:bCs/>
            </w:rPr>
            <w:t>供应商参与谈判确认函</w:t>
          </w:r>
          <w:r>
            <w:tab/>
          </w:r>
          <w:r>
            <w:fldChar w:fldCharType="begin"/>
          </w:r>
          <w:r>
            <w:instrText xml:space="preserve"> PAGEREF _Toc477981726 \h </w:instrText>
          </w:r>
          <w:r>
            <w:fldChar w:fldCharType="separate"/>
          </w:r>
          <w:r>
            <w:t>38</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"_Toc477981727" </w:instrText>
          </w:r>
          <w:r>
            <w:fldChar w:fldCharType="separate"/>
          </w:r>
          <w:r>
            <w:rPr>
              <w:rStyle w:val="20"/>
              <w:rFonts w:hint="default" w:ascii="Times New Roman" w:hAnsi="Times New Roman"/>
              <w:bCs/>
            </w:rPr>
            <w:t>附件2</w:t>
          </w:r>
          <w:r>
            <w:rPr>
              <w:rFonts w:asciiTheme="minorHAnsi" w:hAnsiTheme="minorHAnsi" w:eastAsiaTheme="minorEastAsia" w:cstheme="minorBidi"/>
              <w:szCs w:val="22"/>
            </w:rPr>
            <w:tab/>
          </w:r>
          <w:r>
            <w:rPr>
              <w:rStyle w:val="20"/>
              <w:rFonts w:hint="default" w:ascii="Times New Roman" w:hAnsi="Times New Roman"/>
              <w:bCs/>
            </w:rPr>
            <w:t>承诺函</w:t>
          </w:r>
          <w:r>
            <w:tab/>
          </w:r>
          <w:r>
            <w:fldChar w:fldCharType="begin"/>
          </w:r>
          <w:r>
            <w:instrText xml:space="preserve"> PAGEREF _Toc477981727 \h </w:instrText>
          </w:r>
          <w:r>
            <w:fldChar w:fldCharType="separate"/>
          </w:r>
          <w:r>
            <w:t>38</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"_Toc477981728" </w:instrText>
          </w:r>
          <w:r>
            <w:fldChar w:fldCharType="separate"/>
          </w:r>
          <w:r>
            <w:rPr>
              <w:rStyle w:val="20"/>
              <w:rFonts w:hint="default" w:ascii="Times New Roman" w:hAnsi="Times New Roman"/>
              <w:bCs/>
            </w:rPr>
            <w:t>附件3</w:t>
          </w:r>
          <w:r>
            <w:rPr>
              <w:rFonts w:asciiTheme="minorHAnsi" w:hAnsiTheme="minorHAnsi" w:eastAsiaTheme="minorEastAsia" w:cstheme="minorBidi"/>
              <w:szCs w:val="22"/>
            </w:rPr>
            <w:tab/>
          </w:r>
          <w:r>
            <w:rPr>
              <w:rStyle w:val="20"/>
              <w:rFonts w:hint="default" w:ascii="Times New Roman" w:hAnsi="Times New Roman"/>
              <w:bCs/>
            </w:rPr>
            <w:t>法定代表人授权委托书</w:t>
          </w:r>
          <w:r>
            <w:tab/>
          </w:r>
          <w:r>
            <w:fldChar w:fldCharType="begin"/>
          </w:r>
          <w:r>
            <w:instrText xml:space="preserve"> PAGEREF _Toc477981728 \h </w:instrText>
          </w:r>
          <w:r>
            <w:fldChar w:fldCharType="separate"/>
          </w:r>
          <w:r>
            <w:t>41</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"_Toc477981729" </w:instrText>
          </w:r>
          <w:r>
            <w:fldChar w:fldCharType="separate"/>
          </w:r>
          <w:r>
            <w:rPr>
              <w:rStyle w:val="20"/>
              <w:rFonts w:hint="default" w:ascii="Times New Roman" w:hAnsi="Times New Roman"/>
              <w:bCs/>
            </w:rPr>
            <w:t>附件4</w:t>
          </w:r>
          <w:r>
            <w:rPr>
              <w:rFonts w:asciiTheme="minorHAnsi" w:hAnsiTheme="minorHAnsi" w:eastAsiaTheme="minorEastAsia" w:cstheme="minorBidi"/>
              <w:szCs w:val="22"/>
            </w:rPr>
            <w:tab/>
          </w:r>
          <w:r>
            <w:rPr>
              <w:rStyle w:val="20"/>
              <w:rFonts w:hint="default" w:ascii="Times New Roman" w:hAnsi="Times New Roman"/>
              <w:bCs/>
            </w:rPr>
            <w:t>制造厂家授权委托书</w:t>
          </w:r>
          <w:r>
            <w:tab/>
          </w:r>
          <w:r>
            <w:fldChar w:fldCharType="begin"/>
          </w:r>
          <w:r>
            <w:instrText xml:space="preserve"> PAGEREF _Toc477981729 \h </w:instrText>
          </w:r>
          <w:r>
            <w:fldChar w:fldCharType="separate"/>
          </w:r>
          <w:r>
            <w:t>42</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"_Toc477981730" </w:instrText>
          </w:r>
          <w:r>
            <w:fldChar w:fldCharType="separate"/>
          </w:r>
          <w:r>
            <w:rPr>
              <w:rStyle w:val="20"/>
              <w:rFonts w:hint="default" w:ascii="Times New Roman" w:hAnsi="Times New Roman"/>
              <w:bCs/>
            </w:rPr>
            <w:t>附件5</w:t>
          </w:r>
          <w:r>
            <w:rPr>
              <w:rFonts w:asciiTheme="minorHAnsi" w:hAnsiTheme="minorHAnsi" w:eastAsiaTheme="minorEastAsia" w:cstheme="minorBidi"/>
              <w:szCs w:val="22"/>
            </w:rPr>
            <w:tab/>
          </w:r>
          <w:r>
            <w:rPr>
              <w:rStyle w:val="20"/>
              <w:rFonts w:hint="default" w:ascii="Times New Roman" w:hAnsi="Times New Roman"/>
              <w:bCs/>
            </w:rPr>
            <w:t>商务文件偏离表</w:t>
          </w:r>
          <w:r>
            <w:tab/>
          </w:r>
          <w:r>
            <w:fldChar w:fldCharType="begin"/>
          </w:r>
          <w:r>
            <w:instrText xml:space="preserve"> PAGEREF _Toc477981730 \h </w:instrText>
          </w:r>
          <w:r>
            <w:fldChar w:fldCharType="separate"/>
          </w:r>
          <w:r>
            <w:t>43</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"_Toc477981731" </w:instrText>
          </w:r>
          <w:r>
            <w:fldChar w:fldCharType="separate"/>
          </w:r>
          <w:r>
            <w:rPr>
              <w:rStyle w:val="20"/>
              <w:rFonts w:hint="default" w:ascii="Times New Roman" w:hAnsi="Times New Roman"/>
              <w:bCs/>
            </w:rPr>
            <w:t>附件6</w:t>
          </w:r>
          <w:r>
            <w:rPr>
              <w:rFonts w:asciiTheme="minorHAnsi" w:hAnsiTheme="minorHAnsi" w:eastAsiaTheme="minorEastAsia" w:cstheme="minorBidi"/>
              <w:szCs w:val="22"/>
            </w:rPr>
            <w:tab/>
          </w:r>
          <w:r>
            <w:rPr>
              <w:rStyle w:val="20"/>
              <w:rFonts w:hint="default" w:ascii="Times New Roman" w:hAnsi="Times New Roman"/>
              <w:bCs/>
            </w:rPr>
            <w:t>报价一览表</w:t>
          </w:r>
          <w:r>
            <w:tab/>
          </w:r>
          <w:r>
            <w:fldChar w:fldCharType="begin"/>
          </w:r>
          <w:r>
            <w:instrText xml:space="preserve"> PAGEREF _Toc477981731 \h </w:instrText>
          </w:r>
          <w:r>
            <w:fldChar w:fldCharType="separate"/>
          </w:r>
          <w:r>
            <w:t>44</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"_Toc477981732" </w:instrText>
          </w:r>
          <w:r>
            <w:fldChar w:fldCharType="separate"/>
          </w:r>
          <w:r>
            <w:rPr>
              <w:rStyle w:val="20"/>
              <w:rFonts w:hint="default" w:ascii="Times New Roman" w:hAnsi="Times New Roman"/>
              <w:bCs/>
            </w:rPr>
            <w:t>附件7</w:t>
          </w:r>
          <w:r>
            <w:rPr>
              <w:rFonts w:asciiTheme="minorHAnsi" w:hAnsiTheme="minorHAnsi" w:eastAsiaTheme="minorEastAsia" w:cstheme="minorBidi"/>
              <w:szCs w:val="22"/>
            </w:rPr>
            <w:tab/>
          </w:r>
          <w:r>
            <w:rPr>
              <w:rStyle w:val="20"/>
              <w:rFonts w:hint="default" w:ascii="Times New Roman" w:hAnsi="Times New Roman"/>
              <w:bCs/>
            </w:rPr>
            <w:t>技术规范偏离表</w:t>
          </w:r>
          <w:r>
            <w:tab/>
          </w:r>
          <w:r>
            <w:fldChar w:fldCharType="begin"/>
          </w:r>
          <w:r>
            <w:instrText xml:space="preserve"> PAGEREF _Toc477981732 \h </w:instrText>
          </w:r>
          <w:r>
            <w:fldChar w:fldCharType="separate"/>
          </w:r>
          <w:r>
            <w:t>46</w:t>
          </w:r>
          <w:r>
            <w:fldChar w:fldCharType="end"/>
          </w:r>
          <w:r>
            <w:fldChar w:fldCharType="end"/>
          </w:r>
        </w:p>
        <w:p>
          <w:pPr>
            <w:pStyle w:val="8"/>
            <w:tabs>
              <w:tab w:val="left" w:pos="1680"/>
              <w:tab w:val="right" w:leader="dot" w:pos="8296"/>
            </w:tabs>
            <w:rPr>
              <w:rFonts w:asciiTheme="minorHAnsi" w:hAnsiTheme="minorHAnsi" w:eastAsiaTheme="minorEastAsia" w:cstheme="minorBidi"/>
              <w:szCs w:val="22"/>
            </w:rPr>
          </w:pPr>
          <w:r>
            <w:fldChar w:fldCharType="begin"/>
          </w:r>
          <w:r>
            <w:instrText xml:space="preserve"> HYPERLINK \l "_Toc477981733" </w:instrText>
          </w:r>
          <w:r>
            <w:fldChar w:fldCharType="separate"/>
          </w:r>
          <w:r>
            <w:rPr>
              <w:rStyle w:val="20"/>
              <w:rFonts w:hint="default" w:ascii="Times New Roman" w:hAnsi="Times New Roman"/>
              <w:bCs/>
            </w:rPr>
            <w:t>附件9</w:t>
          </w:r>
          <w:r>
            <w:rPr>
              <w:rFonts w:asciiTheme="minorHAnsi" w:hAnsiTheme="minorHAnsi" w:eastAsiaTheme="minorEastAsia" w:cstheme="minorBidi"/>
              <w:szCs w:val="22"/>
            </w:rPr>
            <w:tab/>
          </w:r>
          <w:r>
            <w:rPr>
              <w:rStyle w:val="20"/>
              <w:rFonts w:hint="default" w:ascii="Times New Roman" w:hAnsi="Times New Roman"/>
              <w:bCs/>
            </w:rPr>
            <w:t>响应供应商服务项目偏离表</w:t>
          </w:r>
          <w:r>
            <w:tab/>
          </w:r>
          <w:r>
            <w:fldChar w:fldCharType="begin"/>
          </w:r>
          <w:r>
            <w:instrText xml:space="preserve"> PAGEREF _Toc477981733 \h </w:instrText>
          </w:r>
          <w:r>
            <w:fldChar w:fldCharType="separate"/>
          </w:r>
          <w:r>
            <w:t>47</w:t>
          </w:r>
          <w:r>
            <w:fldChar w:fldCharType="end"/>
          </w:r>
          <w:r>
            <w:fldChar w:fldCharType="end"/>
          </w:r>
        </w:p>
        <w:p>
          <w:r>
            <w:rPr>
              <w:b/>
              <w:bCs/>
              <w:lang w:val="zh-CN"/>
            </w:rPr>
            <w:fldChar w:fldCharType="end"/>
          </w:r>
        </w:p>
      </w:sdtContent>
    </w:sdt>
    <w:p>
      <w:pPr>
        <w:widowControl/>
        <w:snapToGrid w:val="0"/>
        <w:spacing w:line="400" w:lineRule="exact"/>
        <w:ind w:left="4401" w:firstLine="422" w:firstLineChars="200"/>
        <w:rPr>
          <w:rFonts w:eastAsiaTheme="minorEastAsia"/>
          <w:b/>
          <w:bCs/>
          <w:kern w:val="0"/>
          <w:szCs w:val="21"/>
        </w:rPr>
      </w:pPr>
      <w:r>
        <w:rPr>
          <w:rFonts w:eastAsiaTheme="minorEastAsia"/>
          <w:b/>
          <w:bCs/>
          <w:kern w:val="0"/>
          <w:szCs w:val="21"/>
        </w:rPr>
        <w:br w:type="page"/>
      </w:r>
    </w:p>
    <w:p>
      <w:pPr>
        <w:pStyle w:val="3"/>
        <w:spacing w:line="415" w:lineRule="auto"/>
        <w:ind w:left="420" w:hanging="420"/>
        <w:jc w:val="center"/>
        <w:rPr>
          <w:rFonts w:ascii="Times New Roman" w:hAnsi="Times New Roman" w:eastAsiaTheme="minorEastAsia"/>
          <w:b w:val="0"/>
          <w:bCs w:val="0"/>
          <w:kern w:val="0"/>
          <w:sz w:val="21"/>
          <w:szCs w:val="21"/>
        </w:rPr>
      </w:pPr>
      <w:bookmarkStart w:id="2" w:name="_Ref477964009"/>
      <w:bookmarkStart w:id="3" w:name="_Toc477981709"/>
      <w:r>
        <w:rPr>
          <w:rFonts w:ascii="Times New Roman" w:hAnsi="Times New Roman" w:eastAsiaTheme="majorEastAsia"/>
        </w:rPr>
        <w:t>第一部分  谈判邀请</w:t>
      </w:r>
      <w:bookmarkEnd w:id="2"/>
      <w:bookmarkEnd w:id="3"/>
    </w:p>
    <w:p>
      <w:pPr>
        <w:autoSpaceDE w:val="0"/>
        <w:autoSpaceDN w:val="0"/>
        <w:spacing w:line="400" w:lineRule="exact"/>
        <w:ind w:firstLine="420" w:firstLineChars="200"/>
        <w:rPr>
          <w:rFonts w:eastAsiaTheme="minorEastAsia"/>
          <w:color w:val="000000"/>
          <w:szCs w:val="21"/>
        </w:rPr>
      </w:pPr>
      <w:r>
        <w:rPr>
          <w:rFonts w:eastAsiaTheme="minorEastAsia"/>
          <w:szCs w:val="21"/>
        </w:rPr>
        <w:t>中央财经大学招标与采购事务中心就以下所述项目</w:t>
      </w:r>
      <w:r>
        <w:rPr>
          <w:rFonts w:eastAsiaTheme="minorEastAsia"/>
          <w:bCs/>
          <w:szCs w:val="21"/>
        </w:rPr>
        <w:t>相</w:t>
      </w:r>
      <w:r>
        <w:rPr>
          <w:rFonts w:eastAsiaTheme="minorEastAsia"/>
          <w:szCs w:val="21"/>
        </w:rPr>
        <w:t>关服务进行国内竞争性谈判，现邀请有供应能力的供应商前来响应</w:t>
      </w:r>
      <w:r>
        <w:rPr>
          <w:rFonts w:eastAsiaTheme="minorEastAsia"/>
          <w:color w:val="000000"/>
          <w:szCs w:val="21"/>
        </w:rPr>
        <w:t>。</w:t>
      </w:r>
    </w:p>
    <w:p>
      <w:pPr>
        <w:pStyle w:val="40"/>
        <w:numPr>
          <w:ilvl w:val="0"/>
          <w:numId w:val="2"/>
        </w:numPr>
        <w:ind w:firstLineChars="0"/>
      </w:pPr>
      <w:r>
        <w:t>谈判内容：</w:t>
      </w:r>
    </w:p>
    <w:p>
      <w:pPr>
        <w:pStyle w:val="40"/>
        <w:numPr>
          <w:ilvl w:val="0"/>
          <w:numId w:val="3"/>
        </w:numPr>
        <w:ind w:firstLineChars="0"/>
      </w:pPr>
      <w:r>
        <w:t>采购项目名称：</w:t>
      </w:r>
      <w:r>
        <w:rPr>
          <w:rFonts w:hint="eastAsia"/>
        </w:rPr>
        <w:t>中央财经大学两校区网络核心机房配电改造采购项目</w:t>
      </w:r>
    </w:p>
    <w:p>
      <w:pPr>
        <w:pStyle w:val="40"/>
        <w:numPr>
          <w:ilvl w:val="0"/>
          <w:numId w:val="3"/>
        </w:numPr>
        <w:ind w:firstLineChars="0"/>
      </w:pPr>
      <w:r>
        <w:t>采购项目编号：JT-</w:t>
      </w:r>
      <w:r>
        <w:rPr>
          <w:rFonts w:hint="eastAsia"/>
        </w:rPr>
        <w:t>2017009</w:t>
      </w:r>
    </w:p>
    <w:p>
      <w:pPr>
        <w:pStyle w:val="40"/>
        <w:numPr>
          <w:ilvl w:val="0"/>
          <w:numId w:val="3"/>
        </w:numPr>
        <w:ind w:firstLineChars="0"/>
      </w:pPr>
      <w:r>
        <w:t>采购项目性质：竞争性谈判</w:t>
      </w:r>
    </w:p>
    <w:p>
      <w:pPr>
        <w:pStyle w:val="40"/>
        <w:numPr>
          <w:ilvl w:val="0"/>
          <w:numId w:val="3"/>
        </w:numPr>
        <w:ind w:firstLineChars="0"/>
      </w:pPr>
      <w:r>
        <w:t>简要规格描述或项目基本情况介绍</w:t>
      </w:r>
      <w:r>
        <w:rPr>
          <w:rFonts w:hint="eastAsia"/>
        </w:rPr>
        <w:t>：</w:t>
      </w:r>
    </w:p>
    <w:p>
      <w:pPr>
        <w:pStyle w:val="40"/>
      </w:pPr>
      <w:r>
        <w:rPr>
          <w:rFonts w:hint="eastAsia"/>
        </w:rPr>
        <w:t>为保障校园网络平稳运行，对两校区网络核心机房配电系统以及机房环境进行如下改造：</w:t>
      </w:r>
    </w:p>
    <w:p>
      <w:pPr>
        <w:pStyle w:val="40"/>
        <w:ind w:firstLineChars="0"/>
      </w:pPr>
      <w:r>
        <w:rPr>
          <w:rFonts w:hint="eastAsia"/>
        </w:rPr>
        <w:t>（1）沙河校区学院五号楼113机房UPS供电系统改造工程，包括：在沙河学院五号楼</w:t>
      </w:r>
      <w:r>
        <w:t>114</w:t>
      </w:r>
      <w:r>
        <w:rPr>
          <w:rFonts w:hint="eastAsia"/>
        </w:rPr>
        <w:t>室内安装市电双路</w:t>
      </w:r>
      <w:r>
        <w:t>ATS</w:t>
      </w:r>
      <w:r>
        <w:rPr>
          <w:rFonts w:hint="eastAsia"/>
        </w:rPr>
        <w:t>系统配电柜，输入来自该配电室的两路变压器，输出为</w:t>
      </w:r>
      <w:r>
        <w:t>113</w:t>
      </w:r>
      <w:r>
        <w:rPr>
          <w:rFonts w:hint="eastAsia"/>
        </w:rPr>
        <w:t>房间内的两台</w:t>
      </w:r>
      <w:r>
        <w:t>UPS</w:t>
      </w:r>
      <w:r>
        <w:rPr>
          <w:rFonts w:hint="eastAsia"/>
        </w:rPr>
        <w:t>主机。</w:t>
      </w:r>
      <w:r>
        <w:t xml:space="preserve"> </w:t>
      </w:r>
    </w:p>
    <w:p>
      <w:pPr>
        <w:pStyle w:val="40"/>
      </w:pPr>
      <w:r>
        <w:rPr>
          <w:rFonts w:hint="eastAsia"/>
        </w:rPr>
        <w:t>（2）学院南路校区电教楼106机房电气系统改造工程包括：UPS机房供电系统、该机房的环境监控系统，以及更换学院南路校区</w:t>
      </w:r>
      <w:r>
        <w:t>106</w:t>
      </w:r>
      <w:r>
        <w:rPr>
          <w:rFonts w:hint="eastAsia"/>
        </w:rPr>
        <w:t>机房地板（约</w:t>
      </w:r>
      <w:r>
        <w:t>24</w:t>
      </w:r>
      <w:r>
        <w:rPr>
          <w:rFonts w:hint="eastAsia"/>
        </w:rPr>
        <w:t>平米）。</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具体采购范围及所应达到的具体要求，以本采购文件中商务、技术和服务的相应规定为准。响应人的响应文件必须满足本次采购的实质目的，完全实现所应有的全部要求。响应人若存在任何理解上无法正确确定之处，均应当按照谈判文件所规定的响应前的澄清等程序提出，否则，可能导致的任何不利后果均应当由响应人自行承担。</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履约时间：             合同签订后5个工作日                  。</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履约地点：             中央财经大学学院南路校区</w:t>
      </w:r>
    </w:p>
    <w:p>
      <w:pPr>
        <w:pStyle w:val="42"/>
        <w:spacing w:before="0" w:after="0" w:line="400" w:lineRule="exact"/>
        <w:ind w:left="0" w:leftChars="0" w:firstLine="2940" w:firstLineChars="1400"/>
        <w:jc w:val="left"/>
        <w:rPr>
          <w:rFonts w:eastAsiaTheme="minorEastAsia"/>
          <w:color w:val="000000"/>
          <w:sz w:val="21"/>
          <w:szCs w:val="21"/>
        </w:rPr>
      </w:pPr>
      <w:r>
        <w:rPr>
          <w:rFonts w:hint="eastAsia" w:eastAsiaTheme="minorEastAsia"/>
          <w:color w:val="000000"/>
          <w:sz w:val="21"/>
          <w:szCs w:val="21"/>
          <w:lang w:eastAsia="zh-CN"/>
        </w:rPr>
        <w:t>中央财经大学沙河校区</w:t>
      </w:r>
      <w:r>
        <w:rPr>
          <w:rFonts w:eastAsiaTheme="minorEastAsia"/>
          <w:color w:val="000000"/>
          <w:sz w:val="21"/>
          <w:szCs w:val="21"/>
        </w:rPr>
        <w:t xml:space="preserve">               。</w:t>
      </w:r>
    </w:p>
    <w:p>
      <w:pPr>
        <w:pStyle w:val="40"/>
        <w:numPr>
          <w:ilvl w:val="0"/>
          <w:numId w:val="3"/>
        </w:numPr>
        <w:ind w:firstLineChars="0"/>
      </w:pPr>
      <w:r>
        <w:t>需要落实的政府采购政策</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详见《</w:t>
      </w:r>
      <w:r>
        <w:rPr>
          <w:rFonts w:eastAsiaTheme="minorEastAsia"/>
          <w:color w:val="000000"/>
          <w:sz w:val="21"/>
          <w:szCs w:val="21"/>
        </w:rPr>
        <w:fldChar w:fldCharType="begin"/>
      </w:r>
      <w:r>
        <w:rPr>
          <w:rFonts w:eastAsiaTheme="minorEastAsia"/>
          <w:color w:val="000000"/>
          <w:sz w:val="21"/>
          <w:szCs w:val="21"/>
        </w:rPr>
        <w:instrText xml:space="preserve"> REF 项目名称 \h  \* MERGEFORMAT </w:instrText>
      </w:r>
      <w:r>
        <w:rPr>
          <w:rFonts w:eastAsiaTheme="minorEastAsia"/>
          <w:color w:val="000000"/>
          <w:sz w:val="21"/>
          <w:szCs w:val="21"/>
        </w:rPr>
        <w:fldChar w:fldCharType="separate"/>
      </w:r>
      <w:r>
        <w:rPr>
          <w:rFonts w:eastAsiaTheme="minorEastAsia"/>
          <w:color w:val="000000"/>
          <w:sz w:val="21"/>
          <w:szCs w:val="21"/>
        </w:rPr>
        <w:t>中央财经大学</w:t>
      </w:r>
      <w:r>
        <w:rPr>
          <w:rFonts w:hint="eastAsia" w:eastAsiaTheme="minorEastAsia"/>
          <w:color w:val="000000"/>
          <w:sz w:val="21"/>
          <w:szCs w:val="21"/>
        </w:rPr>
        <w:t>中央财经大学网络信息中心两校区机房配电改造</w:t>
      </w:r>
      <w:r>
        <w:rPr>
          <w:rFonts w:eastAsiaTheme="minorEastAsia"/>
          <w:color w:val="000000"/>
          <w:sz w:val="21"/>
          <w:szCs w:val="21"/>
        </w:rPr>
        <w:t>采购项目</w:t>
      </w:r>
      <w:r>
        <w:rPr>
          <w:rFonts w:eastAsiaTheme="minorEastAsia"/>
          <w:color w:val="000000"/>
          <w:sz w:val="21"/>
          <w:szCs w:val="21"/>
        </w:rPr>
        <w:fldChar w:fldCharType="end"/>
      </w:r>
      <w:r>
        <w:rPr>
          <w:rFonts w:eastAsiaTheme="minorEastAsia"/>
          <w:color w:val="000000"/>
          <w:sz w:val="21"/>
          <w:szCs w:val="21"/>
        </w:rPr>
        <w:t>竞争性谈判文件》。</w:t>
      </w:r>
    </w:p>
    <w:p>
      <w:pPr>
        <w:pStyle w:val="40"/>
        <w:numPr>
          <w:ilvl w:val="0"/>
          <w:numId w:val="2"/>
        </w:numPr>
        <w:ind w:firstLineChars="0"/>
        <w:rPr>
          <w:highlight w:val="yellow"/>
        </w:rPr>
      </w:pPr>
      <w:r>
        <w:t>项目预算金额：</w:t>
      </w:r>
      <w:bookmarkStart w:id="4" w:name="预算"/>
      <w:r>
        <w:t>46万元</w:t>
      </w:r>
      <w:bookmarkEnd w:id="4"/>
    </w:p>
    <w:p>
      <w:pPr>
        <w:pStyle w:val="40"/>
        <w:numPr>
          <w:ilvl w:val="0"/>
          <w:numId w:val="2"/>
        </w:numPr>
        <w:ind w:firstLineChars="0"/>
      </w:pPr>
      <w:r>
        <w:t>响应人资格要求：</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见本文件</w:t>
      </w:r>
      <w:r>
        <w:rPr>
          <w:rFonts w:hint="eastAsia" w:eastAsiaTheme="minorEastAsia"/>
          <w:color w:val="000000"/>
          <w:sz w:val="21"/>
          <w:szCs w:val="21"/>
        </w:rPr>
        <w:t>“</w:t>
      </w:r>
      <w:r>
        <w:rPr>
          <w:rFonts w:eastAsiaTheme="minorEastAsia"/>
          <w:color w:val="000000"/>
          <w:sz w:val="21"/>
          <w:szCs w:val="21"/>
        </w:rPr>
        <w:fldChar w:fldCharType="begin"/>
      </w:r>
      <w:r>
        <w:rPr>
          <w:rFonts w:eastAsiaTheme="minorEastAsia"/>
          <w:color w:val="000000"/>
          <w:sz w:val="21"/>
          <w:szCs w:val="21"/>
        </w:rPr>
        <w:instrText xml:space="preserve"> REF _Ref477964011 \h  \* MERGEFORMAT </w:instrText>
      </w:r>
      <w:r>
        <w:rPr>
          <w:rFonts w:eastAsiaTheme="minorEastAsia"/>
          <w:color w:val="000000"/>
          <w:sz w:val="21"/>
          <w:szCs w:val="21"/>
        </w:rPr>
        <w:fldChar w:fldCharType="separate"/>
      </w:r>
      <w:r>
        <w:rPr>
          <w:rFonts w:eastAsiaTheme="minorEastAsia"/>
          <w:color w:val="000000"/>
          <w:sz w:val="21"/>
          <w:szCs w:val="21"/>
        </w:rPr>
        <w:t>第二部分  谈判须知前附表</w:t>
      </w:r>
      <w:r>
        <w:rPr>
          <w:rFonts w:eastAsiaTheme="minorEastAsia"/>
          <w:color w:val="000000"/>
          <w:sz w:val="21"/>
          <w:szCs w:val="21"/>
        </w:rPr>
        <w:fldChar w:fldCharType="end"/>
      </w:r>
      <w:r>
        <w:rPr>
          <w:rFonts w:hint="eastAsia" w:eastAsiaTheme="minorEastAsia"/>
          <w:color w:val="000000"/>
          <w:sz w:val="21"/>
          <w:szCs w:val="21"/>
        </w:rPr>
        <w:t>”。</w:t>
      </w:r>
      <w:bookmarkStart w:id="5" w:name="_Toc116879910"/>
    </w:p>
    <w:p>
      <w:pPr>
        <w:pStyle w:val="40"/>
        <w:numPr>
          <w:ilvl w:val="0"/>
          <w:numId w:val="2"/>
        </w:numPr>
        <w:ind w:firstLineChars="0"/>
      </w:pPr>
      <w:r>
        <w:t>谈判文件领取时间、地点和办法</w:t>
      </w:r>
      <w:bookmarkEnd w:id="5"/>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即日起五日内“中国政府采购网”、“中国教育装备网”、“中央财经大学官网”等公告信息发布页面免费下载。</w:t>
      </w:r>
    </w:p>
    <w:p>
      <w:pPr>
        <w:pStyle w:val="40"/>
        <w:numPr>
          <w:ilvl w:val="0"/>
          <w:numId w:val="2"/>
        </w:numPr>
        <w:ind w:firstLineChars="0"/>
      </w:pPr>
      <w:r>
        <w:t>谈判文件接收时间及地点</w:t>
      </w:r>
    </w:p>
    <w:p>
      <w:pPr>
        <w:pStyle w:val="42"/>
        <w:spacing w:before="0" w:after="0" w:line="400" w:lineRule="exact"/>
        <w:ind w:left="0" w:leftChars="0" w:firstLine="420"/>
        <w:jc w:val="left"/>
        <w:rPr>
          <w:rFonts w:eastAsiaTheme="minorEastAsia"/>
          <w:color w:val="000000"/>
          <w:sz w:val="21"/>
          <w:szCs w:val="21"/>
        </w:rPr>
      </w:pPr>
      <w:bookmarkStart w:id="6" w:name="磋商时间"/>
      <w:r>
        <w:rPr>
          <w:rFonts w:eastAsiaTheme="minorEastAsia"/>
          <w:color w:val="000000"/>
          <w:sz w:val="21"/>
          <w:szCs w:val="21"/>
        </w:rPr>
        <w:t xml:space="preserve">    </w:t>
      </w:r>
      <w:r>
        <w:rPr>
          <w:rFonts w:hint="eastAsia" w:eastAsiaTheme="minorEastAsia"/>
          <w:color w:val="000000"/>
          <w:sz w:val="21"/>
          <w:szCs w:val="21"/>
          <w:lang w:val="en-US" w:eastAsia="zh-CN"/>
        </w:rPr>
        <w:t>2017</w:t>
      </w:r>
      <w:r>
        <w:rPr>
          <w:rFonts w:eastAsiaTheme="minorEastAsia"/>
          <w:color w:val="000000"/>
          <w:sz w:val="21"/>
          <w:szCs w:val="21"/>
        </w:rPr>
        <w:t>年</w:t>
      </w:r>
      <w:r>
        <w:rPr>
          <w:rFonts w:hint="eastAsia" w:eastAsiaTheme="minorEastAsia"/>
          <w:color w:val="000000"/>
          <w:sz w:val="21"/>
          <w:szCs w:val="21"/>
          <w:lang w:val="en-US" w:eastAsia="zh-CN"/>
        </w:rPr>
        <w:t>7</w:t>
      </w:r>
      <w:r>
        <w:rPr>
          <w:rFonts w:eastAsiaTheme="minorEastAsia"/>
          <w:color w:val="000000"/>
          <w:sz w:val="21"/>
          <w:szCs w:val="21"/>
        </w:rPr>
        <w:t>月</w:t>
      </w:r>
      <w:r>
        <w:rPr>
          <w:rFonts w:hint="eastAsia" w:eastAsiaTheme="minorEastAsia"/>
          <w:color w:val="000000"/>
          <w:sz w:val="21"/>
          <w:szCs w:val="21"/>
          <w:lang w:val="en-US" w:eastAsia="zh-CN"/>
        </w:rPr>
        <w:t>6</w:t>
      </w:r>
      <w:r>
        <w:rPr>
          <w:rFonts w:eastAsiaTheme="minorEastAsia"/>
          <w:color w:val="000000"/>
          <w:sz w:val="21"/>
          <w:szCs w:val="21"/>
        </w:rPr>
        <w:t>日</w:t>
      </w:r>
      <w:bookmarkEnd w:id="6"/>
      <w:r>
        <w:rPr>
          <w:rFonts w:hint="eastAsia" w:eastAsiaTheme="minorEastAsia"/>
          <w:color w:val="000000"/>
          <w:sz w:val="21"/>
          <w:szCs w:val="21"/>
          <w:lang w:eastAsia="zh-CN"/>
        </w:rPr>
        <w:t>下</w:t>
      </w:r>
      <w:r>
        <w:rPr>
          <w:rFonts w:eastAsiaTheme="minorEastAsia"/>
          <w:color w:val="000000"/>
          <w:sz w:val="21"/>
          <w:szCs w:val="21"/>
        </w:rPr>
        <w:t>午</w:t>
      </w:r>
      <w:r>
        <w:rPr>
          <w:rFonts w:hint="eastAsia" w:eastAsiaTheme="minorEastAsia"/>
          <w:color w:val="000000"/>
          <w:sz w:val="21"/>
          <w:szCs w:val="21"/>
          <w:lang w:val="en-US" w:eastAsia="zh-CN"/>
        </w:rPr>
        <w:t>14</w:t>
      </w:r>
      <w:r>
        <w:rPr>
          <w:rFonts w:eastAsiaTheme="minorEastAsia"/>
          <w:color w:val="000000"/>
          <w:sz w:val="21"/>
          <w:szCs w:val="21"/>
        </w:rPr>
        <w:t>:00至</w:t>
      </w:r>
      <w:r>
        <w:rPr>
          <w:rFonts w:hint="eastAsia" w:eastAsiaTheme="minorEastAsia"/>
          <w:color w:val="000000"/>
          <w:sz w:val="21"/>
          <w:szCs w:val="21"/>
          <w:lang w:val="en-US" w:eastAsia="zh-CN"/>
        </w:rPr>
        <w:t>14</w:t>
      </w:r>
      <w:r>
        <w:rPr>
          <w:rFonts w:eastAsiaTheme="minorEastAsia"/>
          <w:color w:val="000000"/>
          <w:sz w:val="21"/>
          <w:szCs w:val="21"/>
        </w:rPr>
        <w:t>:</w:t>
      </w:r>
      <w:r>
        <w:rPr>
          <w:rFonts w:hint="eastAsia" w:eastAsiaTheme="minorEastAsia"/>
          <w:color w:val="000000"/>
          <w:sz w:val="21"/>
          <w:szCs w:val="21"/>
          <w:lang w:val="en-US" w:eastAsia="zh-CN"/>
        </w:rPr>
        <w:t>2</w:t>
      </w:r>
      <w:r>
        <w:rPr>
          <w:rFonts w:eastAsiaTheme="minorEastAsia"/>
          <w:color w:val="000000"/>
          <w:sz w:val="21"/>
          <w:szCs w:val="21"/>
        </w:rPr>
        <w:t>0</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北京海淀区学院南路39号中央财经大学办公楼309室。</w:t>
      </w:r>
    </w:p>
    <w:p>
      <w:pPr>
        <w:pStyle w:val="40"/>
        <w:numPr>
          <w:ilvl w:val="0"/>
          <w:numId w:val="2"/>
        </w:numPr>
        <w:ind w:firstLineChars="0"/>
      </w:pPr>
      <w:r>
        <w:t>谈判文件开启时间及地点</w:t>
      </w:r>
    </w:p>
    <w:p>
      <w:pPr>
        <w:pStyle w:val="40"/>
        <w:numPr>
          <w:ilvl w:val="-1"/>
          <w:numId w:val="0"/>
        </w:numPr>
        <w:ind w:left="842" w:firstLine="0" w:firstLineChars="0"/>
        <w:rPr>
          <w:rFonts w:eastAsiaTheme="minorEastAsia"/>
          <w:color w:val="000000"/>
          <w:sz w:val="21"/>
          <w:szCs w:val="21"/>
        </w:rPr>
      </w:pPr>
      <w:r>
        <w:rPr>
          <w:rFonts w:hint="eastAsia" w:eastAsiaTheme="minorEastAsia"/>
          <w:color w:val="000000"/>
          <w:sz w:val="21"/>
          <w:szCs w:val="21"/>
          <w:lang w:val="en-US" w:eastAsia="zh-CN"/>
        </w:rPr>
        <w:t>2017</w:t>
      </w:r>
      <w:r>
        <w:rPr>
          <w:rFonts w:eastAsiaTheme="minorEastAsia"/>
          <w:color w:val="000000"/>
          <w:sz w:val="21"/>
          <w:szCs w:val="21"/>
        </w:rPr>
        <w:t>年</w:t>
      </w:r>
      <w:r>
        <w:rPr>
          <w:rFonts w:hint="eastAsia" w:eastAsiaTheme="minorEastAsia"/>
          <w:color w:val="000000"/>
          <w:sz w:val="21"/>
          <w:szCs w:val="21"/>
          <w:lang w:val="en-US" w:eastAsia="zh-CN"/>
        </w:rPr>
        <w:t>7</w:t>
      </w:r>
      <w:r>
        <w:rPr>
          <w:rFonts w:eastAsiaTheme="minorEastAsia"/>
          <w:color w:val="000000"/>
          <w:sz w:val="21"/>
          <w:szCs w:val="21"/>
        </w:rPr>
        <w:t>月</w:t>
      </w:r>
      <w:r>
        <w:rPr>
          <w:rFonts w:hint="eastAsia" w:eastAsiaTheme="minorEastAsia"/>
          <w:color w:val="000000"/>
          <w:sz w:val="21"/>
          <w:szCs w:val="21"/>
          <w:lang w:val="en-US" w:eastAsia="zh-CN"/>
        </w:rPr>
        <w:t>6</w:t>
      </w:r>
      <w:r>
        <w:rPr>
          <w:rFonts w:eastAsiaTheme="minorEastAsia"/>
          <w:color w:val="000000"/>
          <w:sz w:val="21"/>
          <w:szCs w:val="21"/>
        </w:rPr>
        <w:t>日</w:t>
      </w:r>
      <w:r>
        <w:rPr>
          <w:rFonts w:hint="eastAsia" w:eastAsiaTheme="minorEastAsia"/>
          <w:color w:val="000000"/>
          <w:sz w:val="21"/>
          <w:szCs w:val="21"/>
          <w:lang w:eastAsia="zh-CN"/>
        </w:rPr>
        <w:t>下</w:t>
      </w:r>
      <w:r>
        <w:rPr>
          <w:rFonts w:eastAsiaTheme="minorEastAsia"/>
          <w:color w:val="000000"/>
          <w:sz w:val="21"/>
          <w:szCs w:val="21"/>
        </w:rPr>
        <w:t>午</w:t>
      </w:r>
      <w:r>
        <w:rPr>
          <w:rFonts w:hint="eastAsia" w:eastAsiaTheme="minorEastAsia"/>
          <w:color w:val="000000"/>
          <w:sz w:val="21"/>
          <w:szCs w:val="21"/>
          <w:lang w:val="en-US" w:eastAsia="zh-CN"/>
        </w:rPr>
        <w:t>14</w:t>
      </w:r>
      <w:r>
        <w:rPr>
          <w:rFonts w:eastAsiaTheme="minorEastAsia"/>
          <w:color w:val="000000"/>
          <w:sz w:val="21"/>
          <w:szCs w:val="21"/>
        </w:rPr>
        <w:t>:</w:t>
      </w:r>
      <w:r>
        <w:rPr>
          <w:rFonts w:hint="eastAsia" w:eastAsiaTheme="minorEastAsia"/>
          <w:color w:val="000000"/>
          <w:sz w:val="21"/>
          <w:szCs w:val="21"/>
          <w:lang w:val="en-US" w:eastAsia="zh-CN"/>
        </w:rPr>
        <w:t>3</w:t>
      </w:r>
      <w:r>
        <w:rPr>
          <w:rFonts w:eastAsiaTheme="minorEastAsia"/>
          <w:color w:val="000000"/>
          <w:sz w:val="21"/>
          <w:szCs w:val="21"/>
        </w:rPr>
        <w:t>0</w:t>
      </w:r>
    </w:p>
    <w:p>
      <w:pPr>
        <w:pStyle w:val="42"/>
        <w:spacing w:before="0" w:after="0" w:line="400" w:lineRule="exact"/>
        <w:ind w:left="0" w:leftChars="0" w:firstLine="420"/>
        <w:jc w:val="left"/>
        <w:rPr>
          <w:rFonts w:eastAsiaTheme="minorEastAsia"/>
          <w:color w:val="000000"/>
          <w:sz w:val="21"/>
          <w:szCs w:val="21"/>
        </w:rPr>
      </w:pPr>
      <w:r>
        <w:rPr>
          <w:rFonts w:eastAsiaTheme="minorEastAsia"/>
          <w:color w:val="000000"/>
          <w:sz w:val="21"/>
          <w:szCs w:val="21"/>
        </w:rPr>
        <w:t>北京海淀区学院南路39号中央财经大学学六楼201室。</w:t>
      </w:r>
    </w:p>
    <w:p>
      <w:pPr>
        <w:pStyle w:val="40"/>
        <w:numPr>
          <w:ilvl w:val="0"/>
          <w:numId w:val="2"/>
        </w:numPr>
        <w:ind w:firstLineChars="0"/>
      </w:pPr>
      <w:r>
        <w:t>谈判确认函截止时间</w:t>
      </w:r>
    </w:p>
    <w:p>
      <w:pPr>
        <w:pStyle w:val="42"/>
        <w:spacing w:before="0" w:after="0" w:line="400" w:lineRule="exact"/>
        <w:ind w:left="0" w:leftChars="0" w:firstLine="420"/>
        <w:jc w:val="left"/>
        <w:rPr>
          <w:rFonts w:eastAsiaTheme="minorEastAsia"/>
          <w:color w:val="000000"/>
          <w:sz w:val="21"/>
          <w:szCs w:val="21"/>
        </w:rPr>
      </w:pPr>
      <w:bookmarkStart w:id="7" w:name="确认函说明"/>
      <w:r>
        <w:rPr>
          <w:rFonts w:eastAsiaTheme="minorEastAsia"/>
          <w:color w:val="000000"/>
          <w:sz w:val="21"/>
          <w:szCs w:val="21"/>
        </w:rPr>
        <w:t>请确认参加谈判的供应商于</w:t>
      </w:r>
      <w:r>
        <w:rPr>
          <w:rStyle w:val="21"/>
          <w:rFonts w:hint="eastAsia" w:eastAsiaTheme="minorEastAsia"/>
          <w:lang w:val="en-US" w:eastAsia="zh-CN"/>
        </w:rPr>
        <w:t>2017</w:t>
      </w:r>
      <w:r>
        <w:rPr>
          <w:rFonts w:eastAsiaTheme="minorEastAsia"/>
          <w:color w:val="000000"/>
          <w:sz w:val="21"/>
          <w:szCs w:val="21"/>
        </w:rPr>
        <w:t>年</w:t>
      </w:r>
      <w:r>
        <w:rPr>
          <w:rFonts w:hint="eastAsia" w:eastAsiaTheme="minorEastAsia"/>
          <w:color w:val="000000"/>
          <w:sz w:val="21"/>
          <w:szCs w:val="21"/>
          <w:lang w:val="en-US" w:eastAsia="zh-CN"/>
        </w:rPr>
        <w:t>7</w:t>
      </w:r>
      <w:r>
        <w:rPr>
          <w:rFonts w:eastAsiaTheme="minorEastAsia"/>
          <w:color w:val="000000"/>
          <w:sz w:val="21"/>
          <w:szCs w:val="21"/>
        </w:rPr>
        <w:t>月</w:t>
      </w:r>
      <w:r>
        <w:rPr>
          <w:rFonts w:hint="eastAsia" w:eastAsiaTheme="minorEastAsia"/>
          <w:color w:val="000000"/>
          <w:sz w:val="21"/>
          <w:szCs w:val="21"/>
          <w:lang w:val="en-US" w:eastAsia="zh-CN"/>
        </w:rPr>
        <w:t>4</w:t>
      </w:r>
      <w:r>
        <w:rPr>
          <w:rFonts w:eastAsiaTheme="minorEastAsia"/>
          <w:color w:val="000000"/>
          <w:sz w:val="21"/>
          <w:szCs w:val="21"/>
        </w:rPr>
        <w:t>日15:00前传真至我单位，同时将盖章扫描件发送至邮箱：</w:t>
      </w:r>
      <w:bookmarkStart w:id="8" w:name="邮箱"/>
      <w:r>
        <w:rPr>
          <w:rFonts w:eastAsiaTheme="minorEastAsia"/>
          <w:color w:val="000000"/>
          <w:sz w:val="21"/>
          <w:szCs w:val="21"/>
        </w:rPr>
        <w:t>cgzx@cufe.edu.cn</w:t>
      </w:r>
      <w:bookmarkEnd w:id="8"/>
      <w:r>
        <w:rPr>
          <w:rFonts w:eastAsiaTheme="minorEastAsia"/>
          <w:color w:val="000000"/>
          <w:sz w:val="21"/>
          <w:szCs w:val="21"/>
        </w:rPr>
        <w:t>，邮件主题为“谈判确认函+公司简称+项目名称+项目编号”。</w:t>
      </w:r>
    </w:p>
    <w:bookmarkEnd w:id="7"/>
    <w:p>
      <w:pPr>
        <w:pStyle w:val="40"/>
        <w:numPr>
          <w:ilvl w:val="0"/>
          <w:numId w:val="2"/>
        </w:numPr>
        <w:ind w:firstLineChars="0"/>
      </w:pPr>
      <w:r>
        <w:t>项目联系人</w:t>
      </w:r>
    </w:p>
    <w:p>
      <w:pPr>
        <w:pStyle w:val="42"/>
        <w:spacing w:before="0" w:after="0" w:line="400" w:lineRule="exact"/>
        <w:ind w:left="0" w:leftChars="0" w:firstLine="420"/>
        <w:rPr>
          <w:rFonts w:eastAsiaTheme="minorEastAsia"/>
          <w:color w:val="000000"/>
          <w:sz w:val="21"/>
          <w:szCs w:val="21"/>
        </w:rPr>
      </w:pPr>
      <w:bookmarkStart w:id="9" w:name="项目联系信息"/>
      <w:r>
        <w:rPr>
          <w:rFonts w:eastAsiaTheme="minorEastAsia"/>
          <w:color w:val="000000"/>
          <w:sz w:val="21"/>
          <w:szCs w:val="21"/>
        </w:rPr>
        <w:t>联系人：闫老师，王老师</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rPr>
          <w:rFonts w:eastAsiaTheme="minorEastAsia"/>
          <w:color w:val="000000"/>
          <w:sz w:val="21"/>
          <w:szCs w:val="21"/>
        </w:rPr>
        <w:fldChar w:fldCharType="begin"/>
      </w:r>
      <w:r>
        <w:rPr>
          <w:rFonts w:eastAsiaTheme="minorEastAsia"/>
          <w:color w:val="000000"/>
          <w:sz w:val="21"/>
          <w:szCs w:val="21"/>
        </w:rPr>
        <w:instrText xml:space="preserve"> REF 邮箱 \h  \* MERGEFORMAT </w:instrText>
      </w:r>
      <w:r>
        <w:rPr>
          <w:rFonts w:eastAsiaTheme="minorEastAsia"/>
          <w:color w:val="000000"/>
          <w:sz w:val="21"/>
          <w:szCs w:val="21"/>
        </w:rPr>
        <w:fldChar w:fldCharType="separate"/>
      </w:r>
      <w:r>
        <w:t>cgzx@cufe.edu.cn</w:t>
      </w:r>
      <w:r>
        <w:rPr>
          <w:rFonts w:eastAsiaTheme="minorEastAsia"/>
          <w:color w:val="000000"/>
          <w:sz w:val="21"/>
          <w:szCs w:val="21"/>
        </w:rPr>
        <w:fldChar w:fldCharType="end"/>
      </w:r>
      <w:r>
        <w:rPr>
          <w:rFonts w:eastAsiaTheme="minorEastAsia"/>
          <w:color w:val="000000"/>
          <w:sz w:val="21"/>
          <w:szCs w:val="21"/>
        </w:rPr>
        <w:t xml:space="preserve"> </w:t>
      </w:r>
    </w:p>
    <w:bookmarkEnd w:id="9"/>
    <w:p>
      <w:pPr>
        <w:pStyle w:val="40"/>
        <w:numPr>
          <w:ilvl w:val="0"/>
          <w:numId w:val="2"/>
        </w:numPr>
        <w:ind w:firstLineChars="0"/>
      </w:pPr>
      <w:r>
        <w:t>其他</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本项目其余信息均在“中国政府采购网”、“中国教育装备网”、“中央财经大学官网”等媒体发布。</w:t>
      </w:r>
    </w:p>
    <w:p>
      <w:pPr>
        <w:widowControl/>
        <w:jc w:val="left"/>
        <w:rPr>
          <w:rFonts w:eastAsiaTheme="minorEastAsia"/>
          <w:color w:val="000000"/>
          <w:szCs w:val="21"/>
        </w:rPr>
      </w:pPr>
      <w:r>
        <w:rPr>
          <w:rFonts w:eastAsiaTheme="minorEastAsia"/>
          <w:color w:val="000000"/>
          <w:szCs w:val="21"/>
        </w:rPr>
        <w:br w:type="page"/>
      </w:r>
    </w:p>
    <w:p>
      <w:pPr>
        <w:pStyle w:val="3"/>
        <w:spacing w:line="415" w:lineRule="auto"/>
        <w:ind w:left="420" w:hanging="420"/>
        <w:jc w:val="center"/>
        <w:rPr>
          <w:rFonts w:ascii="Times New Roman" w:hAnsi="Times New Roman" w:eastAsiaTheme="majorEastAsia"/>
        </w:rPr>
      </w:pPr>
      <w:bookmarkStart w:id="10" w:name="_Toc477981710"/>
      <w:bookmarkStart w:id="11" w:name="_Ref477964011"/>
      <w:r>
        <w:rPr>
          <w:rFonts w:ascii="Times New Roman" w:hAnsi="Times New Roman" w:eastAsiaTheme="majorEastAsia"/>
        </w:rPr>
        <w:t xml:space="preserve">第二部分  </w:t>
      </w:r>
      <w:bookmarkStart w:id="12" w:name="谈判须知前附表"/>
      <w:r>
        <w:rPr>
          <w:rFonts w:ascii="Times New Roman" w:hAnsi="Times New Roman" w:eastAsiaTheme="majorEastAsia"/>
        </w:rPr>
        <w:t>谈判须知前附表</w:t>
      </w:r>
      <w:bookmarkEnd w:id="10"/>
      <w:bookmarkEnd w:id="11"/>
      <w:bookmarkEnd w:id="12"/>
    </w:p>
    <w:p>
      <w:pPr>
        <w:widowControl/>
        <w:snapToGrid w:val="0"/>
        <w:spacing w:line="400" w:lineRule="exact"/>
        <w:ind w:left="4000" w:firstLine="422" w:firstLineChars="200"/>
        <w:jc w:val="left"/>
        <w:rPr>
          <w:rFonts w:eastAsiaTheme="minorEastAsia"/>
          <w:b/>
          <w:bCs/>
          <w:kern w:val="0"/>
          <w:szCs w:val="21"/>
        </w:rPr>
      </w:pPr>
    </w:p>
    <w:tbl>
      <w:tblPr>
        <w:tblStyle w:val="17"/>
        <w:tblW w:w="8184"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848"/>
        <w:gridCol w:w="2019"/>
        <w:gridCol w:w="5317"/>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widowControl/>
              <w:spacing w:line="400" w:lineRule="exact"/>
              <w:jc w:val="center"/>
              <w:rPr>
                <w:rFonts w:eastAsiaTheme="minorEastAsia"/>
                <w:bCs/>
                <w:kern w:val="0"/>
                <w:szCs w:val="21"/>
              </w:rPr>
            </w:pPr>
            <w:r>
              <w:rPr>
                <w:rFonts w:eastAsiaTheme="minorEastAsia"/>
                <w:bCs/>
                <w:kern w:val="0"/>
                <w:szCs w:val="21"/>
              </w:rPr>
              <w:t>序号</w:t>
            </w:r>
          </w:p>
        </w:tc>
        <w:tc>
          <w:tcPr>
            <w:tcW w:w="2019" w:type="dxa"/>
            <w:vAlign w:val="center"/>
          </w:tcPr>
          <w:p>
            <w:pPr>
              <w:widowControl/>
              <w:spacing w:line="400" w:lineRule="exact"/>
              <w:jc w:val="center"/>
              <w:rPr>
                <w:rFonts w:eastAsiaTheme="minorEastAsia"/>
                <w:bCs/>
                <w:kern w:val="0"/>
                <w:szCs w:val="21"/>
              </w:rPr>
            </w:pPr>
            <w:r>
              <w:rPr>
                <w:rFonts w:eastAsiaTheme="minorEastAsia"/>
                <w:bCs/>
                <w:kern w:val="0"/>
                <w:szCs w:val="21"/>
              </w:rPr>
              <w:t>内  容</w:t>
            </w:r>
          </w:p>
        </w:tc>
        <w:tc>
          <w:tcPr>
            <w:tcW w:w="5317" w:type="dxa"/>
            <w:vAlign w:val="center"/>
          </w:tcPr>
          <w:p>
            <w:pPr>
              <w:widowControl/>
              <w:snapToGrid w:val="0"/>
              <w:spacing w:line="400" w:lineRule="exact"/>
              <w:jc w:val="center"/>
              <w:rPr>
                <w:rFonts w:eastAsiaTheme="minorEastAsia"/>
                <w:bCs/>
                <w:kern w:val="0"/>
                <w:szCs w:val="21"/>
              </w:rPr>
            </w:pPr>
            <w:r>
              <w:rPr>
                <w:rFonts w:eastAsiaTheme="minorEastAsia"/>
                <w:bCs/>
                <w:kern w:val="0"/>
                <w:szCs w:val="21"/>
              </w:rPr>
              <w:t>说明与要求</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25"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3" w:name="_Ref477981437"/>
          </w:p>
          <w:bookmarkEnd w:id="13"/>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采购人名称</w:t>
            </w:r>
          </w:p>
        </w:tc>
        <w:tc>
          <w:tcPr>
            <w:tcW w:w="5317" w:type="dxa"/>
            <w:vAlign w:val="center"/>
          </w:tcPr>
          <w:p>
            <w:pPr>
              <w:widowControl/>
              <w:snapToGrid w:val="0"/>
              <w:spacing w:line="400" w:lineRule="exact"/>
              <w:jc w:val="left"/>
              <w:rPr>
                <w:rFonts w:eastAsiaTheme="minorEastAsia"/>
                <w:kern w:val="0"/>
                <w:szCs w:val="21"/>
              </w:rPr>
            </w:pPr>
            <w:r>
              <w:rPr>
                <w:rFonts w:eastAsiaTheme="minorEastAsia"/>
                <w:szCs w:val="21"/>
              </w:rPr>
              <w:t>中央财经大学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4" w:name="_Ref477981505"/>
          </w:p>
          <w:bookmarkEnd w:id="14"/>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谈判供应商的</w:t>
            </w:r>
          </w:p>
          <w:p>
            <w:pPr>
              <w:widowControl/>
              <w:snapToGrid w:val="0"/>
              <w:spacing w:line="400" w:lineRule="exact"/>
              <w:jc w:val="left"/>
              <w:rPr>
                <w:rFonts w:eastAsiaTheme="minorEastAsia"/>
                <w:bCs/>
                <w:kern w:val="0"/>
                <w:szCs w:val="21"/>
              </w:rPr>
            </w:pPr>
            <w:r>
              <w:rPr>
                <w:rFonts w:eastAsiaTheme="minorEastAsia"/>
                <w:bCs/>
                <w:kern w:val="0"/>
                <w:szCs w:val="21"/>
              </w:rPr>
              <w:t>资质要求</w:t>
            </w:r>
          </w:p>
        </w:tc>
        <w:tc>
          <w:tcPr>
            <w:tcW w:w="5317" w:type="dxa"/>
            <w:vAlign w:val="center"/>
          </w:tcPr>
          <w:p>
            <w:pPr>
              <w:pStyle w:val="9"/>
              <w:adjustRightInd w:val="0"/>
              <w:snapToGrid w:val="0"/>
              <w:spacing w:line="400" w:lineRule="exact"/>
              <w:rPr>
                <w:rFonts w:ascii="Times New Roman" w:hAnsi="Times New Roman" w:eastAsiaTheme="minorEastAsia"/>
                <w:bCs/>
              </w:rPr>
            </w:pPr>
            <w:r>
              <w:rPr>
                <w:rFonts w:hint="eastAsia" w:ascii="Times New Roman" w:hAnsi="Times New Roman" w:eastAsiaTheme="minorEastAsia"/>
                <w:bCs/>
              </w:rPr>
              <w:t>蓄电池需提供全国工业生产许可证。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5" w:name="_Ref477981529"/>
          </w:p>
          <w:bookmarkEnd w:id="15"/>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是否允许代理商</w:t>
            </w:r>
          </w:p>
          <w:p>
            <w:pPr>
              <w:widowControl/>
              <w:snapToGrid w:val="0"/>
              <w:spacing w:line="400" w:lineRule="exact"/>
              <w:jc w:val="left"/>
              <w:rPr>
                <w:rFonts w:eastAsiaTheme="minorEastAsia"/>
                <w:bCs/>
                <w:kern w:val="0"/>
                <w:szCs w:val="21"/>
              </w:rPr>
            </w:pPr>
            <w:r>
              <w:rPr>
                <w:rFonts w:eastAsiaTheme="minorEastAsia"/>
                <w:bCs/>
                <w:kern w:val="0"/>
                <w:szCs w:val="21"/>
              </w:rPr>
              <w:t>参与谈判</w:t>
            </w:r>
          </w:p>
        </w:tc>
        <w:tc>
          <w:tcPr>
            <w:tcW w:w="5317" w:type="dxa"/>
            <w:vAlign w:val="center"/>
          </w:tcPr>
          <w:p>
            <w:pPr>
              <w:pStyle w:val="9"/>
              <w:adjustRightInd w:val="0"/>
              <w:snapToGrid w:val="0"/>
              <w:spacing w:line="400" w:lineRule="exact"/>
              <w:rPr>
                <w:rFonts w:ascii="Times New Roman" w:hAnsi="Times New Roman" w:eastAsiaTheme="minorEastAsia"/>
                <w:bCs/>
              </w:rPr>
            </w:pPr>
            <w:r>
              <w:rPr>
                <w:rFonts w:hint="eastAsia" w:eastAsiaTheme="minorEastAsia"/>
              </w:rPr>
              <w:t>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6" w:name="_Ref477981542"/>
          </w:p>
          <w:bookmarkEnd w:id="16"/>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代理商需要提供的材料</w:t>
            </w:r>
          </w:p>
        </w:tc>
        <w:tc>
          <w:tcPr>
            <w:tcW w:w="5317" w:type="dxa"/>
            <w:vAlign w:val="center"/>
          </w:tcPr>
          <w:p>
            <w:pPr>
              <w:pStyle w:val="9"/>
              <w:adjustRightInd w:val="0"/>
              <w:snapToGrid w:val="0"/>
              <w:spacing w:line="400" w:lineRule="exact"/>
              <w:rPr>
                <w:rFonts w:eastAsiaTheme="minorEastAsia"/>
              </w:rPr>
            </w:pPr>
            <w:r>
              <w:rPr>
                <w:rFonts w:hint="eastAsia" w:eastAsiaTheme="minorEastAsia"/>
              </w:rPr>
              <w:t>1、若本表第5项已要求，应分别提供本表第5项所列设备生产制造厂商针对本项目的正式授权文件：</w:t>
            </w:r>
          </w:p>
          <w:p>
            <w:pPr>
              <w:pStyle w:val="9"/>
              <w:adjustRightInd w:val="0"/>
              <w:snapToGrid w:val="0"/>
              <w:spacing w:line="400" w:lineRule="exact"/>
              <w:rPr>
                <w:rFonts w:eastAsiaTheme="minorEastAsia"/>
              </w:rPr>
            </w:pPr>
            <w:r>
              <w:rPr>
                <w:rFonts w:hint="eastAsia" w:eastAsiaTheme="minorEastAsia"/>
              </w:rPr>
              <w:t>2、若生产制造厂商直接参加投标的，则不得再授权代理商参加投标，若授权，则仅接受该厂商的投标，其授权的代理商投标将被拒绝；</w:t>
            </w:r>
          </w:p>
          <w:p>
            <w:pPr>
              <w:pStyle w:val="9"/>
              <w:adjustRightInd w:val="0"/>
              <w:snapToGrid w:val="0"/>
              <w:spacing w:line="400" w:lineRule="exact"/>
              <w:rPr>
                <w:rFonts w:eastAsiaTheme="minorEastAsia"/>
              </w:rPr>
            </w:pPr>
            <w:r>
              <w:rPr>
                <w:rFonts w:hint="eastAsia" w:eastAsiaTheme="minorEastAsia"/>
              </w:rPr>
              <w:t>3、若生产制造厂商不直接参加投标的，只能授权不超过1家代理商参与投标，否则该厂商授权的所有代理商的投标将全部被拒绝。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7" w:name="_Ref477981550"/>
          </w:p>
          <w:bookmarkEnd w:id="17"/>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本次谈判需要提供厂家</w:t>
            </w:r>
          </w:p>
          <w:p>
            <w:pPr>
              <w:widowControl/>
              <w:spacing w:line="400" w:lineRule="exact"/>
              <w:jc w:val="left"/>
              <w:rPr>
                <w:rFonts w:eastAsiaTheme="minorEastAsia"/>
                <w:bCs/>
                <w:kern w:val="0"/>
                <w:szCs w:val="21"/>
              </w:rPr>
            </w:pPr>
            <w:r>
              <w:rPr>
                <w:rFonts w:eastAsiaTheme="minorEastAsia"/>
                <w:bCs/>
                <w:kern w:val="0"/>
                <w:szCs w:val="21"/>
              </w:rPr>
              <w:t>授权的设备清单</w:t>
            </w:r>
          </w:p>
        </w:tc>
        <w:tc>
          <w:tcPr>
            <w:tcW w:w="5317" w:type="dxa"/>
            <w:vAlign w:val="center"/>
          </w:tcPr>
          <w:p>
            <w:pPr>
              <w:widowControl/>
              <w:snapToGrid w:val="0"/>
              <w:spacing w:line="400" w:lineRule="exact"/>
              <w:jc w:val="left"/>
              <w:rPr>
                <w:rFonts w:eastAsiaTheme="minorEastAsia"/>
                <w:kern w:val="0"/>
                <w:szCs w:val="21"/>
              </w:rPr>
            </w:pPr>
            <w:r>
              <w:rPr>
                <w:rFonts w:hint="eastAsia" w:eastAsiaTheme="minorEastAsia"/>
                <w:szCs w:val="21"/>
              </w:rPr>
              <w:t>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479"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8" w:name="_Ref477981569"/>
          </w:p>
          <w:bookmarkEnd w:id="18"/>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是否允许联合体</w:t>
            </w:r>
          </w:p>
          <w:p>
            <w:pPr>
              <w:widowControl/>
              <w:spacing w:line="400" w:lineRule="exact"/>
              <w:jc w:val="left"/>
              <w:rPr>
                <w:rFonts w:eastAsiaTheme="minorEastAsia"/>
                <w:bCs/>
                <w:kern w:val="0"/>
                <w:szCs w:val="21"/>
              </w:rPr>
            </w:pPr>
            <w:r>
              <w:rPr>
                <w:rFonts w:eastAsiaTheme="minorEastAsia"/>
                <w:bCs/>
                <w:kern w:val="0"/>
                <w:szCs w:val="21"/>
              </w:rPr>
              <w:t>参与谈判</w:t>
            </w:r>
          </w:p>
        </w:tc>
        <w:tc>
          <w:tcPr>
            <w:tcW w:w="5317" w:type="dxa"/>
            <w:vAlign w:val="center"/>
          </w:tcPr>
          <w:p>
            <w:pPr>
              <w:widowControl/>
              <w:snapToGrid w:val="0"/>
              <w:spacing w:line="400" w:lineRule="exact"/>
              <w:jc w:val="left"/>
              <w:rPr>
                <w:rFonts w:eastAsiaTheme="minorEastAsia"/>
                <w:kern w:val="0"/>
                <w:szCs w:val="21"/>
              </w:rPr>
            </w:pPr>
            <w:r>
              <w:rPr>
                <w:rFonts w:hint="eastAsia" w:eastAsiaTheme="minor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19" w:name="_Ref477981601"/>
          </w:p>
          <w:bookmarkEnd w:id="19"/>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谈判供应商应提交的</w:t>
            </w:r>
          </w:p>
          <w:p>
            <w:pPr>
              <w:widowControl/>
              <w:spacing w:line="400" w:lineRule="exact"/>
              <w:jc w:val="left"/>
              <w:rPr>
                <w:rFonts w:eastAsiaTheme="minorEastAsia"/>
                <w:bCs/>
                <w:kern w:val="0"/>
                <w:szCs w:val="21"/>
              </w:rPr>
            </w:pPr>
            <w:r>
              <w:rPr>
                <w:rFonts w:eastAsiaTheme="minorEastAsia"/>
                <w:bCs/>
                <w:kern w:val="0"/>
                <w:szCs w:val="21"/>
              </w:rPr>
              <w:t>商务文件</w:t>
            </w:r>
          </w:p>
        </w:tc>
        <w:tc>
          <w:tcPr>
            <w:tcW w:w="5317" w:type="dxa"/>
            <w:vAlign w:val="center"/>
          </w:tcPr>
          <w:p>
            <w:pPr>
              <w:pStyle w:val="31"/>
              <w:widowControl/>
              <w:numPr>
                <w:ilvl w:val="0"/>
                <w:numId w:val="5"/>
              </w:numPr>
              <w:snapToGrid w:val="0"/>
              <w:spacing w:line="400" w:lineRule="exact"/>
              <w:ind w:firstLineChars="0"/>
              <w:rPr>
                <w:rFonts w:eastAsiaTheme="minorEastAsia"/>
                <w:bCs/>
                <w:kern w:val="0"/>
                <w:szCs w:val="21"/>
              </w:rPr>
            </w:pPr>
            <w:r>
              <w:rPr>
                <w:rFonts w:eastAsiaTheme="minorEastAsia"/>
                <w:bCs/>
                <w:kern w:val="0"/>
                <w:szCs w:val="21"/>
              </w:rPr>
              <w:t>* 承诺函；</w:t>
            </w:r>
          </w:p>
          <w:p>
            <w:pPr>
              <w:pStyle w:val="31"/>
              <w:widowControl/>
              <w:numPr>
                <w:ilvl w:val="0"/>
                <w:numId w:val="5"/>
              </w:numPr>
              <w:snapToGrid w:val="0"/>
              <w:spacing w:line="400" w:lineRule="exact"/>
              <w:ind w:firstLineChars="0"/>
              <w:rPr>
                <w:rFonts w:eastAsiaTheme="minorEastAsia"/>
                <w:bCs/>
                <w:kern w:val="0"/>
                <w:szCs w:val="21"/>
              </w:rPr>
            </w:pPr>
            <w:r>
              <w:rPr>
                <w:rFonts w:eastAsiaTheme="minorEastAsia"/>
                <w:bCs/>
                <w:kern w:val="0"/>
                <w:szCs w:val="21"/>
              </w:rPr>
              <w:t>* 法定代表人授权委托书；</w:t>
            </w:r>
          </w:p>
          <w:p>
            <w:pPr>
              <w:pStyle w:val="31"/>
              <w:widowControl/>
              <w:numPr>
                <w:ilvl w:val="0"/>
                <w:numId w:val="5"/>
              </w:numPr>
              <w:snapToGrid w:val="0"/>
              <w:spacing w:line="400" w:lineRule="exact"/>
              <w:ind w:firstLineChars="0"/>
              <w:rPr>
                <w:rFonts w:eastAsiaTheme="minorEastAsia"/>
                <w:kern w:val="0"/>
                <w:szCs w:val="21"/>
              </w:rPr>
            </w:pPr>
            <w:r>
              <w:rPr>
                <w:rFonts w:eastAsiaTheme="minorEastAsia"/>
                <w:bCs/>
                <w:kern w:val="0"/>
                <w:szCs w:val="21"/>
              </w:rPr>
              <w:t xml:space="preserve">* </w:t>
            </w:r>
            <w:r>
              <w:rPr>
                <w:rFonts w:eastAsiaTheme="minorEastAsia"/>
                <w:bCs/>
                <w:color w:val="000000"/>
                <w:szCs w:val="21"/>
              </w:rPr>
              <w:t>营业执照或相关材料</w:t>
            </w:r>
            <w:r>
              <w:rPr>
                <w:rFonts w:eastAsiaTheme="minorEastAsia"/>
                <w:bCs/>
                <w:kern w:val="0"/>
                <w:szCs w:val="21"/>
              </w:rPr>
              <w:t>：</w:t>
            </w:r>
            <w:r>
              <w:rPr>
                <w:rFonts w:eastAsiaTheme="minorEastAsia"/>
                <w:kern w:val="0"/>
                <w:szCs w:val="21"/>
              </w:rPr>
              <w:t>提交有效的企业法人营业执照副本复印件，并加盖供应商公章；</w:t>
            </w:r>
          </w:p>
          <w:p>
            <w:pPr>
              <w:pStyle w:val="31"/>
              <w:widowControl/>
              <w:numPr>
                <w:ilvl w:val="0"/>
                <w:numId w:val="5"/>
              </w:numPr>
              <w:snapToGrid w:val="0"/>
              <w:spacing w:line="400" w:lineRule="exact"/>
              <w:ind w:right="142" w:firstLineChars="0"/>
              <w:rPr>
                <w:rFonts w:eastAsiaTheme="minorEastAsia"/>
                <w:szCs w:val="21"/>
              </w:rPr>
            </w:pPr>
            <w:r>
              <w:rPr>
                <w:rFonts w:eastAsiaTheme="minorEastAsia"/>
                <w:szCs w:val="21"/>
              </w:rPr>
              <w:t>提供近两个年度任一年度经第三方会计师事务所审计的企业财务报告及其附件复印件或其基本开户银行出具的资信证明原件或扫描件。</w:t>
            </w:r>
          </w:p>
          <w:p>
            <w:pPr>
              <w:pStyle w:val="31"/>
              <w:widowControl/>
              <w:numPr>
                <w:ilvl w:val="0"/>
                <w:numId w:val="5"/>
              </w:numPr>
              <w:snapToGrid w:val="0"/>
              <w:spacing w:line="400" w:lineRule="exact"/>
              <w:ind w:right="142" w:firstLineChars="0"/>
              <w:jc w:val="left"/>
              <w:rPr>
                <w:rFonts w:eastAsiaTheme="minorEastAsia"/>
                <w:szCs w:val="21"/>
              </w:rPr>
            </w:pPr>
            <w:bookmarkStart w:id="20" w:name="OLE_LINK6"/>
            <w:r>
              <w:rPr>
                <w:rFonts w:eastAsiaTheme="minorEastAsia"/>
                <w:bCs/>
                <w:color w:val="000000"/>
                <w:szCs w:val="21"/>
              </w:rPr>
              <w:t>* 纳税和社保费用相关证明材料：</w:t>
            </w:r>
            <w:bookmarkEnd w:id="20"/>
            <w:r>
              <w:rPr>
                <w:rFonts w:eastAsiaTheme="minorEastAsia"/>
                <w:bCs/>
                <w:szCs w:val="21"/>
              </w:rPr>
              <w:t>谈判供应商</w:t>
            </w:r>
            <w:r>
              <w:rPr>
                <w:rFonts w:eastAsiaTheme="minorEastAsia"/>
                <w:szCs w:val="21"/>
              </w:rPr>
              <w:t>应提交自谈判响应文件截止之日起前半年内三个月份依法缴纳税收和社会保险费的相关证明材料；</w:t>
            </w:r>
          </w:p>
          <w:p>
            <w:pPr>
              <w:pStyle w:val="31"/>
              <w:widowControl/>
              <w:numPr>
                <w:ilvl w:val="0"/>
                <w:numId w:val="5"/>
              </w:numPr>
              <w:snapToGrid w:val="0"/>
              <w:spacing w:line="400" w:lineRule="exact"/>
              <w:ind w:right="142" w:firstLineChars="0"/>
              <w:jc w:val="left"/>
              <w:rPr>
                <w:rFonts w:eastAsiaTheme="minorEastAsia"/>
                <w:szCs w:val="21"/>
              </w:rPr>
            </w:pPr>
            <w:bookmarkStart w:id="21" w:name="OLE_LINK7"/>
            <w:r>
              <w:rPr>
                <w:rFonts w:eastAsiaTheme="minorEastAsia"/>
                <w:bCs/>
                <w:color w:val="000000"/>
                <w:szCs w:val="21"/>
              </w:rPr>
              <w:t>* 提交参与采购活动前三年内在经营活动中没有重大违法记录的书面声明函；</w:t>
            </w:r>
            <w:bookmarkEnd w:id="21"/>
          </w:p>
          <w:p>
            <w:pPr>
              <w:pStyle w:val="31"/>
              <w:widowControl/>
              <w:numPr>
                <w:ilvl w:val="0"/>
                <w:numId w:val="5"/>
              </w:numPr>
              <w:snapToGrid w:val="0"/>
              <w:spacing w:line="400" w:lineRule="exact"/>
              <w:ind w:right="142" w:firstLineChars="0"/>
              <w:jc w:val="left"/>
              <w:rPr>
                <w:rFonts w:eastAsiaTheme="minorEastAsia"/>
                <w:szCs w:val="21"/>
              </w:rPr>
            </w:pPr>
            <w:r>
              <w:rPr>
                <w:rFonts w:hint="eastAsia" w:eastAsiaTheme="minorEastAsia"/>
                <w:szCs w:val="21"/>
              </w:rPr>
              <w:t>*根据财政部《关于在政府采购活动中查询及使用信用记录有关问题的通知》（财库（2016）125号）文件要求，投标人在开标前应通过“信用中国”网站（www.creditchina.gov.cn）、中国政府采购网（www.ccgp.gov.cn）等渠道查询信用记录，并提交信用信息查询记录和查询结果，信用信息查询记录及相关证据与其他采购文件由采购中心保存。采购中心将对供应商信用记录进行甄别，对列入失信被执行人、重大税收违法案件当事人名单、政府采购严重违法失信行为记录名单及其他不符合《中华人民共和国政府采购法》第二十二条规定条件的供应商，拒绝其参与中央财经大学组织的采购活动。</w:t>
            </w:r>
          </w:p>
          <w:p>
            <w:pPr>
              <w:pStyle w:val="31"/>
              <w:widowControl/>
              <w:numPr>
                <w:ilvl w:val="0"/>
                <w:numId w:val="5"/>
              </w:numPr>
              <w:spacing w:line="400" w:lineRule="exact"/>
              <w:ind w:firstLineChars="0"/>
              <w:rPr>
                <w:rFonts w:eastAsiaTheme="minorEastAsia"/>
                <w:kern w:val="0"/>
                <w:szCs w:val="21"/>
              </w:rPr>
            </w:pPr>
            <w:r>
              <w:rPr>
                <w:rFonts w:eastAsiaTheme="minorEastAsia"/>
                <w:kern w:val="0"/>
                <w:szCs w:val="21"/>
              </w:rPr>
              <w:t>商务文件偏离表；</w:t>
            </w:r>
          </w:p>
          <w:p>
            <w:pPr>
              <w:pStyle w:val="46"/>
              <w:numPr>
                <w:ilvl w:val="0"/>
                <w:numId w:val="5"/>
              </w:numPr>
              <w:ind w:firstLineChars="0"/>
              <w:rPr>
                <w:rFonts w:eastAsiaTheme="minorEastAsia"/>
                <w:kern w:val="0"/>
                <w:szCs w:val="21"/>
              </w:rPr>
            </w:pPr>
            <w:r>
              <w:rPr>
                <w:rFonts w:hint="eastAsia" w:eastAsiaTheme="minorEastAsia"/>
                <w:kern w:val="0"/>
                <w:szCs w:val="21"/>
              </w:rPr>
              <w:t>投标方需提供3个近三年相关项目合同复印件（加盖投标人公章）；</w:t>
            </w:r>
          </w:p>
          <w:p>
            <w:pPr>
              <w:pStyle w:val="31"/>
              <w:widowControl/>
              <w:numPr>
                <w:ilvl w:val="0"/>
                <w:numId w:val="5"/>
              </w:numPr>
              <w:spacing w:line="400" w:lineRule="exact"/>
              <w:ind w:firstLineChars="0"/>
              <w:rPr>
                <w:rFonts w:eastAsiaTheme="minorEastAsia"/>
                <w:kern w:val="0"/>
                <w:szCs w:val="21"/>
              </w:rPr>
            </w:pPr>
            <w:r>
              <w:rPr>
                <w:rFonts w:eastAsiaTheme="minorEastAsia"/>
                <w:bCs/>
                <w:kern w:val="0"/>
                <w:szCs w:val="21"/>
              </w:rPr>
              <w:t>供应商认为需要提供的其他商务资料。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90"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22" w:name="_Ref477981610"/>
          </w:p>
          <w:bookmarkEnd w:id="22"/>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谈判供应商应提交的</w:t>
            </w:r>
          </w:p>
          <w:p>
            <w:pPr>
              <w:widowControl/>
              <w:spacing w:line="400" w:lineRule="exact"/>
              <w:jc w:val="left"/>
              <w:rPr>
                <w:rFonts w:eastAsiaTheme="minorEastAsia"/>
                <w:bCs/>
                <w:kern w:val="0"/>
                <w:szCs w:val="21"/>
              </w:rPr>
            </w:pPr>
            <w:r>
              <w:rPr>
                <w:rFonts w:eastAsiaTheme="minorEastAsia"/>
                <w:bCs/>
                <w:kern w:val="0"/>
                <w:szCs w:val="21"/>
              </w:rPr>
              <w:t>技术文件</w:t>
            </w:r>
          </w:p>
        </w:tc>
        <w:tc>
          <w:tcPr>
            <w:tcW w:w="5317" w:type="dxa"/>
            <w:vAlign w:val="center"/>
          </w:tcPr>
          <w:p>
            <w:pPr>
              <w:pStyle w:val="31"/>
              <w:numPr>
                <w:ilvl w:val="0"/>
                <w:numId w:val="6"/>
              </w:numPr>
              <w:tabs>
                <w:tab w:val="left" w:pos="630"/>
              </w:tabs>
              <w:spacing w:after="40" w:line="400" w:lineRule="exact"/>
              <w:ind w:right="142" w:firstLineChars="0"/>
              <w:rPr>
                <w:rFonts w:eastAsiaTheme="minorEastAsia"/>
                <w:bCs/>
                <w:kern w:val="0"/>
                <w:szCs w:val="21"/>
              </w:rPr>
            </w:pPr>
            <w:r>
              <w:rPr>
                <w:rFonts w:eastAsiaTheme="minorEastAsia"/>
                <w:bCs/>
                <w:kern w:val="0"/>
                <w:szCs w:val="21"/>
              </w:rPr>
              <w:t>* 报价一览表；</w:t>
            </w:r>
          </w:p>
          <w:p>
            <w:pPr>
              <w:pStyle w:val="31"/>
              <w:numPr>
                <w:ilvl w:val="0"/>
                <w:numId w:val="6"/>
              </w:numPr>
              <w:tabs>
                <w:tab w:val="left" w:pos="630"/>
              </w:tabs>
              <w:spacing w:after="40" w:line="400" w:lineRule="exact"/>
              <w:ind w:right="142" w:firstLineChars="0"/>
              <w:rPr>
                <w:rFonts w:eastAsiaTheme="minorEastAsia"/>
                <w:kern w:val="0"/>
                <w:szCs w:val="21"/>
              </w:rPr>
            </w:pPr>
            <w:r>
              <w:rPr>
                <w:rFonts w:eastAsiaTheme="minorEastAsia"/>
                <w:szCs w:val="21"/>
              </w:rPr>
              <w:t>* 报价项目数量价格表；</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技术规范偏离表；</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谈判供应商自行编写的技术文件；</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技术说明书：包括标的物主要技术指标和运行性能的详细描述；投标人应当提供国家相关部门出具的检测报告、国家相关部门认证或公开宣传的印刷资料，并与投标文件共同装订成册，未提供相关资料或未装订成册的，不作为评审依据；</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项目实施方案（应当包括开发进度计划，集成方案、测试调试方案、安全方案、应急措施以及投标人认为需要采取的其他有利措施方案）；</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售后服务、培训和服务计划；</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售后服务网点明细表：投标人在用户所在地售后服务网点明细表；</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投标人服务项目偏离表；</w:t>
            </w:r>
          </w:p>
          <w:p>
            <w:pPr>
              <w:pStyle w:val="31"/>
              <w:numPr>
                <w:ilvl w:val="0"/>
                <w:numId w:val="6"/>
              </w:numPr>
              <w:tabs>
                <w:tab w:val="left" w:pos="630"/>
              </w:tabs>
              <w:spacing w:after="40" w:line="400" w:lineRule="exact"/>
              <w:ind w:right="142" w:firstLineChars="0"/>
              <w:rPr>
                <w:rFonts w:eastAsiaTheme="minorEastAsia"/>
                <w:szCs w:val="21"/>
              </w:rPr>
            </w:pPr>
            <w:r>
              <w:rPr>
                <w:rFonts w:eastAsiaTheme="minorEastAsia"/>
                <w:szCs w:val="21"/>
              </w:rPr>
              <w:t>投标人认为需要提供的其它说明和资料；</w:t>
            </w:r>
          </w:p>
          <w:p>
            <w:pPr>
              <w:pStyle w:val="31"/>
              <w:numPr>
                <w:ilvl w:val="0"/>
                <w:numId w:val="6"/>
              </w:numPr>
              <w:tabs>
                <w:tab w:val="left" w:pos="630"/>
              </w:tabs>
              <w:spacing w:after="40" w:line="400" w:lineRule="exact"/>
              <w:ind w:right="142" w:firstLineChars="0"/>
              <w:rPr>
                <w:rFonts w:eastAsiaTheme="minorEastAsia"/>
                <w:kern w:val="0"/>
                <w:szCs w:val="21"/>
              </w:rPr>
            </w:pPr>
            <w:r>
              <w:rPr>
                <w:rFonts w:eastAsiaTheme="minorEastAsia"/>
                <w:szCs w:val="21"/>
              </w:rPr>
              <w:t>主要投标的情况表。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23" w:name="_Ref477981612"/>
          </w:p>
          <w:bookmarkEnd w:id="23"/>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谈判供应商自行编写的</w:t>
            </w:r>
          </w:p>
          <w:p>
            <w:pPr>
              <w:widowControl/>
              <w:spacing w:line="400" w:lineRule="exact"/>
              <w:jc w:val="left"/>
              <w:rPr>
                <w:rFonts w:eastAsiaTheme="minorEastAsia"/>
                <w:bCs/>
                <w:kern w:val="0"/>
                <w:szCs w:val="21"/>
              </w:rPr>
            </w:pPr>
            <w:r>
              <w:rPr>
                <w:rFonts w:eastAsiaTheme="minorEastAsia"/>
                <w:bCs/>
                <w:kern w:val="0"/>
                <w:szCs w:val="21"/>
              </w:rPr>
              <w:t>技术文件</w:t>
            </w:r>
          </w:p>
        </w:tc>
        <w:tc>
          <w:tcPr>
            <w:tcW w:w="5317" w:type="dxa"/>
            <w:vAlign w:val="center"/>
          </w:tcPr>
          <w:p>
            <w:pPr>
              <w:autoSpaceDN w:val="0"/>
              <w:spacing w:line="400" w:lineRule="exact"/>
              <w:ind w:firstLine="420" w:firstLineChars="200"/>
              <w:rPr>
                <w:rFonts w:eastAsiaTheme="minorEastAsia"/>
                <w:szCs w:val="21"/>
              </w:rPr>
            </w:pPr>
            <w:r>
              <w:rPr>
                <w:rFonts w:eastAsiaTheme="minorEastAsia"/>
                <w:szCs w:val="21"/>
              </w:rPr>
              <w:t>包括但不限于：</w:t>
            </w:r>
          </w:p>
          <w:p>
            <w:pPr>
              <w:pStyle w:val="33"/>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服务项目点对点对应情况等；</w:t>
            </w:r>
          </w:p>
          <w:p>
            <w:pPr>
              <w:pStyle w:val="33"/>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响应人所提供的服务；</w:t>
            </w:r>
          </w:p>
          <w:p>
            <w:pPr>
              <w:pStyle w:val="33"/>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项目进度表；</w:t>
            </w:r>
          </w:p>
          <w:p>
            <w:pPr>
              <w:pStyle w:val="33"/>
              <w:numPr>
                <w:ilvl w:val="0"/>
                <w:numId w:val="7"/>
              </w:numPr>
              <w:tabs>
                <w:tab w:val="left" w:pos="630"/>
              </w:tabs>
              <w:adjustRightInd/>
              <w:spacing w:after="40" w:line="400" w:lineRule="exact"/>
              <w:ind w:right="142" w:firstLineChars="0"/>
              <w:jc w:val="both"/>
              <w:textAlignment w:val="auto"/>
              <w:rPr>
                <w:rFonts w:eastAsiaTheme="minorEastAsia"/>
                <w:bCs/>
                <w:sz w:val="21"/>
                <w:szCs w:val="21"/>
              </w:rPr>
            </w:pPr>
            <w:r>
              <w:rPr>
                <w:rFonts w:eastAsiaTheme="minorEastAsia"/>
                <w:bCs/>
                <w:sz w:val="21"/>
                <w:szCs w:val="21"/>
              </w:rPr>
              <w:t>实施人员组织规划及参与人员简介；</w:t>
            </w:r>
          </w:p>
          <w:p>
            <w:pPr>
              <w:pStyle w:val="33"/>
              <w:numPr>
                <w:ilvl w:val="0"/>
                <w:numId w:val="7"/>
              </w:numPr>
              <w:tabs>
                <w:tab w:val="left" w:pos="630"/>
              </w:tabs>
              <w:spacing w:after="40" w:line="400" w:lineRule="exact"/>
              <w:ind w:right="142" w:firstLineChars="0"/>
              <w:rPr>
                <w:rFonts w:eastAsiaTheme="minorEastAsia"/>
                <w:bCs/>
                <w:sz w:val="21"/>
                <w:szCs w:val="21"/>
              </w:rPr>
            </w:pPr>
            <w:r>
              <w:rPr>
                <w:rFonts w:hint="eastAsia" w:eastAsiaTheme="minorEastAsia"/>
                <w:bCs/>
                <w:sz w:val="21"/>
                <w:szCs w:val="21"/>
              </w:rPr>
              <w:t>对本项目的服务重点、难点分析</w:t>
            </w:r>
          </w:p>
          <w:p>
            <w:pPr>
              <w:pStyle w:val="33"/>
              <w:numPr>
                <w:ilvl w:val="0"/>
                <w:numId w:val="7"/>
              </w:numPr>
              <w:tabs>
                <w:tab w:val="left" w:pos="630"/>
              </w:tabs>
              <w:spacing w:after="40" w:line="400" w:lineRule="exact"/>
              <w:ind w:right="142" w:firstLineChars="0"/>
              <w:rPr>
                <w:rFonts w:eastAsiaTheme="minorEastAsia"/>
                <w:bCs/>
                <w:sz w:val="21"/>
                <w:szCs w:val="21"/>
              </w:rPr>
            </w:pPr>
            <w:r>
              <w:rPr>
                <w:rFonts w:hint="eastAsia" w:eastAsiaTheme="minorEastAsia"/>
                <w:bCs/>
                <w:sz w:val="21"/>
                <w:szCs w:val="21"/>
              </w:rPr>
              <w:t>针对本项目的日常管理及措施</w:t>
            </w:r>
          </w:p>
          <w:p>
            <w:pPr>
              <w:pStyle w:val="33"/>
              <w:numPr>
                <w:ilvl w:val="0"/>
                <w:numId w:val="7"/>
              </w:numPr>
              <w:tabs>
                <w:tab w:val="left" w:pos="630"/>
              </w:tabs>
              <w:spacing w:after="40" w:line="400" w:lineRule="exact"/>
              <w:ind w:right="142" w:firstLineChars="0"/>
              <w:rPr>
                <w:rFonts w:eastAsiaTheme="minorEastAsia"/>
                <w:bCs/>
                <w:sz w:val="21"/>
                <w:szCs w:val="21"/>
              </w:rPr>
            </w:pPr>
            <w:r>
              <w:rPr>
                <w:rFonts w:hint="eastAsia" w:eastAsiaTheme="minorEastAsia"/>
                <w:bCs/>
                <w:sz w:val="21"/>
                <w:szCs w:val="21"/>
              </w:rPr>
              <w:t>应急预案及措施</w:t>
            </w:r>
          </w:p>
          <w:p>
            <w:pPr>
              <w:pStyle w:val="33"/>
              <w:numPr>
                <w:ilvl w:val="0"/>
                <w:numId w:val="7"/>
              </w:numPr>
              <w:tabs>
                <w:tab w:val="left" w:pos="630"/>
              </w:tabs>
              <w:adjustRightInd/>
              <w:spacing w:after="40" w:line="400" w:lineRule="exact"/>
              <w:ind w:right="142" w:firstLineChars="0"/>
              <w:jc w:val="both"/>
              <w:textAlignment w:val="auto"/>
              <w:rPr>
                <w:szCs w:val="21"/>
              </w:rPr>
            </w:pPr>
            <w:r>
              <w:rPr>
                <w:rFonts w:eastAsiaTheme="minorEastAsia"/>
                <w:bCs/>
                <w:sz w:val="21"/>
                <w:szCs w:val="21"/>
              </w:rPr>
              <w:t>其他需要说明的问题。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谈判保证金额</w:t>
            </w:r>
          </w:p>
        </w:tc>
        <w:tc>
          <w:tcPr>
            <w:tcW w:w="5317" w:type="dxa"/>
            <w:vAlign w:val="center"/>
          </w:tcPr>
          <w:p>
            <w:pPr>
              <w:widowControl/>
              <w:snapToGrid w:val="0"/>
              <w:spacing w:line="400" w:lineRule="exact"/>
              <w:ind w:left="-95" w:firstLine="420" w:firstLineChars="200"/>
              <w:rPr>
                <w:rFonts w:eastAsiaTheme="minorEastAsia"/>
                <w:bCs/>
                <w:kern w:val="0"/>
                <w:szCs w:val="21"/>
              </w:rPr>
            </w:pPr>
            <w:bookmarkStart w:id="24" w:name="_Toc477456267"/>
            <w:bookmarkStart w:id="25" w:name="_Toc477456200"/>
            <w:r>
              <w:rPr>
                <w:rFonts w:eastAsiaTheme="minorEastAsia"/>
                <w:szCs w:val="21"/>
              </w:rPr>
              <w:t>本项目</w:t>
            </w:r>
            <w:r>
              <w:rPr>
                <w:rFonts w:hint="eastAsia" w:eastAsiaTheme="minorEastAsia"/>
                <w:szCs w:val="21"/>
              </w:rPr>
              <w:t>无</w:t>
            </w:r>
            <w:r>
              <w:rPr>
                <w:rFonts w:eastAsiaTheme="minorEastAsia"/>
                <w:szCs w:val="21"/>
              </w:rPr>
              <w:t>谈判保证金</w:t>
            </w:r>
            <w:bookmarkEnd w:id="24"/>
            <w:bookmarkEnd w:id="25"/>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是否接受可选择的报价</w:t>
            </w:r>
          </w:p>
        </w:tc>
        <w:tc>
          <w:tcPr>
            <w:tcW w:w="5317" w:type="dxa"/>
            <w:vAlign w:val="center"/>
          </w:tcPr>
          <w:p>
            <w:pPr>
              <w:adjustRightInd w:val="0"/>
              <w:spacing w:line="400" w:lineRule="exact"/>
              <w:ind w:firstLine="420" w:firstLineChars="200"/>
              <w:textAlignment w:val="baseline"/>
              <w:rPr>
                <w:rFonts w:eastAsiaTheme="minorEastAsia"/>
                <w:bCs/>
                <w:kern w:val="0"/>
                <w:szCs w:val="21"/>
              </w:rPr>
            </w:pPr>
            <w:r>
              <w:rPr>
                <w:rFonts w:hint="eastAsia" w:eastAsiaTheme="minorEastAsia"/>
                <w:szCs w:val="21"/>
              </w:rPr>
              <w:t>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90"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是否允许谈判供应商将项目非主体、非关键性</w:t>
            </w:r>
          </w:p>
          <w:p>
            <w:pPr>
              <w:widowControl/>
              <w:spacing w:line="400" w:lineRule="exact"/>
              <w:jc w:val="left"/>
              <w:rPr>
                <w:rFonts w:eastAsiaTheme="minorEastAsia"/>
                <w:bCs/>
                <w:kern w:val="0"/>
                <w:szCs w:val="21"/>
              </w:rPr>
            </w:pPr>
            <w:r>
              <w:rPr>
                <w:rFonts w:eastAsiaTheme="minorEastAsia"/>
                <w:bCs/>
                <w:kern w:val="0"/>
                <w:szCs w:val="21"/>
              </w:rPr>
              <w:t>工作交由他人完成</w:t>
            </w:r>
          </w:p>
        </w:tc>
        <w:tc>
          <w:tcPr>
            <w:tcW w:w="5317" w:type="dxa"/>
            <w:vAlign w:val="center"/>
          </w:tcPr>
          <w:p>
            <w:pPr>
              <w:adjustRightInd w:val="0"/>
              <w:spacing w:line="400" w:lineRule="exact"/>
              <w:ind w:firstLine="420" w:firstLineChars="200"/>
              <w:textAlignment w:val="baseline"/>
              <w:rPr>
                <w:rFonts w:eastAsiaTheme="minorEastAsia"/>
                <w:bCs/>
                <w:kern w:val="0"/>
                <w:szCs w:val="21"/>
              </w:rPr>
            </w:pPr>
            <w:r>
              <w:rPr>
                <w:rFonts w:hint="eastAsia" w:eastAsiaTheme="minorEastAsia"/>
                <w:szCs w:val="21"/>
              </w:rPr>
              <w:t>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spacing w:line="400" w:lineRule="exact"/>
              <w:jc w:val="left"/>
              <w:rPr>
                <w:rFonts w:eastAsiaTheme="minorEastAsia"/>
                <w:bCs/>
                <w:kern w:val="0"/>
                <w:szCs w:val="21"/>
              </w:rPr>
            </w:pPr>
            <w:r>
              <w:rPr>
                <w:rFonts w:eastAsiaTheme="minorEastAsia"/>
                <w:szCs w:val="21"/>
              </w:rPr>
              <w:t>现场踏勘</w:t>
            </w:r>
          </w:p>
        </w:tc>
        <w:tc>
          <w:tcPr>
            <w:tcW w:w="5317" w:type="dxa"/>
            <w:vAlign w:val="center"/>
          </w:tcPr>
          <w:p>
            <w:pPr>
              <w:widowControl/>
              <w:snapToGrid w:val="0"/>
              <w:spacing w:line="400" w:lineRule="exact"/>
              <w:ind w:left="31" w:leftChars="15" w:firstLine="420" w:firstLineChars="200"/>
              <w:jc w:val="left"/>
              <w:rPr>
                <w:rFonts w:eastAsiaTheme="minorEastAsia"/>
                <w:szCs w:val="21"/>
              </w:rPr>
            </w:pPr>
            <w:r>
              <w:rPr>
                <w:rFonts w:hint="eastAsia" w:eastAsiaTheme="minorEastAsia"/>
                <w:szCs w:val="21"/>
              </w:rPr>
              <w:t>是</w:t>
            </w:r>
          </w:p>
          <w:p>
            <w:pPr>
              <w:widowControl/>
              <w:snapToGrid w:val="0"/>
              <w:spacing w:line="400" w:lineRule="exact"/>
              <w:ind w:left="31" w:leftChars="15" w:firstLine="420" w:firstLineChars="200"/>
              <w:jc w:val="left"/>
              <w:rPr>
                <w:rFonts w:hint="eastAsia" w:eastAsiaTheme="minorEastAsia"/>
                <w:szCs w:val="21"/>
                <w:lang w:val="en-US" w:eastAsia="zh-CN"/>
              </w:rPr>
            </w:pPr>
            <w:r>
              <w:rPr>
                <w:rFonts w:hint="eastAsia" w:eastAsiaTheme="minorEastAsia"/>
                <w:szCs w:val="21"/>
              </w:rPr>
              <w:t>踏勘时间：</w:t>
            </w:r>
            <w:r>
              <w:rPr>
                <w:rFonts w:hint="eastAsia" w:eastAsiaTheme="minorEastAsia"/>
                <w:szCs w:val="21"/>
                <w:lang w:val="en-US" w:eastAsia="zh-CN"/>
              </w:rPr>
              <w:t>2017年7月4日上午10点（沙河校区）</w:t>
            </w:r>
          </w:p>
          <w:p>
            <w:pPr>
              <w:widowControl/>
              <w:snapToGrid w:val="0"/>
              <w:spacing w:line="400" w:lineRule="exact"/>
              <w:ind w:left="31" w:leftChars="15" w:firstLine="1470" w:firstLineChars="700"/>
              <w:jc w:val="left"/>
              <w:rPr>
                <w:rFonts w:hint="eastAsia" w:eastAsiaTheme="minorEastAsia"/>
                <w:szCs w:val="21"/>
                <w:lang w:val="en-US" w:eastAsia="zh-CN"/>
              </w:rPr>
            </w:pPr>
            <w:r>
              <w:rPr>
                <w:rFonts w:hint="eastAsia" w:eastAsiaTheme="minorEastAsia"/>
                <w:szCs w:val="21"/>
                <w:lang w:val="en-US" w:eastAsia="zh-CN"/>
              </w:rPr>
              <w:t>2017年7月4日下午2点(学院南路校区)</w:t>
            </w:r>
          </w:p>
          <w:p>
            <w:pPr>
              <w:widowControl/>
              <w:snapToGrid w:val="0"/>
              <w:spacing w:line="400" w:lineRule="exact"/>
              <w:ind w:left="31" w:leftChars="15" w:firstLine="420" w:firstLineChars="200"/>
              <w:jc w:val="left"/>
              <w:rPr>
                <w:rFonts w:eastAsiaTheme="minorEastAsia"/>
                <w:szCs w:val="21"/>
              </w:rPr>
            </w:pPr>
            <w:r>
              <w:rPr>
                <w:rFonts w:hint="eastAsia" w:eastAsiaTheme="minorEastAsia"/>
                <w:szCs w:val="21"/>
              </w:rPr>
              <w:t>踏勘地点：中央财经大学沙河校区学院五号楼</w:t>
            </w:r>
          </w:p>
          <w:p>
            <w:pPr>
              <w:widowControl/>
              <w:snapToGrid w:val="0"/>
              <w:spacing w:line="400" w:lineRule="exact"/>
              <w:ind w:left="31" w:leftChars="15" w:firstLine="420" w:firstLineChars="200"/>
              <w:jc w:val="left"/>
              <w:rPr>
                <w:rFonts w:eastAsiaTheme="minorEastAsia"/>
                <w:szCs w:val="21"/>
              </w:rPr>
            </w:pPr>
            <w:r>
              <w:rPr>
                <w:rFonts w:hint="eastAsia" w:eastAsiaTheme="minorEastAsia"/>
                <w:szCs w:val="21"/>
              </w:rPr>
              <w:t xml:space="preserve">          中央财经大学学院南路校区实验楼</w:t>
            </w:r>
          </w:p>
          <w:p>
            <w:pPr>
              <w:widowControl/>
              <w:snapToGrid w:val="0"/>
              <w:spacing w:line="400" w:lineRule="exact"/>
              <w:ind w:left="31" w:leftChars="15" w:firstLine="420" w:firstLineChars="200"/>
              <w:jc w:val="left"/>
              <w:rPr>
                <w:rFonts w:eastAsiaTheme="minorEastAsia"/>
                <w:szCs w:val="21"/>
              </w:rPr>
            </w:pPr>
            <w:r>
              <w:rPr>
                <w:rFonts w:hint="eastAsia" w:eastAsiaTheme="minorEastAsia"/>
                <w:szCs w:val="21"/>
              </w:rPr>
              <w:t>联系人：刘璀</w:t>
            </w:r>
          </w:p>
          <w:p>
            <w:pPr>
              <w:widowControl/>
              <w:snapToGrid w:val="0"/>
              <w:spacing w:line="400" w:lineRule="exact"/>
              <w:ind w:left="31" w:leftChars="15" w:firstLine="420" w:firstLineChars="200"/>
              <w:jc w:val="left"/>
              <w:rPr>
                <w:rFonts w:eastAsiaTheme="minorEastAsia"/>
                <w:szCs w:val="21"/>
              </w:rPr>
            </w:pPr>
            <w:r>
              <w:rPr>
                <w:rFonts w:hint="eastAsia" w:eastAsiaTheme="minorEastAsia"/>
                <w:szCs w:val="21"/>
              </w:rPr>
              <w:t>联系电话：</w:t>
            </w:r>
            <w:r>
              <w:rPr>
                <w:rFonts w:eastAsiaTheme="minorEastAsia"/>
                <w:szCs w:val="21"/>
              </w:rPr>
              <w:t>61776538 13810008229</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谈判响应文件有效期</w:t>
            </w:r>
          </w:p>
        </w:tc>
        <w:tc>
          <w:tcPr>
            <w:tcW w:w="5317" w:type="dxa"/>
            <w:vAlign w:val="center"/>
          </w:tcPr>
          <w:p>
            <w:pPr>
              <w:widowControl/>
              <w:snapToGrid w:val="0"/>
              <w:spacing w:line="400" w:lineRule="exact"/>
              <w:rPr>
                <w:rFonts w:eastAsiaTheme="minorEastAsia"/>
                <w:bCs/>
                <w:kern w:val="0"/>
                <w:szCs w:val="21"/>
              </w:rPr>
            </w:pPr>
            <w:r>
              <w:rPr>
                <w:rFonts w:eastAsiaTheme="minorEastAsia"/>
                <w:bCs/>
                <w:kern w:val="0"/>
                <w:szCs w:val="21"/>
              </w:rPr>
              <w:t>120日历天</w:t>
            </w:r>
            <w:r>
              <w:rPr>
                <w:rFonts w:eastAsiaTheme="minorEastAsia"/>
                <w:kern w:val="0"/>
                <w:szCs w:val="21"/>
              </w:rPr>
              <w:t>（自谈判之日起计；若谈判供应商被确定为成交人，则其响应文件有效期自动延续至合同履行完毕为止）</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bookmarkStart w:id="26" w:name="_Ref477981683"/>
          </w:p>
          <w:bookmarkEnd w:id="26"/>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谈判响应文件份数</w:t>
            </w:r>
          </w:p>
        </w:tc>
        <w:tc>
          <w:tcPr>
            <w:tcW w:w="5317" w:type="dxa"/>
            <w:vAlign w:val="center"/>
          </w:tcPr>
          <w:p>
            <w:pPr>
              <w:widowControl/>
              <w:snapToGrid w:val="0"/>
              <w:spacing w:line="400" w:lineRule="exact"/>
              <w:rPr>
                <w:rFonts w:eastAsiaTheme="minorEastAsia"/>
                <w:kern w:val="0"/>
                <w:szCs w:val="21"/>
              </w:rPr>
            </w:pPr>
            <w:r>
              <w:rPr>
                <w:rFonts w:eastAsiaTheme="minorEastAsia"/>
                <w:kern w:val="0"/>
                <w:szCs w:val="21"/>
              </w:rPr>
              <w:t>正本</w:t>
            </w:r>
            <w:r>
              <w:rPr>
                <w:rFonts w:eastAsiaTheme="minorEastAsia"/>
                <w:bCs/>
                <w:kern w:val="0"/>
                <w:szCs w:val="21"/>
                <w:u w:val="single"/>
              </w:rPr>
              <w:t xml:space="preserve"> 1 </w:t>
            </w:r>
            <w:r>
              <w:rPr>
                <w:rFonts w:eastAsiaTheme="minorEastAsia"/>
                <w:kern w:val="0"/>
                <w:szCs w:val="21"/>
              </w:rPr>
              <w:t>份、副本</w:t>
            </w:r>
            <w:r>
              <w:rPr>
                <w:rFonts w:eastAsiaTheme="minorEastAsia"/>
                <w:bCs/>
                <w:kern w:val="0"/>
                <w:szCs w:val="21"/>
                <w:u w:val="single"/>
              </w:rPr>
              <w:t xml:space="preserve"> 4</w:t>
            </w:r>
            <w:r>
              <w:rPr>
                <w:rFonts w:eastAsiaTheme="minorEastAsia"/>
                <w:kern w:val="0"/>
                <w:szCs w:val="21"/>
              </w:rPr>
              <w:t>份，报价一览表</w:t>
            </w:r>
            <w:r>
              <w:rPr>
                <w:rFonts w:eastAsiaTheme="minorEastAsia"/>
                <w:kern w:val="0"/>
                <w:szCs w:val="21"/>
                <w:u w:val="single"/>
              </w:rPr>
              <w:t>1</w:t>
            </w:r>
            <w:r>
              <w:rPr>
                <w:rFonts w:eastAsiaTheme="minorEastAsia"/>
                <w:kern w:val="0"/>
                <w:szCs w:val="21"/>
              </w:rPr>
              <w:t>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pacing w:line="400" w:lineRule="exact"/>
              <w:jc w:val="left"/>
              <w:rPr>
                <w:rFonts w:eastAsiaTheme="minorEastAsia"/>
                <w:bCs/>
                <w:kern w:val="0"/>
                <w:szCs w:val="21"/>
              </w:rPr>
            </w:pPr>
            <w:r>
              <w:rPr>
                <w:rFonts w:eastAsiaTheme="minorEastAsia"/>
                <w:bCs/>
                <w:kern w:val="0"/>
                <w:szCs w:val="21"/>
              </w:rPr>
              <w:t>本项目采购预算</w:t>
            </w:r>
          </w:p>
        </w:tc>
        <w:tc>
          <w:tcPr>
            <w:tcW w:w="5317" w:type="dxa"/>
            <w:vAlign w:val="center"/>
          </w:tcPr>
          <w:p>
            <w:pPr>
              <w:widowControl/>
              <w:snapToGrid w:val="0"/>
              <w:spacing w:line="400" w:lineRule="exact"/>
              <w:rPr>
                <w:rFonts w:eastAsiaTheme="minorEastAsia"/>
                <w:bCs/>
                <w:kern w:val="0"/>
                <w:szCs w:val="21"/>
              </w:rPr>
            </w:pPr>
            <w:r>
              <w:rPr>
                <w:rFonts w:eastAsiaTheme="minorEastAsia"/>
                <w:bCs/>
                <w:kern w:val="0"/>
                <w:szCs w:val="21"/>
              </w:rPr>
              <w:t>本项目预算为：</w:t>
            </w:r>
            <w:r>
              <w:rPr>
                <w:rFonts w:eastAsiaTheme="minorEastAsia"/>
                <w:b/>
                <w:bCs/>
                <w:color w:val="FF0000"/>
                <w:kern w:val="0"/>
                <w:szCs w:val="21"/>
              </w:rPr>
              <w:fldChar w:fldCharType="begin"/>
            </w:r>
            <w:r>
              <w:rPr>
                <w:rFonts w:eastAsiaTheme="minorEastAsia"/>
                <w:b/>
                <w:bCs/>
                <w:kern w:val="0"/>
                <w:szCs w:val="21"/>
              </w:rPr>
              <w:instrText xml:space="preserve"> REF 预算 \h </w:instrText>
            </w:r>
            <w:r>
              <w:rPr>
                <w:rFonts w:eastAsiaTheme="minorEastAsia"/>
                <w:b/>
                <w:bCs/>
                <w:color w:val="FF0000"/>
                <w:kern w:val="0"/>
                <w:szCs w:val="21"/>
              </w:rPr>
              <w:instrText xml:space="preserve"> \* MERGEFORMAT </w:instrText>
            </w:r>
            <w:r>
              <w:rPr>
                <w:rFonts w:eastAsiaTheme="minorEastAsia"/>
                <w:b/>
                <w:bCs/>
                <w:color w:val="FF0000"/>
                <w:kern w:val="0"/>
                <w:szCs w:val="21"/>
              </w:rPr>
              <w:fldChar w:fldCharType="separate"/>
            </w:r>
            <w:r>
              <w:rPr>
                <w:b/>
                <w:bCs/>
              </w:rPr>
              <w:t>46万元</w:t>
            </w:r>
            <w:r>
              <w:rPr>
                <w:rFonts w:eastAsiaTheme="minorEastAsia"/>
                <w:b/>
                <w:bCs/>
                <w:color w:val="FF0000"/>
                <w:kern w:val="0"/>
                <w:szCs w:val="21"/>
              </w:rPr>
              <w:fldChar w:fldCharType="end"/>
            </w:r>
            <w:r>
              <w:rPr>
                <w:rFonts w:eastAsiaTheme="minorEastAsia"/>
                <w:bCs/>
                <w:kern w:val="0"/>
                <w:szCs w:val="21"/>
              </w:rPr>
              <w:t>。谈判供应商报价或最终报价超过预算限价的，报价均将被拒绝。</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848" w:type="dxa"/>
          </w:tcPr>
          <w:p>
            <w:pPr>
              <w:pStyle w:val="46"/>
              <w:widowControl/>
              <w:numPr>
                <w:ilvl w:val="0"/>
                <w:numId w:val="4"/>
              </w:numPr>
              <w:snapToGrid w:val="0"/>
              <w:spacing w:line="400" w:lineRule="exact"/>
              <w:ind w:firstLineChars="0"/>
              <w:jc w:val="left"/>
              <w:rPr>
                <w:rFonts w:eastAsiaTheme="minorEastAsia"/>
                <w:bCs/>
                <w:kern w:val="0"/>
                <w:szCs w:val="21"/>
              </w:rPr>
            </w:pPr>
          </w:p>
        </w:tc>
        <w:tc>
          <w:tcPr>
            <w:tcW w:w="2019" w:type="dxa"/>
            <w:vAlign w:val="center"/>
          </w:tcPr>
          <w:p>
            <w:pPr>
              <w:widowControl/>
              <w:snapToGrid w:val="0"/>
              <w:spacing w:line="400" w:lineRule="exact"/>
              <w:jc w:val="left"/>
              <w:rPr>
                <w:rFonts w:eastAsiaTheme="minorEastAsia"/>
                <w:bCs/>
                <w:kern w:val="0"/>
                <w:szCs w:val="21"/>
              </w:rPr>
            </w:pPr>
            <w:r>
              <w:rPr>
                <w:rFonts w:eastAsiaTheme="minorEastAsia"/>
                <w:bCs/>
                <w:kern w:val="0"/>
                <w:szCs w:val="21"/>
              </w:rPr>
              <w:t>其它事项</w:t>
            </w:r>
          </w:p>
        </w:tc>
        <w:tc>
          <w:tcPr>
            <w:tcW w:w="5317" w:type="dxa"/>
            <w:vAlign w:val="center"/>
          </w:tcPr>
          <w:p>
            <w:pPr>
              <w:widowControl/>
              <w:snapToGrid w:val="0"/>
              <w:spacing w:line="400" w:lineRule="exact"/>
              <w:rPr>
                <w:rFonts w:eastAsiaTheme="minorEastAsia"/>
                <w:kern w:val="0"/>
                <w:szCs w:val="21"/>
              </w:rPr>
            </w:pPr>
            <w:r>
              <w:rPr>
                <w:rFonts w:eastAsiaTheme="minorEastAsia"/>
                <w:bCs/>
                <w:szCs w:val="21"/>
              </w:rPr>
              <w:t>请谈判供应商格外注意本谈判文件中加粗、变色、加*号部分的内容，这些内容如果谈判供应商未做出完全的实质性响应，将给谈判供应商带来不利后果。谈判供应商应在谈判响应文件密封装袋前仔细核对相关内容，以避免给自己带来不利后果或者不必要的损失。</w:t>
            </w:r>
          </w:p>
        </w:tc>
      </w:tr>
    </w:tbl>
    <w:p>
      <w:pPr>
        <w:snapToGrid w:val="0"/>
        <w:spacing w:line="400" w:lineRule="exact"/>
        <w:ind w:firstLine="420" w:firstLineChars="200"/>
        <w:rPr>
          <w:rFonts w:eastAsiaTheme="minorEastAsia"/>
          <w:szCs w:val="21"/>
        </w:rPr>
      </w:pPr>
      <w:r>
        <w:rPr>
          <w:rFonts w:eastAsiaTheme="minorEastAsia"/>
          <w:szCs w:val="21"/>
        </w:rPr>
        <w:t>注：1、对本表所称复印件要求，扫描件及照片件与其具有同等效力；</w:t>
      </w:r>
    </w:p>
    <w:p>
      <w:pPr>
        <w:numPr>
          <w:ilvl w:val="0"/>
          <w:numId w:val="8"/>
        </w:numPr>
        <w:snapToGrid w:val="0"/>
        <w:spacing w:line="400" w:lineRule="exact"/>
        <w:ind w:firstLine="420" w:firstLineChars="200"/>
        <w:rPr>
          <w:rFonts w:eastAsiaTheme="minorEastAsia"/>
          <w:szCs w:val="21"/>
        </w:rPr>
      </w:pPr>
      <w:r>
        <w:rPr>
          <w:rFonts w:eastAsiaTheme="minorEastAsia"/>
          <w:szCs w:val="21"/>
        </w:rPr>
        <w:t>谈判须知或谈判文件其余部分与前附表如有歧义，以前附表为准；</w:t>
      </w:r>
    </w:p>
    <w:p>
      <w:pPr>
        <w:snapToGrid w:val="0"/>
        <w:spacing w:line="400" w:lineRule="exact"/>
        <w:ind w:firstLine="420" w:firstLineChars="200"/>
        <w:rPr>
          <w:rFonts w:eastAsiaTheme="minorEastAsia"/>
          <w:szCs w:val="21"/>
        </w:rPr>
      </w:pPr>
      <w:r>
        <w:rPr>
          <w:rFonts w:eastAsiaTheme="minorEastAsia"/>
          <w:szCs w:val="21"/>
        </w:rPr>
        <w:t>3、对上述提及的证书、检测报告等复印件要求，谈判小组或采购人有权在谈判过程中或合同签订前视需要查验原件。</w:t>
      </w:r>
    </w:p>
    <w:p>
      <w:pPr>
        <w:pStyle w:val="3"/>
        <w:spacing w:line="415" w:lineRule="auto"/>
        <w:ind w:left="420" w:hanging="420"/>
        <w:jc w:val="center"/>
        <w:rPr>
          <w:rFonts w:ascii="Times New Roman" w:hAnsi="Times New Roman" w:eastAsiaTheme="minorEastAsia"/>
          <w:b w:val="0"/>
          <w:bCs w:val="0"/>
          <w:kern w:val="0"/>
          <w:sz w:val="21"/>
          <w:szCs w:val="21"/>
        </w:rPr>
      </w:pPr>
      <w:r>
        <w:rPr>
          <w:rFonts w:ascii="Times New Roman" w:hAnsi="Times New Roman" w:eastAsiaTheme="majorEastAsia"/>
        </w:rPr>
        <w:br w:type="page"/>
      </w:r>
      <w:bookmarkStart w:id="27" w:name="_Toc477981711"/>
      <w:bookmarkStart w:id="28" w:name="_Ref477964012"/>
      <w:r>
        <w:rPr>
          <w:rFonts w:ascii="Times New Roman" w:hAnsi="Times New Roman" w:eastAsiaTheme="majorEastAsia"/>
        </w:rPr>
        <w:t>第三部分  响应人须知</w:t>
      </w:r>
      <w:bookmarkEnd w:id="27"/>
      <w:bookmarkEnd w:id="28"/>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29" w:name="_Toc477981712"/>
      <w:r>
        <w:rPr>
          <w:rFonts w:ascii="Times New Roman" w:hAnsi="Times New Roman" w:eastAsiaTheme="minorEastAsia"/>
          <w:bCs/>
          <w:kern w:val="2"/>
          <w:sz w:val="32"/>
          <w:szCs w:val="32"/>
        </w:rPr>
        <w:t>总  则</w:t>
      </w:r>
      <w:bookmarkEnd w:id="29"/>
    </w:p>
    <w:p>
      <w:pPr>
        <w:widowControl/>
        <w:snapToGrid w:val="0"/>
        <w:spacing w:line="400" w:lineRule="exact"/>
        <w:ind w:firstLine="420" w:firstLineChars="200"/>
        <w:rPr>
          <w:rFonts w:eastAsiaTheme="minorEastAsia"/>
          <w:kern w:val="0"/>
          <w:szCs w:val="21"/>
        </w:rPr>
      </w:pPr>
      <w:r>
        <w:rPr>
          <w:rFonts w:eastAsiaTheme="minorEastAsia"/>
          <w:kern w:val="0"/>
          <w:szCs w:val="21"/>
        </w:rPr>
        <w:t>本文件适用于</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所述货物及服务的竞争性谈判。</w:t>
      </w:r>
    </w:p>
    <w:p>
      <w:pPr>
        <w:pStyle w:val="5"/>
        <w:numPr>
          <w:ilvl w:val="3"/>
          <w:numId w:val="1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定义</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u w:val="single"/>
        </w:rPr>
        <w:fldChar w:fldCharType="begin"/>
      </w:r>
      <w:r>
        <w:rPr>
          <w:rFonts w:eastAsiaTheme="minorEastAsia"/>
          <w:kern w:val="0"/>
          <w:szCs w:val="21"/>
        </w:rPr>
        <w:instrText xml:space="preserve"> REF _Ref477981437 \n \h </w:instrText>
      </w:r>
      <w:r>
        <w:rPr>
          <w:rFonts w:eastAsiaTheme="minorEastAsia"/>
          <w:kern w:val="0"/>
          <w:szCs w:val="21"/>
          <w:u w:val="single"/>
        </w:rPr>
        <w:fldChar w:fldCharType="separate"/>
      </w:r>
      <w:r>
        <w:rPr>
          <w:rFonts w:eastAsiaTheme="minorEastAsia"/>
          <w:kern w:val="0"/>
          <w:szCs w:val="21"/>
        </w:rPr>
        <w:t>1</w:t>
      </w:r>
      <w:r>
        <w:rPr>
          <w:rFonts w:eastAsiaTheme="minorEastAsia"/>
          <w:kern w:val="0"/>
          <w:szCs w:val="21"/>
          <w:u w:val="single"/>
        </w:rPr>
        <w:fldChar w:fldCharType="end"/>
      </w:r>
      <w:r>
        <w:rPr>
          <w:rFonts w:eastAsiaTheme="minorEastAsia"/>
          <w:kern w:val="0"/>
          <w:szCs w:val="21"/>
        </w:rPr>
        <w:t>项。</w:t>
      </w:r>
    </w:p>
    <w:p>
      <w:pPr>
        <w:widowControl/>
        <w:snapToGrid w:val="0"/>
        <w:spacing w:line="400" w:lineRule="exact"/>
        <w:ind w:firstLine="420" w:firstLineChars="200"/>
        <w:rPr>
          <w:rFonts w:eastAsiaTheme="minorEastAsia"/>
          <w:kern w:val="0"/>
          <w:szCs w:val="21"/>
        </w:rPr>
      </w:pPr>
      <w:r>
        <w:rPr>
          <w:rFonts w:eastAsiaTheme="minorEastAsia"/>
          <w:kern w:val="0"/>
          <w:szCs w:val="21"/>
        </w:rPr>
        <w:t>“货物”指本文件中</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所述相关货物和服务。</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“谈判供应商”指获得竞争性谈判文件并参加谈判的供应商。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“成交供应商”指经谈判小组审查通过，采购中心向其发出《成交通知书》并授予其成交合同的谈判供应商。</w:t>
      </w:r>
    </w:p>
    <w:p>
      <w:pPr>
        <w:pStyle w:val="5"/>
        <w:numPr>
          <w:ilvl w:val="3"/>
          <w:numId w:val="1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合格供应商的条件</w:t>
      </w:r>
    </w:p>
    <w:p>
      <w:pPr>
        <w:widowControl/>
        <w:snapToGrid w:val="0"/>
        <w:spacing w:line="400" w:lineRule="exact"/>
        <w:ind w:firstLine="420" w:firstLineChars="200"/>
        <w:rPr>
          <w:rFonts w:eastAsiaTheme="minorEastAsia"/>
          <w:kern w:val="0"/>
          <w:szCs w:val="21"/>
        </w:rPr>
      </w:pPr>
      <w:r>
        <w:rPr>
          <w:rFonts w:eastAsiaTheme="minorEastAsia"/>
          <w:kern w:val="0"/>
          <w:szCs w:val="21"/>
        </w:rPr>
        <w:t>接受谈判小组邀请，获得竞争性谈判文件，具有本项目服务能力，符合、承认并承诺履行本文件各项规定的国内法人和其他组织。</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谈判供应商应遵守有关的国家法律、法规和条例，具备《中华人民共和国政府采购法》和本文件中规定的条件：</w:t>
      </w:r>
    </w:p>
    <w:p>
      <w:pPr>
        <w:pStyle w:val="46"/>
        <w:widowControl/>
        <w:numPr>
          <w:ilvl w:val="1"/>
          <w:numId w:val="11"/>
        </w:numPr>
        <w:spacing w:line="400" w:lineRule="exact"/>
        <w:ind w:firstLineChars="0"/>
        <w:rPr>
          <w:rFonts w:eastAsiaTheme="minorEastAsia"/>
          <w:kern w:val="0"/>
          <w:szCs w:val="21"/>
        </w:rPr>
      </w:pPr>
      <w:r>
        <w:rPr>
          <w:rFonts w:eastAsiaTheme="minorEastAsia"/>
          <w:kern w:val="0"/>
          <w:szCs w:val="21"/>
        </w:rPr>
        <w:t>具有独立承担民事责任的能力；</w:t>
      </w:r>
    </w:p>
    <w:p>
      <w:pPr>
        <w:pStyle w:val="46"/>
        <w:widowControl/>
        <w:numPr>
          <w:ilvl w:val="1"/>
          <w:numId w:val="11"/>
        </w:numPr>
        <w:spacing w:line="400" w:lineRule="exact"/>
        <w:ind w:firstLineChars="0"/>
        <w:rPr>
          <w:rFonts w:eastAsiaTheme="minorEastAsia"/>
          <w:kern w:val="0"/>
          <w:szCs w:val="21"/>
        </w:rPr>
      </w:pPr>
      <w:r>
        <w:rPr>
          <w:rFonts w:eastAsiaTheme="minorEastAsia"/>
          <w:kern w:val="0"/>
          <w:szCs w:val="21"/>
        </w:rPr>
        <w:t>具有良好的商业信誉和健全的财务会计制度；</w:t>
      </w:r>
    </w:p>
    <w:p>
      <w:pPr>
        <w:pStyle w:val="46"/>
        <w:widowControl/>
        <w:numPr>
          <w:ilvl w:val="1"/>
          <w:numId w:val="11"/>
        </w:numPr>
        <w:spacing w:line="400" w:lineRule="exact"/>
        <w:ind w:firstLineChars="0"/>
        <w:rPr>
          <w:rFonts w:eastAsiaTheme="minorEastAsia"/>
          <w:kern w:val="0"/>
          <w:szCs w:val="21"/>
        </w:rPr>
      </w:pPr>
      <w:r>
        <w:rPr>
          <w:rFonts w:eastAsiaTheme="minorEastAsia"/>
          <w:kern w:val="0"/>
          <w:szCs w:val="21"/>
        </w:rPr>
        <w:t>具有履行合同所必需的设备和专业技术能力；</w:t>
      </w:r>
    </w:p>
    <w:p>
      <w:pPr>
        <w:pStyle w:val="46"/>
        <w:widowControl/>
        <w:numPr>
          <w:ilvl w:val="1"/>
          <w:numId w:val="11"/>
        </w:numPr>
        <w:spacing w:line="400" w:lineRule="exact"/>
        <w:ind w:firstLineChars="0"/>
        <w:rPr>
          <w:rFonts w:eastAsiaTheme="minorEastAsia"/>
          <w:kern w:val="0"/>
          <w:szCs w:val="21"/>
        </w:rPr>
      </w:pPr>
      <w:r>
        <w:rPr>
          <w:rFonts w:eastAsiaTheme="minorEastAsia"/>
          <w:kern w:val="0"/>
          <w:szCs w:val="21"/>
        </w:rPr>
        <w:t>具有依法缴纳税收和社会保障资金的良好记录；</w:t>
      </w:r>
    </w:p>
    <w:p>
      <w:pPr>
        <w:pStyle w:val="46"/>
        <w:widowControl/>
        <w:numPr>
          <w:ilvl w:val="1"/>
          <w:numId w:val="11"/>
        </w:numPr>
        <w:spacing w:line="400" w:lineRule="exact"/>
        <w:ind w:firstLineChars="0"/>
        <w:rPr>
          <w:rFonts w:eastAsiaTheme="minorEastAsia"/>
          <w:kern w:val="0"/>
          <w:szCs w:val="21"/>
        </w:rPr>
      </w:pPr>
      <w:r>
        <w:rPr>
          <w:rFonts w:eastAsiaTheme="minorEastAsia"/>
          <w:kern w:val="0"/>
          <w:szCs w:val="21"/>
        </w:rPr>
        <w:t>参加此项采购活动前三年内，在经营活动中没有重大违法记录；</w:t>
      </w:r>
    </w:p>
    <w:p>
      <w:pPr>
        <w:pStyle w:val="46"/>
        <w:widowControl/>
        <w:numPr>
          <w:ilvl w:val="1"/>
          <w:numId w:val="11"/>
        </w:numPr>
        <w:spacing w:line="400" w:lineRule="exact"/>
        <w:ind w:firstLineChars="0"/>
        <w:rPr>
          <w:rFonts w:eastAsiaTheme="minorEastAsia"/>
          <w:kern w:val="0"/>
          <w:szCs w:val="21"/>
        </w:rPr>
      </w:pPr>
      <w:r>
        <w:rPr>
          <w:rFonts w:eastAsiaTheme="minorEastAsia"/>
          <w:kern w:val="0"/>
          <w:szCs w:val="21"/>
        </w:rPr>
        <w:t>谈判供应商资质要求：详见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_Ref477981505 \r \h </w:instrText>
      </w:r>
      <w:r>
        <w:rPr>
          <w:rFonts w:eastAsiaTheme="minorEastAsia"/>
          <w:kern w:val="0"/>
          <w:szCs w:val="21"/>
        </w:rPr>
        <w:fldChar w:fldCharType="separate"/>
      </w:r>
      <w:r>
        <w:rPr>
          <w:rFonts w:eastAsiaTheme="minorEastAsia"/>
          <w:kern w:val="0"/>
          <w:szCs w:val="21"/>
        </w:rPr>
        <w:t>2</w:t>
      </w:r>
      <w:r>
        <w:rPr>
          <w:rFonts w:eastAsiaTheme="minorEastAsia"/>
          <w:kern w:val="0"/>
          <w:szCs w:val="21"/>
        </w:rPr>
        <w:fldChar w:fldCharType="end"/>
      </w:r>
      <w:r>
        <w:rPr>
          <w:rFonts w:eastAsiaTheme="minorEastAsia"/>
          <w:kern w:val="0"/>
          <w:szCs w:val="21"/>
        </w:rPr>
        <w:t>项。</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不应与“在本次谈判中，为采购中心设计编制技术规格、评审方法和其他文件的公司及其附属机构”有任何隶属关系和利益联系。只有在法律上和财务上独立运作并独立于采购中心的供应商才能参加谈判。</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如果谈判供应商代表不是法定代表人，须持有《法定代表人授权委托书》(必须按</w:t>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_Ref477961953 \h </w:instrText>
      </w:r>
      <w:r>
        <w:rPr>
          <w:rFonts w:eastAsiaTheme="minorEastAsia"/>
          <w:kern w:val="0"/>
          <w:szCs w:val="21"/>
        </w:rPr>
        <w:fldChar w:fldCharType="separate"/>
      </w:r>
      <w:r>
        <w:rPr>
          <w:rFonts w:eastAsiaTheme="majorEastAsia"/>
        </w:rPr>
        <w:t>第六部分  谈判响应文件格式</w:t>
      </w:r>
      <w:r>
        <w:rPr>
          <w:rFonts w:eastAsiaTheme="minorEastAsia"/>
          <w:kern w:val="0"/>
          <w:szCs w:val="21"/>
        </w:rPr>
        <w:fldChar w:fldCharType="end"/>
      </w:r>
      <w:r>
        <w:rPr>
          <w:rFonts w:hint="eastAsia" w:eastAsiaTheme="minorEastAsia"/>
          <w:kern w:val="0"/>
          <w:szCs w:val="21"/>
        </w:rPr>
        <w:t>”</w:t>
      </w:r>
      <w:r>
        <w:rPr>
          <w:rFonts w:eastAsiaTheme="minorEastAsia"/>
          <w:kern w:val="0"/>
          <w:szCs w:val="21"/>
        </w:rPr>
        <w:t>统一格式填写)。</w:t>
      </w:r>
    </w:p>
    <w:p>
      <w:pPr>
        <w:pStyle w:val="5"/>
        <w:numPr>
          <w:ilvl w:val="3"/>
          <w:numId w:val="1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代理商</w:t>
      </w:r>
    </w:p>
    <w:p>
      <w:pPr>
        <w:widowControl/>
        <w:snapToGrid w:val="0"/>
        <w:spacing w:line="400" w:lineRule="exact"/>
        <w:ind w:firstLine="420" w:firstLineChars="200"/>
        <w:rPr>
          <w:rFonts w:eastAsiaTheme="minorEastAsia"/>
          <w:kern w:val="0"/>
          <w:szCs w:val="21"/>
        </w:rPr>
      </w:pPr>
      <w:r>
        <w:rPr>
          <w:rFonts w:eastAsiaTheme="minorEastAsia"/>
          <w:kern w:val="0"/>
          <w:szCs w:val="21"/>
        </w:rPr>
        <w:t>本次谈判是否允许代理商（供应商提供的货物不是自己制造的，下同）参与，详见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_Ref477981529 \r \h </w:instrText>
      </w:r>
      <w:r>
        <w:rPr>
          <w:rFonts w:eastAsiaTheme="minorEastAsia"/>
          <w:kern w:val="0"/>
          <w:szCs w:val="21"/>
        </w:rPr>
        <w:fldChar w:fldCharType="separate"/>
      </w:r>
      <w:r>
        <w:rPr>
          <w:rFonts w:eastAsiaTheme="minorEastAsia"/>
          <w:kern w:val="0"/>
          <w:szCs w:val="21"/>
        </w:rPr>
        <w:t>3</w:t>
      </w:r>
      <w:r>
        <w:rPr>
          <w:rFonts w:eastAsiaTheme="minorEastAsia"/>
          <w:kern w:val="0"/>
          <w:szCs w:val="21"/>
        </w:rPr>
        <w:fldChar w:fldCharType="end"/>
      </w:r>
      <w:r>
        <w:rPr>
          <w:rFonts w:eastAsiaTheme="minorEastAsia"/>
          <w:kern w:val="0"/>
          <w:szCs w:val="21"/>
        </w:rPr>
        <w:t>项。如果允许代理商参与，代理商应遵守下列要求：</w:t>
      </w:r>
    </w:p>
    <w:p>
      <w:pPr>
        <w:pStyle w:val="46"/>
        <w:widowControl/>
        <w:numPr>
          <w:ilvl w:val="0"/>
          <w:numId w:val="12"/>
        </w:numPr>
        <w:spacing w:line="400" w:lineRule="exact"/>
        <w:ind w:firstLineChars="0"/>
        <w:rPr>
          <w:rFonts w:eastAsiaTheme="minorEastAsia"/>
          <w:kern w:val="0"/>
          <w:szCs w:val="21"/>
        </w:rPr>
      </w:pPr>
      <w:r>
        <w:rPr>
          <w:rFonts w:eastAsiaTheme="minorEastAsia"/>
          <w:kern w:val="0"/>
          <w:szCs w:val="21"/>
        </w:rPr>
        <w:t>按</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_Ref477981542 \r \h </w:instrText>
      </w:r>
      <w:r>
        <w:rPr>
          <w:rFonts w:eastAsiaTheme="minorEastAsia"/>
          <w:kern w:val="0"/>
          <w:szCs w:val="21"/>
        </w:rPr>
        <w:fldChar w:fldCharType="separate"/>
      </w:r>
      <w:r>
        <w:rPr>
          <w:rFonts w:eastAsiaTheme="minorEastAsia"/>
          <w:kern w:val="0"/>
          <w:szCs w:val="21"/>
        </w:rPr>
        <w:t>4</w:t>
      </w:r>
      <w:r>
        <w:rPr>
          <w:rFonts w:eastAsiaTheme="minorEastAsia"/>
          <w:kern w:val="0"/>
          <w:szCs w:val="21"/>
        </w:rPr>
        <w:fldChar w:fldCharType="end"/>
      </w:r>
      <w:r>
        <w:rPr>
          <w:rFonts w:eastAsiaTheme="minorEastAsia"/>
          <w:kern w:val="0"/>
          <w:szCs w:val="21"/>
        </w:rPr>
        <w:t>项规定提供相关证明材料。</w:t>
      </w:r>
    </w:p>
    <w:p>
      <w:pPr>
        <w:pStyle w:val="46"/>
        <w:widowControl/>
        <w:numPr>
          <w:ilvl w:val="0"/>
          <w:numId w:val="12"/>
        </w:numPr>
        <w:spacing w:line="400" w:lineRule="exact"/>
        <w:ind w:firstLineChars="0"/>
        <w:rPr>
          <w:rFonts w:eastAsiaTheme="minorEastAsia"/>
          <w:kern w:val="0"/>
          <w:szCs w:val="21"/>
        </w:rPr>
      </w:pPr>
      <w:r>
        <w:rPr>
          <w:rFonts w:eastAsiaTheme="minorEastAsia"/>
          <w:kern w:val="0"/>
          <w:szCs w:val="21"/>
        </w:rPr>
        <w:t>如果本次谈判需要代理商提交货物生产制造厂商的授权，代理商应当按照</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中列出的厂家授权的设备清单提供授权。</w:t>
      </w:r>
    </w:p>
    <w:p>
      <w:pPr>
        <w:pStyle w:val="5"/>
        <w:numPr>
          <w:ilvl w:val="3"/>
          <w:numId w:val="1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联合体</w:t>
      </w:r>
    </w:p>
    <w:p>
      <w:pPr>
        <w:widowControl/>
        <w:snapToGrid w:val="0"/>
        <w:spacing w:line="400" w:lineRule="exact"/>
        <w:ind w:firstLine="420" w:firstLineChars="200"/>
        <w:rPr>
          <w:rFonts w:eastAsiaTheme="minorEastAsia"/>
          <w:kern w:val="0"/>
          <w:szCs w:val="21"/>
        </w:rPr>
      </w:pPr>
      <w:r>
        <w:rPr>
          <w:rFonts w:eastAsiaTheme="minorEastAsia"/>
          <w:kern w:val="0"/>
          <w:szCs w:val="21"/>
        </w:rPr>
        <w:t>本次谈判是否允许由两个以上供应商组成一个联合体以一个谈判供应商身份共同参与，详见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u w:val="single"/>
        </w:rPr>
        <w:t>第</w:t>
      </w:r>
      <w:r>
        <w:rPr>
          <w:rFonts w:eastAsiaTheme="minorEastAsia"/>
          <w:kern w:val="0"/>
          <w:szCs w:val="21"/>
          <w:u w:val="single"/>
        </w:rPr>
        <w:fldChar w:fldCharType="begin"/>
      </w:r>
      <w:r>
        <w:rPr>
          <w:rFonts w:eastAsiaTheme="minorEastAsia"/>
          <w:kern w:val="0"/>
          <w:szCs w:val="21"/>
          <w:u w:val="single"/>
        </w:rPr>
        <w:instrText xml:space="preserve"> REF _Ref477981569 \r \h </w:instrText>
      </w:r>
      <w:r>
        <w:rPr>
          <w:rFonts w:eastAsiaTheme="minorEastAsia"/>
          <w:kern w:val="0"/>
          <w:szCs w:val="21"/>
          <w:u w:val="single"/>
        </w:rPr>
        <w:fldChar w:fldCharType="separate"/>
      </w:r>
      <w:r>
        <w:rPr>
          <w:rFonts w:eastAsiaTheme="minorEastAsia"/>
          <w:kern w:val="0"/>
          <w:szCs w:val="21"/>
          <w:u w:val="single"/>
        </w:rPr>
        <w:t>6</w:t>
      </w:r>
      <w:r>
        <w:rPr>
          <w:rFonts w:eastAsiaTheme="minorEastAsia"/>
          <w:kern w:val="0"/>
          <w:szCs w:val="21"/>
          <w:u w:val="single"/>
        </w:rPr>
        <w:fldChar w:fldCharType="end"/>
      </w:r>
      <w:r>
        <w:rPr>
          <w:rFonts w:eastAsiaTheme="minorEastAsia"/>
          <w:kern w:val="0"/>
          <w:szCs w:val="21"/>
          <w:u w:val="single"/>
        </w:rPr>
        <w:t>项</w:t>
      </w:r>
      <w:r>
        <w:rPr>
          <w:rFonts w:eastAsiaTheme="minorEastAsia"/>
          <w:kern w:val="0"/>
          <w:szCs w:val="21"/>
        </w:rPr>
        <w:t>。如果允许联合体参与，联合体各方除符合上述各项规定外，还应符合下列要求：</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联合体应提供“联合协议书”，该协议书对联合各方均具有法律约束力。 联合体必须确定 其中一方为全权代表参加谈判活动，并承担谈判及履约活动中的全部责任与义务，且联合体各方无论是否实际参加、发生的情形怎样，一旦该联合体实际开始参与谈判，联合体各方均应当就本次采购所引起或相关的任何事项、义务、责任、损失等承担连带责任。申请参与本项目的联合体成员各自均应具备政府有权机构核发的有效《企业法人营业执照》；均应是自主经营、独立核算、处于持续正常经营状态的经济实体；均应具有相应的行政主管部门核发的资质证书；均应在联合体各自分工范围内具备同类项目经历与业绩，在设备、人员、资金、安全、质量保证及环境保护等方面具有圆满完成本项目的能力。</w:t>
      </w:r>
    </w:p>
    <w:p>
      <w:pPr>
        <w:widowControl/>
        <w:snapToGrid w:val="0"/>
        <w:spacing w:line="400" w:lineRule="exact"/>
        <w:ind w:firstLine="420" w:firstLineChars="200"/>
        <w:rPr>
          <w:rFonts w:eastAsiaTheme="minorEastAsia"/>
          <w:kern w:val="0"/>
          <w:szCs w:val="21"/>
        </w:rPr>
      </w:pPr>
      <w:r>
        <w:rPr>
          <w:rFonts w:eastAsiaTheme="minorEastAsia"/>
          <w:kern w:val="0"/>
          <w:szCs w:val="21"/>
        </w:rPr>
        <w:t>由同一专业的供应商组成的联合体，在联合体内部分工职责范围内，按照资质等级较低    的供应商确定资质等级。</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联合体成员至少应当有一方满足本项目规定的相应资质条件，并且联合体整体应当符合本项目的资质要求，否则将被拒绝。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成交后，成交合同应由各成员的合法授权代表签字并加盖各成员公章，对联合体成员作为整体和他们各自作为独立体均具有法律约束力，但若该等签字及/或公章不齐全或缺乏，该联合体全权代表的签署或类似的意思表示人具有代表该联合体的签署及/或意思表示的法律效力，并且据此各成员为履行合同应向采购中心/采购人/任何相关第三方承担连带责任。</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及/或其成员通过协议、控股或分支机构或其它方式就供货及/或服务等与任何独立或非独立的他方构成联合、分属或其它关系、相关责任义务等，均由联合体及/或其成员与该他方自行协商约定，联合体及/或其成员与该他方之间的约定均仅属于其间分担权利义务与责任的办法，对采购中心/采购人/相关第三方均不具有任何约束或效力，且一旦发生与本项目谈判、协议及其履行相关的责任，均仅应由联合体及/或其成员与该他方各自或承担连带责任，而联合体及/或其成员依据本次谈判原所应承担的对采购中心/采购人/相关第三方的责任均并不因此被减、免。</w:t>
      </w:r>
    </w:p>
    <w:p>
      <w:pPr>
        <w:widowControl/>
        <w:snapToGrid w:val="0"/>
        <w:spacing w:line="400" w:lineRule="exact"/>
        <w:ind w:firstLine="420" w:firstLineChars="200"/>
        <w:rPr>
          <w:rFonts w:eastAsiaTheme="minorEastAsia"/>
          <w:kern w:val="0"/>
          <w:szCs w:val="21"/>
        </w:rPr>
      </w:pPr>
      <w:r>
        <w:rPr>
          <w:rFonts w:eastAsiaTheme="minorEastAsia"/>
          <w:kern w:val="0"/>
          <w:szCs w:val="21"/>
        </w:rPr>
        <w:t>联合体或其成员未经采购人书面同意，不得将其合同项下的权利或义务全部或部分转让给第三人，有关分包事项或服务委托等须事先取得采购人书面同意并且须遵守相关法律、法规、本次谈判的全部相关规定。</w:t>
      </w:r>
    </w:p>
    <w:p>
      <w:pPr>
        <w:widowControl/>
        <w:snapToGrid w:val="0"/>
        <w:spacing w:line="400" w:lineRule="exact"/>
        <w:ind w:firstLine="420" w:firstLineChars="200"/>
        <w:rPr>
          <w:rFonts w:eastAsiaTheme="minorEastAsia"/>
          <w:b/>
          <w:bCs/>
          <w:kern w:val="0"/>
          <w:szCs w:val="21"/>
        </w:rPr>
      </w:pPr>
      <w:r>
        <w:rPr>
          <w:rFonts w:eastAsiaTheme="minorEastAsia"/>
          <w:kern w:val="0"/>
          <w:szCs w:val="21"/>
        </w:rPr>
        <w:t>联合体各方均不得同时再以自己独立的名义单独参与，也不得再同时参加本项目其他联合体。若该等情形被发现，其谈判将被拒绝。</w:t>
      </w:r>
    </w:p>
    <w:p>
      <w:pPr>
        <w:pStyle w:val="5"/>
        <w:numPr>
          <w:ilvl w:val="3"/>
          <w:numId w:val="10"/>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谈判费用</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谈判供应商应承担所有与准备和参加谈判有关的费用，采购人在任何情况下均无义务和责任承担这些费用。</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0" w:name="_Toc477981713"/>
      <w:r>
        <w:rPr>
          <w:rFonts w:ascii="Times New Roman" w:hAnsi="Times New Roman" w:eastAsiaTheme="minorEastAsia"/>
          <w:bCs/>
          <w:kern w:val="2"/>
          <w:sz w:val="32"/>
          <w:szCs w:val="32"/>
        </w:rPr>
        <w:t>竞争性谈判文件</w:t>
      </w:r>
      <w:bookmarkEnd w:id="30"/>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竞争性谈判文件</w:t>
      </w:r>
    </w:p>
    <w:p>
      <w:pPr>
        <w:widowControl/>
        <w:snapToGrid w:val="0"/>
        <w:spacing w:line="400" w:lineRule="exact"/>
        <w:ind w:firstLine="420" w:firstLineChars="200"/>
        <w:rPr>
          <w:rFonts w:eastAsiaTheme="minorEastAsia"/>
          <w:kern w:val="0"/>
          <w:szCs w:val="21"/>
        </w:rPr>
      </w:pPr>
      <w:r>
        <w:rPr>
          <w:rFonts w:eastAsiaTheme="minorEastAsia"/>
          <w:kern w:val="0"/>
          <w:szCs w:val="21"/>
        </w:rPr>
        <w:t>竞争性谈判文件由下列六部分内容组成：</w:t>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b/>
          <w:bCs/>
          <w:kern w:val="0"/>
          <w:szCs w:val="21"/>
        </w:rPr>
        <w:instrText xml:space="preserve"> </w:instrText>
      </w:r>
      <w:r>
        <w:rPr>
          <w:rFonts w:hint="eastAsia" w:eastAsiaTheme="minorEastAsia"/>
          <w:b/>
          <w:bCs/>
          <w:kern w:val="0"/>
          <w:szCs w:val="21"/>
        </w:rPr>
        <w:instrText xml:space="preserve">REF _Ref477964009 \h</w:instrText>
      </w:r>
      <w:r>
        <w:rPr>
          <w:rFonts w:eastAsiaTheme="minorEastAsia"/>
          <w:b/>
          <w:bCs/>
          <w:kern w:val="0"/>
          <w:szCs w:val="21"/>
        </w:rPr>
        <w:instrText xml:space="preserve"> </w:instrText>
      </w:r>
      <w:r>
        <w:rPr>
          <w:rFonts w:eastAsiaTheme="minorEastAsia"/>
          <w:kern w:val="0"/>
          <w:szCs w:val="21"/>
        </w:rPr>
        <w:fldChar w:fldCharType="separate"/>
      </w:r>
      <w:r>
        <w:rPr>
          <w:rFonts w:eastAsiaTheme="majorEastAsia"/>
        </w:rPr>
        <w:t>第一部分  谈判邀请</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_Ref477964011 \h </w:instrText>
      </w:r>
      <w:r>
        <w:rPr>
          <w:rFonts w:eastAsiaTheme="minorEastAsia"/>
          <w:kern w:val="0"/>
          <w:szCs w:val="21"/>
        </w:rPr>
        <w:fldChar w:fldCharType="separate"/>
      </w:r>
      <w:r>
        <w:rPr>
          <w:rFonts w:eastAsiaTheme="majorEastAsia"/>
        </w:rPr>
        <w:t>第二部分  谈判须知前附表</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_Ref477964012 \h </w:instrText>
      </w:r>
      <w:r>
        <w:rPr>
          <w:rFonts w:eastAsiaTheme="minorEastAsia"/>
          <w:kern w:val="0"/>
          <w:szCs w:val="21"/>
        </w:rPr>
        <w:fldChar w:fldCharType="separate"/>
      </w:r>
      <w:r>
        <w:rPr>
          <w:rFonts w:eastAsiaTheme="majorEastAsia"/>
        </w:rPr>
        <w:t>第三部分  响应人须知</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_Ref477964013 \h </w:instrText>
      </w:r>
      <w:r>
        <w:rPr>
          <w:rFonts w:eastAsiaTheme="minorEastAsia"/>
          <w:kern w:val="0"/>
          <w:szCs w:val="21"/>
        </w:rPr>
        <w:fldChar w:fldCharType="separate"/>
      </w:r>
      <w:r>
        <w:rPr>
          <w:rFonts w:eastAsiaTheme="majorEastAsia"/>
        </w:rPr>
        <w:t>第四部分  评标标准和评标办法</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fldChar w:fldCharType="begin"/>
      </w:r>
      <w:r>
        <w:rPr>
          <w:rFonts w:eastAsiaTheme="minorEastAsia"/>
          <w:kern w:val="0"/>
          <w:szCs w:val="21"/>
        </w:rPr>
        <w:instrText xml:space="preserve"> REF _Ref477961415 \h </w:instrText>
      </w:r>
      <w:r>
        <w:rPr>
          <w:rFonts w:eastAsiaTheme="minorEastAsia"/>
          <w:kern w:val="0"/>
          <w:szCs w:val="21"/>
        </w:rPr>
        <w:fldChar w:fldCharType="separate"/>
      </w:r>
      <w:r>
        <w:rPr>
          <w:rFonts w:eastAsiaTheme="majorEastAsia"/>
        </w:rPr>
        <w:t>第</w:t>
      </w:r>
      <w:r>
        <w:rPr>
          <w:rFonts w:hint="eastAsia" w:eastAsiaTheme="majorEastAsia"/>
        </w:rPr>
        <w:t>五</w:t>
      </w:r>
      <w:r>
        <w:rPr>
          <w:rFonts w:eastAsiaTheme="majorEastAsia"/>
        </w:rPr>
        <w:t xml:space="preserve">部分  </w:t>
      </w:r>
      <w:r>
        <w:rPr>
          <w:rFonts w:hint="eastAsia" w:eastAsiaTheme="majorEastAsia"/>
        </w:rPr>
        <w:t>谈判货物、服务的具体</w:t>
      </w:r>
      <w:r>
        <w:rPr>
          <w:rFonts w:eastAsiaTheme="majorEastAsia"/>
        </w:rPr>
        <w:t>要求</w:t>
      </w:r>
      <w:r>
        <w:rPr>
          <w:rFonts w:eastAsiaTheme="minorEastAsia"/>
          <w:kern w:val="0"/>
          <w:szCs w:val="21"/>
        </w:rPr>
        <w:fldChar w:fldCharType="end"/>
      </w:r>
    </w:p>
    <w:p>
      <w:pPr>
        <w:widowControl/>
        <w:snapToGrid w:val="0"/>
        <w:spacing w:line="400" w:lineRule="exact"/>
        <w:ind w:firstLine="420" w:firstLineChars="200"/>
        <w:rPr>
          <w:rFonts w:eastAsiaTheme="minorEastAsia"/>
          <w:b/>
          <w:bCs/>
          <w:kern w:val="0"/>
          <w:szCs w:val="21"/>
        </w:rPr>
      </w:pPr>
      <w:r>
        <w:rPr>
          <w:rFonts w:eastAsiaTheme="minorEastAsia"/>
          <w:kern w:val="0"/>
          <w:szCs w:val="21"/>
        </w:rPr>
        <w:fldChar w:fldCharType="begin"/>
      </w:r>
      <w:r>
        <w:rPr>
          <w:rFonts w:eastAsiaTheme="minorEastAsia"/>
          <w:kern w:val="0"/>
          <w:szCs w:val="21"/>
        </w:rPr>
        <w:instrText xml:space="preserve"> REF _Ref477961953 \h </w:instrText>
      </w:r>
      <w:r>
        <w:rPr>
          <w:rFonts w:eastAsiaTheme="minorEastAsia"/>
          <w:kern w:val="0"/>
          <w:szCs w:val="21"/>
        </w:rPr>
        <w:fldChar w:fldCharType="separate"/>
      </w:r>
      <w:r>
        <w:rPr>
          <w:rFonts w:eastAsiaTheme="majorEastAsia"/>
        </w:rPr>
        <w:t>第六部分  谈判响应文件格式</w:t>
      </w:r>
      <w:r>
        <w:rPr>
          <w:rFonts w:eastAsiaTheme="minorEastAsia"/>
          <w:kern w:val="0"/>
          <w:szCs w:val="21"/>
        </w:rPr>
        <w:fldChar w:fldCharType="end"/>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谈判供应商应详细阅读竞争性谈判文件的全部内容。如果谈判供应商没有按照竞争性谈   判文件要求提交全部资料或者没有对竞争性谈判文件在各方面的要求都做出实质性响应，可能导致其谈判被拒绝。</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竞争性谈判文件的澄清、修改</w:t>
      </w:r>
    </w:p>
    <w:p>
      <w:pPr>
        <w:widowControl/>
        <w:snapToGrid w:val="0"/>
        <w:spacing w:line="400" w:lineRule="exact"/>
        <w:ind w:firstLine="420" w:firstLineChars="200"/>
        <w:rPr>
          <w:rFonts w:eastAsiaTheme="minorEastAsia"/>
          <w:b/>
          <w:bCs/>
          <w:kern w:val="0"/>
          <w:szCs w:val="21"/>
        </w:rPr>
      </w:pPr>
      <w:r>
        <w:rPr>
          <w:rFonts w:eastAsiaTheme="minorEastAsia"/>
          <w:kern w:val="0"/>
          <w:szCs w:val="21"/>
        </w:rPr>
        <w:t>任何已领取了竞争性谈判文件的谈判供应商，均可要求对竞争性谈判文件进行澄清、修改。澄清要求应按谈判邀请中的联系地址以书面形式（包括书面材料、信函、传真等，下同）送达采购中心和采购人，采购中心或采购人将以书面形式予以答复，并以书面方式送达要求澄清的谈判供应商。答复中包括原提出的问题，但不包括问题的来源。</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采购中心将视情况确定是否有必要组织供应商进行踏勘现场，以便供应商将实地环境作为谈判参考依据。如果组织踏勘现场，采购中心将通知踏勘现场的时间和地点。</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在提交谈判响应文件截止期2日以前任何时候，采购中心无论出于何种原因，均可对竞争性谈判文件用补充文件的方式进行修改。</w:t>
      </w:r>
    </w:p>
    <w:p>
      <w:pPr>
        <w:widowControl/>
        <w:snapToGrid w:val="0"/>
        <w:spacing w:line="400" w:lineRule="exact"/>
        <w:ind w:firstLine="420" w:firstLineChars="200"/>
        <w:rPr>
          <w:rFonts w:eastAsiaTheme="minorEastAsia"/>
          <w:kern w:val="0"/>
          <w:szCs w:val="21"/>
        </w:rPr>
      </w:pPr>
      <w:r>
        <w:rPr>
          <w:rFonts w:eastAsiaTheme="minorEastAsia"/>
          <w:kern w:val="0"/>
          <w:szCs w:val="21"/>
        </w:rPr>
        <w:t>对竞争性谈判文件的修改，将通知已领取了竞争性谈判文件的谈判供应商。补充文件将作为竞争性谈判文件的组成部分，对所有领取了竞争性谈判文件的谈判供应商均具有约束力。谈判供应商应立即以书面形式回复确认已收到修改文件。</w:t>
      </w:r>
    </w:p>
    <w:p>
      <w:pPr>
        <w:widowControl/>
        <w:snapToGrid w:val="0"/>
        <w:spacing w:line="400" w:lineRule="exact"/>
        <w:ind w:firstLine="420" w:firstLineChars="200"/>
        <w:rPr>
          <w:rFonts w:eastAsiaTheme="minorEastAsia"/>
          <w:kern w:val="0"/>
          <w:szCs w:val="21"/>
        </w:rPr>
      </w:pPr>
      <w:r>
        <w:rPr>
          <w:rFonts w:eastAsiaTheme="minorEastAsia"/>
          <w:kern w:val="0"/>
          <w:szCs w:val="21"/>
        </w:rPr>
        <w:t>为使谈判供应商有足够的时间按竞争性谈判文件的修改要求考虑修正谈判响应文件，采购中心可酌情推迟谈判的截止日期和谈判日期，并将具体变更情况通知每一谈判供应商。</w:t>
      </w:r>
    </w:p>
    <w:p>
      <w:pPr>
        <w:pStyle w:val="5"/>
        <w:numPr>
          <w:ilvl w:val="0"/>
          <w:numId w:val="13"/>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通知</w:t>
      </w:r>
    </w:p>
    <w:p>
      <w:pPr>
        <w:widowControl/>
        <w:snapToGrid w:val="0"/>
        <w:spacing w:line="400" w:lineRule="exact"/>
        <w:ind w:firstLine="420" w:firstLineChars="200"/>
        <w:rPr>
          <w:rFonts w:eastAsiaTheme="minorEastAsia"/>
          <w:kern w:val="0"/>
          <w:szCs w:val="21"/>
        </w:rPr>
      </w:pPr>
      <w:r>
        <w:rPr>
          <w:rFonts w:eastAsiaTheme="minorEastAsia"/>
          <w:kern w:val="0"/>
          <w:szCs w:val="21"/>
        </w:rPr>
        <w:t>对与本项目有关的通知，采购中心将以书面或以在本次竞争性谈判公告刊登的媒体上发布公告的形式送达，请准备参与谈判的供应商予以关注。</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1" w:name="_Toc477981714"/>
      <w:r>
        <w:rPr>
          <w:rFonts w:ascii="Times New Roman" w:hAnsi="Times New Roman" w:eastAsiaTheme="minorEastAsia"/>
          <w:bCs/>
          <w:kern w:val="2"/>
          <w:sz w:val="32"/>
          <w:szCs w:val="32"/>
        </w:rPr>
        <w:t>谈判响应文件</w:t>
      </w:r>
      <w:bookmarkEnd w:id="31"/>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谈判响应文件的语言和计量单位</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谈判供应商提交的以及谈判供应商与采购中心就有关谈判的所有来往函电均应使用中文简化字。</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谈判供应商所提供的技术文件和资料，包括图纸中的说明，应使用中文简化字。所使用的计量单位，应使用国家法定计量单位。</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谈判响应文件的组成及相关要求</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谈判响应文件分为商务和技术两个部分。为了方便评审，响应文件中的各项表格必须按照竞争性谈判文件格式要求制作。</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谈判响应文件主要包括</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中第</w:t>
      </w:r>
      <w:r>
        <w:rPr>
          <w:rFonts w:eastAsiaTheme="minorEastAsia"/>
          <w:kern w:val="0"/>
          <w:szCs w:val="21"/>
        </w:rPr>
        <w:fldChar w:fldCharType="begin"/>
      </w:r>
      <w:r>
        <w:rPr>
          <w:rFonts w:eastAsiaTheme="minorEastAsia"/>
          <w:kern w:val="0"/>
          <w:szCs w:val="21"/>
        </w:rPr>
        <w:instrText xml:space="preserve"> REF _Ref477981601 \r \h </w:instrText>
      </w:r>
      <w:r>
        <w:rPr>
          <w:rFonts w:eastAsiaTheme="minorEastAsia"/>
          <w:kern w:val="0"/>
          <w:szCs w:val="21"/>
        </w:rPr>
        <w:fldChar w:fldCharType="separate"/>
      </w:r>
      <w:r>
        <w:rPr>
          <w:rFonts w:eastAsiaTheme="minorEastAsia"/>
          <w:kern w:val="0"/>
          <w:szCs w:val="21"/>
        </w:rPr>
        <w:t>7</w:t>
      </w:r>
      <w:r>
        <w:rPr>
          <w:rFonts w:eastAsiaTheme="minorEastAsia"/>
          <w:kern w:val="0"/>
          <w:szCs w:val="21"/>
        </w:rPr>
        <w:fldChar w:fldCharType="end"/>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w:instrText>
      </w:r>
      <w:r>
        <w:rPr>
          <w:rFonts w:hint="eastAsia" w:eastAsiaTheme="minorEastAsia"/>
          <w:kern w:val="0"/>
          <w:szCs w:val="21"/>
        </w:rPr>
        <w:instrText xml:space="preserve">REF _Ref477981610 \r \h</w:instrText>
      </w:r>
      <w:r>
        <w:rPr>
          <w:rFonts w:eastAsiaTheme="minorEastAsia"/>
          <w:kern w:val="0"/>
          <w:szCs w:val="21"/>
        </w:rPr>
        <w:instrText xml:space="preserve"> </w:instrText>
      </w:r>
      <w:r>
        <w:rPr>
          <w:rFonts w:eastAsiaTheme="minorEastAsia"/>
          <w:kern w:val="0"/>
          <w:szCs w:val="21"/>
        </w:rPr>
        <w:fldChar w:fldCharType="separate"/>
      </w:r>
      <w:r>
        <w:rPr>
          <w:rFonts w:eastAsiaTheme="minorEastAsia"/>
          <w:kern w:val="0"/>
          <w:szCs w:val="21"/>
        </w:rPr>
        <w:t>8</w:t>
      </w:r>
      <w:r>
        <w:rPr>
          <w:rFonts w:eastAsiaTheme="minorEastAsia"/>
          <w:kern w:val="0"/>
          <w:szCs w:val="21"/>
        </w:rPr>
        <w:fldChar w:fldCharType="end"/>
      </w:r>
      <w:r>
        <w:rPr>
          <w:rFonts w:hint="eastAsia" w:eastAsiaTheme="minorEastAsia"/>
          <w:kern w:val="0"/>
          <w:szCs w:val="21"/>
        </w:rPr>
        <w:t>、</w:t>
      </w:r>
      <w:r>
        <w:rPr>
          <w:rFonts w:eastAsiaTheme="minorEastAsia"/>
          <w:kern w:val="0"/>
          <w:szCs w:val="21"/>
        </w:rPr>
        <w:fldChar w:fldCharType="begin"/>
      </w:r>
      <w:r>
        <w:rPr>
          <w:rFonts w:eastAsiaTheme="minorEastAsia"/>
          <w:kern w:val="0"/>
          <w:szCs w:val="21"/>
        </w:rPr>
        <w:instrText xml:space="preserve"> REF _Ref477981612 \r \h </w:instrText>
      </w:r>
      <w:r>
        <w:rPr>
          <w:rFonts w:eastAsiaTheme="minorEastAsia"/>
          <w:kern w:val="0"/>
          <w:szCs w:val="21"/>
        </w:rPr>
        <w:fldChar w:fldCharType="separate"/>
      </w:r>
      <w:r>
        <w:rPr>
          <w:rFonts w:eastAsiaTheme="minorEastAsia"/>
          <w:kern w:val="0"/>
          <w:szCs w:val="21"/>
        </w:rPr>
        <w:t>9</w:t>
      </w:r>
      <w:r>
        <w:rPr>
          <w:rFonts w:eastAsiaTheme="minorEastAsia"/>
          <w:kern w:val="0"/>
          <w:szCs w:val="21"/>
        </w:rPr>
        <w:fldChar w:fldCharType="end"/>
      </w:r>
      <w:r>
        <w:rPr>
          <w:rFonts w:eastAsiaTheme="minorEastAsia"/>
          <w:kern w:val="0"/>
          <w:szCs w:val="21"/>
        </w:rPr>
        <w:t>项，其中加*项目若有缺失，且在谈判规定时间内无法提交补正材料的，将导致谈判供应商被拒绝。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判响应文件规格幅面(A4)应与正文一致，使用宋体五号字，按照竞争性谈判文件第六部分谈判响应文件格式规定的顺序，统一编目编码装订。由于编排混乱导致判响应文件被误读或查找不到，其责任应当由谈判供应商承担。</w:t>
      </w:r>
      <w:r>
        <w:rPr>
          <w:rFonts w:eastAsiaTheme="minorEastAsia"/>
          <w:b/>
          <w:kern w:val="0"/>
          <w:szCs w:val="21"/>
        </w:rPr>
        <w:t>装订不得采用活页装订，否则，将导致谈判无效或者被拒绝。</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谈判内容填写说明</w:t>
      </w:r>
    </w:p>
    <w:p>
      <w:pPr>
        <w:widowControl/>
        <w:snapToGrid w:val="0"/>
        <w:spacing w:line="400" w:lineRule="exact"/>
        <w:ind w:firstLine="420" w:firstLineChars="200"/>
        <w:rPr>
          <w:rFonts w:eastAsiaTheme="minorEastAsia"/>
          <w:kern w:val="0"/>
          <w:szCs w:val="21"/>
        </w:rPr>
      </w:pPr>
      <w:r>
        <w:rPr>
          <w:rFonts w:eastAsiaTheme="minorEastAsia"/>
          <w:kern w:val="0"/>
          <w:szCs w:val="21"/>
        </w:rPr>
        <w:t>领取了竞争性谈判文件的谈判供应商应认真阅读文件的所有内容，按照竞争性谈判文件的要求编制完整的谈判响应文件。谈判响应文件应按照竞争性谈判文件规定的统一格式填写，严格按照规定的顺序装订成册并编制目录，由于编排混乱导致谈判响应文件被误读或查找不到，是谈判供应商的责任。</w:t>
      </w:r>
    </w:p>
    <w:p>
      <w:pPr>
        <w:widowControl/>
        <w:snapToGrid w:val="0"/>
        <w:spacing w:line="400" w:lineRule="exact"/>
        <w:ind w:firstLine="420" w:firstLineChars="200"/>
        <w:rPr>
          <w:rFonts w:eastAsiaTheme="minorEastAsia"/>
          <w:kern w:val="0"/>
          <w:szCs w:val="21"/>
        </w:rPr>
      </w:pPr>
      <w:r>
        <w:rPr>
          <w:rFonts w:eastAsiaTheme="minorEastAsia"/>
          <w:kern w:val="0"/>
          <w:szCs w:val="21"/>
        </w:rPr>
        <w:t xml:space="preserve"> 竞争性谈判文件对谈判响应文件格式有要求的应按格式逐项填写内容，不准有空项；无相应内容可填的项应填写“无”、“未测试”、“没有相应指标”等明确的回答文字。谈判响应文件中格式文件留有空项的，将被视为不完整响应的谈判响应文件，其谈判有可能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谈判供应商必须保证谈判响应文件所提供的全部资料真实可靠，并接受采购中心对其中任何资料进一步审查的要求。</w:t>
      </w:r>
    </w:p>
    <w:p>
      <w:pPr>
        <w:widowControl/>
        <w:snapToGrid w:val="0"/>
        <w:spacing w:line="400" w:lineRule="exact"/>
        <w:ind w:firstLine="420" w:firstLineChars="200"/>
        <w:rPr>
          <w:rFonts w:eastAsiaTheme="minorEastAsia"/>
          <w:kern w:val="0"/>
          <w:szCs w:val="21"/>
        </w:rPr>
      </w:pPr>
      <w:r>
        <w:rPr>
          <w:rFonts w:eastAsiaTheme="minorEastAsia"/>
          <w:kern w:val="0"/>
          <w:szCs w:val="21"/>
        </w:rPr>
        <w:t>报价一览表要求按格式统一填写，不得自行增减内容。</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须对竞争性谈判文件中的内容做出实质性和完整的响应，否则将被拒绝。如果谈判响应文件填报的内容资料不详，或没有提供竞争性谈判文件中所要求的全部资料及数据，包括但不限于第10条（谈判响应文件的组成及相关要求）规定的内容，将导致该文件被拒绝。</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谈判供应商技术文件的编制及编目</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技术文件规格幅面（A4）应与正文一致，按照竞争性谈判文件规定的顺序，统一编目编码装订。谈判供应商自行编制的技术文件应能够证明谈判供应商提供的货物及服务是符合竞争性谈判文件规定的合格的货物和服务。自行编写的技术文件包括但不限于</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中第</w:t>
      </w:r>
      <w:r>
        <w:rPr>
          <w:rFonts w:eastAsiaTheme="minorEastAsia"/>
          <w:kern w:val="0"/>
          <w:szCs w:val="21"/>
        </w:rPr>
        <w:fldChar w:fldCharType="begin"/>
      </w:r>
      <w:r>
        <w:rPr>
          <w:rFonts w:eastAsiaTheme="minorEastAsia"/>
          <w:kern w:val="0"/>
          <w:szCs w:val="21"/>
        </w:rPr>
        <w:instrText xml:space="preserve"> REF _Ref477981612 \r \h  \* MERGEFORMAT </w:instrText>
      </w:r>
      <w:r>
        <w:rPr>
          <w:rFonts w:eastAsiaTheme="minorEastAsia"/>
          <w:kern w:val="0"/>
          <w:szCs w:val="21"/>
        </w:rPr>
        <w:fldChar w:fldCharType="separate"/>
      </w:r>
      <w:r>
        <w:rPr>
          <w:rFonts w:eastAsiaTheme="minorEastAsia"/>
          <w:kern w:val="0"/>
          <w:szCs w:val="21"/>
        </w:rPr>
        <w:t>9</w:t>
      </w:r>
      <w:r>
        <w:rPr>
          <w:rFonts w:eastAsiaTheme="minorEastAsia"/>
          <w:kern w:val="0"/>
          <w:szCs w:val="21"/>
        </w:rPr>
        <w:fldChar w:fldCharType="end"/>
      </w:r>
      <w:r>
        <w:rPr>
          <w:rFonts w:eastAsiaTheme="minorEastAsia"/>
          <w:kern w:val="0"/>
          <w:szCs w:val="21"/>
        </w:rPr>
        <w:t>项所列内容。</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报价要求</w:t>
      </w:r>
    </w:p>
    <w:p>
      <w:pPr>
        <w:widowControl/>
        <w:snapToGrid w:val="0"/>
        <w:spacing w:line="400" w:lineRule="exact"/>
        <w:ind w:firstLine="420" w:firstLineChars="200"/>
        <w:rPr>
          <w:rFonts w:eastAsiaTheme="minorEastAsia"/>
          <w:kern w:val="0"/>
          <w:szCs w:val="21"/>
        </w:rPr>
      </w:pPr>
      <w:r>
        <w:rPr>
          <w:rFonts w:eastAsiaTheme="minorEastAsia"/>
          <w:kern w:val="0"/>
          <w:szCs w:val="21"/>
        </w:rPr>
        <w:t>所有报价均以人民币元为计算单位。报价价格应该已经扣除所有同业折扣以及现金折扣。报价应已经包含了购买相关服务的费用和所需缴纳的所有税费。</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谈判供应商要按货物数量、价格表(统一格式)的内容填写单价、总价及其他事项，并由法定代表人或谈判供应商代表签署。对于标准货物，每种规格只允许有一个报价，任何有选择的报价将导致该谈判人被拒绝。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对于一个项目中的多个分包，谈判供应商可以投报全部包，也可以只投其中一包。谈判供应商应对每个包分别提供报价并填报报价一览表。没有分包报价的将被拒绝。</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采购人不接受可选择的报价方案和报价。谈判供应商对报价如果有说明应在报价一览表显著处予以注明。</w:t>
      </w:r>
    </w:p>
    <w:p>
      <w:pPr>
        <w:widowControl/>
        <w:snapToGrid w:val="0"/>
        <w:spacing w:line="400" w:lineRule="exact"/>
        <w:ind w:firstLine="420" w:firstLineChars="200"/>
        <w:rPr>
          <w:rFonts w:eastAsiaTheme="minorEastAsia"/>
          <w:kern w:val="0"/>
          <w:szCs w:val="21"/>
        </w:rPr>
      </w:pPr>
      <w:r>
        <w:rPr>
          <w:rFonts w:eastAsiaTheme="minorEastAsia"/>
          <w:kern w:val="0"/>
          <w:szCs w:val="21"/>
        </w:rPr>
        <w:t>报价明细表中标明的价格在合同执行过程中是固定不变的，谈判供应商不得以任何理由予以变更。以可调整的价格提交的报价将被视为非响应性报价而被拒绝。</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转包与分包</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谈判供应商根据采购项目的实际情况，拟在成交后将项目的非主体、非关键性工作交由他人完成，应当在谈判响应文件中载明。</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谈判保证金</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本项目不需提交谈判保证金。</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谈判响应文件的有效期</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自提交响应文件之日起120日内，谈判响应文件应保持有效。有效期短于该规定期限的文件，将被拒绝。</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在特殊情况下，采购中心可与谈判供应商协商延长谈判响应文件的有效期。这种要求和答复都应以书面形式进行。谈判供应商可以拒绝接受延期要求而不会被列入不良行为记录名单。同意延长有效期的谈判供应商除按照采购中心要求修改谈判响应文件有效期外，不能修改谈判响应文件的其他内容。</w:t>
      </w:r>
    </w:p>
    <w:p>
      <w:pPr>
        <w:pStyle w:val="5"/>
        <w:numPr>
          <w:ilvl w:val="0"/>
          <w:numId w:val="14"/>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谈判响应文件的签署及其他规定</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组成谈判响应文件的各项文件均应遵守本条。</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法定代表人如果授权谈判供应商代表处理一切与本次谈判有关事宜，须将书面形式的《法定代表人授权委托书》（按照本竞争性谈判文件第六部分格式填写）原件附在谈判响应文件中，否则按无效响应文件处理。</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谈判供应商应按照竞争性谈判文件要求，在谈判响应文件适当的位置填写谈判供应商全称并加盖公章，同时签署法定代表人或谈判供应商代表的中文全名。</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谈判响应文件提交份数详见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第</w:t>
      </w:r>
      <w:r>
        <w:rPr>
          <w:rFonts w:eastAsiaTheme="minorEastAsia"/>
          <w:kern w:val="0"/>
          <w:szCs w:val="21"/>
        </w:rPr>
        <w:fldChar w:fldCharType="begin"/>
      </w:r>
      <w:r>
        <w:rPr>
          <w:rFonts w:eastAsiaTheme="minorEastAsia"/>
          <w:kern w:val="0"/>
          <w:szCs w:val="21"/>
        </w:rPr>
        <w:instrText xml:space="preserve"> REF _Ref477981683 \r \h </w:instrText>
      </w:r>
      <w:r>
        <w:rPr>
          <w:rFonts w:eastAsiaTheme="minorEastAsia"/>
          <w:kern w:val="0"/>
          <w:szCs w:val="21"/>
        </w:rPr>
        <w:fldChar w:fldCharType="separate"/>
      </w:r>
      <w:r>
        <w:rPr>
          <w:rFonts w:eastAsiaTheme="minorEastAsia"/>
          <w:kern w:val="0"/>
          <w:szCs w:val="21"/>
        </w:rPr>
        <w:t>15</w:t>
      </w:r>
      <w:r>
        <w:rPr>
          <w:rFonts w:eastAsiaTheme="minorEastAsia"/>
          <w:kern w:val="0"/>
          <w:szCs w:val="21"/>
        </w:rPr>
        <w:fldChar w:fldCharType="end"/>
      </w:r>
      <w:r>
        <w:rPr>
          <w:rFonts w:eastAsiaTheme="minorEastAsia"/>
          <w:kern w:val="0"/>
          <w:szCs w:val="21"/>
        </w:rPr>
        <w:t>项。报价一览表需正本1份。</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谈判响应文件的正本必须用不褪色的蓝黑墨水填写或打印，注明“正本”字样，并由谈判供应商的法定代表人或谈判供应商代表签字。</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谈判响应文件应字迹清楚、内容齐全、不得涂改和增删。如果有修改错漏处，修改处须有谈判供应商公章及法定代表人或谈判供应商代表签字。</w:t>
      </w:r>
    </w:p>
    <w:p>
      <w:pPr>
        <w:widowControl/>
        <w:snapToGrid w:val="0"/>
        <w:spacing w:line="400" w:lineRule="exact"/>
        <w:ind w:firstLine="420" w:firstLineChars="200"/>
        <w:jc w:val="left"/>
        <w:rPr>
          <w:rFonts w:eastAsiaTheme="minorEastAsia"/>
          <w:kern w:val="0"/>
          <w:szCs w:val="21"/>
        </w:rPr>
      </w:pPr>
      <w:r>
        <w:rPr>
          <w:rFonts w:eastAsiaTheme="minorEastAsia"/>
          <w:kern w:val="0"/>
          <w:szCs w:val="21"/>
        </w:rPr>
        <w:t>因谈判响应文件字迹潦草或表达不清所引起的不利后果由谈判供应商承担。</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2" w:name="_Toc477981715"/>
      <w:r>
        <w:rPr>
          <w:rFonts w:ascii="Times New Roman" w:hAnsi="Times New Roman" w:eastAsiaTheme="minorEastAsia"/>
          <w:bCs/>
          <w:kern w:val="2"/>
          <w:sz w:val="32"/>
          <w:szCs w:val="32"/>
        </w:rPr>
        <w:t>谈判响应文件的递交</w:t>
      </w:r>
      <w:bookmarkEnd w:id="32"/>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谈判响应文件的密封及标记</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谈判响应文件应按以下方法分别装袋密封：</w:t>
      </w:r>
    </w:p>
    <w:p>
      <w:pPr>
        <w:pStyle w:val="46"/>
        <w:widowControl/>
        <w:numPr>
          <w:ilvl w:val="0"/>
          <w:numId w:val="16"/>
        </w:numPr>
        <w:snapToGrid w:val="0"/>
        <w:spacing w:line="400" w:lineRule="exact"/>
        <w:ind w:firstLineChars="0"/>
        <w:rPr>
          <w:rFonts w:eastAsiaTheme="minorEastAsia"/>
          <w:kern w:val="0"/>
          <w:szCs w:val="21"/>
        </w:rPr>
      </w:pPr>
      <w:r>
        <w:rPr>
          <w:rFonts w:eastAsiaTheme="minorEastAsia"/>
          <w:kern w:val="0"/>
          <w:szCs w:val="21"/>
        </w:rPr>
        <w:t>谈判响应文件密封袋内装谈判响应文件正副本及谈判供应商认为有必要提交的其他资料，装袋文件份数要求详见</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。封口处应有法定代表人或谈判供应商代表的签字及谈判供应商公章。封皮上写明项目编号、项目名称、谈判供应商全称、地址，并注明“谈判时启封”字样。</w:t>
      </w:r>
    </w:p>
    <w:p>
      <w:pPr>
        <w:pStyle w:val="46"/>
        <w:widowControl/>
        <w:numPr>
          <w:ilvl w:val="0"/>
          <w:numId w:val="16"/>
        </w:numPr>
        <w:snapToGrid w:val="0"/>
        <w:spacing w:line="400" w:lineRule="exact"/>
        <w:ind w:firstLineChars="0"/>
        <w:rPr>
          <w:rFonts w:eastAsiaTheme="minorEastAsia"/>
          <w:kern w:val="0"/>
          <w:szCs w:val="21"/>
        </w:rPr>
      </w:pPr>
      <w:r>
        <w:rPr>
          <w:rFonts w:eastAsiaTheme="minorEastAsia"/>
          <w:kern w:val="0"/>
          <w:szCs w:val="21"/>
        </w:rPr>
        <w:t>为方便评审，报价一览表应单独放在另一密封信封内，封口处应有法定代表人或谈判供应商代表的签字及谈判供应商公章。封皮上写明项目编号、项目名称及谈判供应商全称，并注明“报价一览表”字样。</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如果谈判供应商未按上述要求对谈判响应文件密封及加写标记，采购中心对谈判响应文件的误投和提前启封概不负责。对由此造成提前开封的谈判响应文件，采购中心有权予以拒绝，并退回谈判供应商。</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提交谈判响应文件截止时间</w:t>
      </w:r>
    </w:p>
    <w:p>
      <w:pPr>
        <w:widowControl/>
        <w:snapToGrid w:val="0"/>
        <w:spacing w:line="400" w:lineRule="exact"/>
        <w:ind w:firstLine="420" w:firstLineChars="200"/>
        <w:rPr>
          <w:rFonts w:eastAsiaTheme="minorEastAsia"/>
          <w:kern w:val="0"/>
          <w:szCs w:val="21"/>
        </w:rPr>
      </w:pPr>
      <w:r>
        <w:rPr>
          <w:rFonts w:eastAsiaTheme="minorEastAsia"/>
          <w:kern w:val="0"/>
          <w:szCs w:val="21"/>
        </w:rPr>
        <w:t>谈判响应文件须按照竞争性谈判文件规定的时间、地点送达。</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推迟截止时间时，将以书面或在本次竞争性谈判公告刊登的媒体上发布公告的形式，通知所有领取了竞争性谈判文件的谈判供应商。在这种情况下，采购中心和谈判供应商的权利及义务将受到新的截止期的约束。</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在提交谈判响应文件截止时间以后送达的谈判响应文件，采购中心拒绝接收。</w:t>
      </w:r>
    </w:p>
    <w:p>
      <w:pPr>
        <w:pStyle w:val="5"/>
        <w:numPr>
          <w:ilvl w:val="0"/>
          <w:numId w:val="15"/>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谈判响应文件的修改和撤回</w:t>
      </w:r>
    </w:p>
    <w:p>
      <w:pPr>
        <w:widowControl/>
        <w:snapToGrid w:val="0"/>
        <w:spacing w:line="400" w:lineRule="exact"/>
        <w:ind w:firstLine="420" w:firstLineChars="200"/>
        <w:rPr>
          <w:rFonts w:eastAsiaTheme="minorEastAsia"/>
          <w:kern w:val="0"/>
          <w:szCs w:val="21"/>
        </w:rPr>
      </w:pPr>
      <w:r>
        <w:rPr>
          <w:rFonts w:eastAsiaTheme="minorEastAsia"/>
          <w:kern w:val="0"/>
          <w:szCs w:val="21"/>
        </w:rPr>
        <w:t>如果谈判供应商有修改和撤回谈判响应文件要求的，须在提交谈判响应文件截止时间前提出，否则无效。</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谈判供应商修改谈判响应文件的书面材料，须密封提交，同时应在封套上标明“修改谈判响应文件(并注明项目编号)”和“报价时启封”字样。</w:t>
      </w:r>
    </w:p>
    <w:p>
      <w:pPr>
        <w:widowControl/>
        <w:snapToGrid w:val="0"/>
        <w:spacing w:line="400" w:lineRule="exact"/>
        <w:ind w:firstLine="420" w:firstLineChars="200"/>
        <w:rPr>
          <w:rFonts w:eastAsiaTheme="minorEastAsia"/>
          <w:kern w:val="0"/>
          <w:szCs w:val="21"/>
        </w:rPr>
      </w:pPr>
      <w:r>
        <w:rPr>
          <w:rFonts w:eastAsiaTheme="minorEastAsia"/>
          <w:kern w:val="0"/>
          <w:szCs w:val="21"/>
        </w:rPr>
        <w:t>撤回谈判响应文件的要求应以书面形式提出，由谈判供应商法定代表人或谈判供应商代表签署，并在提交谈判响应文件截止时间前提出。</w:t>
      </w:r>
    </w:p>
    <w:p>
      <w:pPr>
        <w:widowControl/>
        <w:snapToGrid w:val="0"/>
        <w:spacing w:line="400" w:lineRule="exact"/>
        <w:ind w:firstLine="420" w:firstLineChars="200"/>
        <w:rPr>
          <w:rFonts w:eastAsiaTheme="minorEastAsia"/>
          <w:kern w:val="0"/>
          <w:szCs w:val="21"/>
        </w:rPr>
      </w:pPr>
      <w:r>
        <w:rPr>
          <w:rFonts w:eastAsiaTheme="minorEastAsia"/>
          <w:kern w:val="0"/>
          <w:szCs w:val="21"/>
        </w:rPr>
        <w:t>在提交谈判响应文件截止时间之后，谈判供应商不得撤回响应文件。否则撤回谈判响应文件的行为将被记录在案，谈判供应商今后参与同类政府采购项目的机会可能会受到影响。</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3" w:name="_Toc477981716"/>
      <w:r>
        <w:rPr>
          <w:rFonts w:ascii="Times New Roman" w:hAnsi="Times New Roman" w:eastAsiaTheme="minorEastAsia"/>
          <w:bCs/>
          <w:kern w:val="2"/>
          <w:sz w:val="32"/>
          <w:szCs w:val="32"/>
        </w:rPr>
        <w:t>谈判内容及流程</w:t>
      </w:r>
      <w:bookmarkEnd w:id="33"/>
    </w:p>
    <w:p>
      <w:pPr>
        <w:pStyle w:val="5"/>
        <w:numPr>
          <w:ilvl w:val="0"/>
          <w:numId w:val="17"/>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审查</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谈判小组对下列情况进行审查，以判断参与谈判供应商是否实质响应了谈判文件：</w:t>
      </w:r>
    </w:p>
    <w:p>
      <w:pPr>
        <w:pStyle w:val="46"/>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谈判供应商资质条件是否响应谈判文件的要求；</w:t>
      </w:r>
    </w:p>
    <w:p>
      <w:pPr>
        <w:pStyle w:val="46"/>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谈判供应商在响应文件中提交的商务和技术文件是否响应谈判文件的要求；</w:t>
      </w:r>
    </w:p>
    <w:p>
      <w:pPr>
        <w:pStyle w:val="46"/>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谈判供应商自行编写的技术文件是否合理可行；</w:t>
      </w:r>
    </w:p>
    <w:p>
      <w:pPr>
        <w:pStyle w:val="46"/>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谈判供应商是否具备良好的财务状况和偿付能力；</w:t>
      </w:r>
    </w:p>
    <w:p>
      <w:pPr>
        <w:pStyle w:val="46"/>
        <w:widowControl/>
        <w:numPr>
          <w:ilvl w:val="0"/>
          <w:numId w:val="18"/>
        </w:numPr>
        <w:snapToGrid w:val="0"/>
        <w:spacing w:line="400" w:lineRule="exact"/>
        <w:ind w:firstLineChars="0"/>
        <w:rPr>
          <w:rFonts w:eastAsiaTheme="minorEastAsia"/>
          <w:kern w:val="0"/>
          <w:szCs w:val="21"/>
        </w:rPr>
      </w:pPr>
      <w:r>
        <w:rPr>
          <w:rFonts w:eastAsiaTheme="minorEastAsia"/>
          <w:kern w:val="0"/>
          <w:szCs w:val="21"/>
        </w:rPr>
        <w:t>所报价格是否合理。</w:t>
      </w:r>
    </w:p>
    <w:p>
      <w:pPr>
        <w:pStyle w:val="5"/>
        <w:numPr>
          <w:ilvl w:val="0"/>
          <w:numId w:val="17"/>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 xml:space="preserve"> 谈判</w:t>
      </w:r>
    </w:p>
    <w:p>
      <w:pPr>
        <w:pStyle w:val="46"/>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每个谈判供应商都将与谈判小组进行谈判。谈判供应商应按采购中心通知的时间、地点，由法定代表人或其授权代表参加谈判。</w:t>
      </w:r>
    </w:p>
    <w:p>
      <w:pPr>
        <w:pStyle w:val="46"/>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内容包括商务文件和服务要求的响应情况、所报价格等以及谈判小组认为存在偏离或有必要明确的其它问题。谈判小组将对谈判内容以谈判纪要的形式作出书面记录，谈判结束后，谈判供应商代表应在谈判纪要上签字确认。谈判纪要经</w:t>
      </w:r>
      <w:r>
        <w:rPr>
          <w:rFonts w:hint="eastAsia" w:eastAsiaTheme="minorEastAsia"/>
          <w:kern w:val="0"/>
          <w:szCs w:val="21"/>
        </w:rPr>
        <w:t>谈判</w:t>
      </w:r>
      <w:r>
        <w:rPr>
          <w:rFonts w:eastAsiaTheme="minorEastAsia"/>
          <w:kern w:val="0"/>
          <w:szCs w:val="21"/>
        </w:rPr>
        <w:t>供应商谈判代表签字确认后生效。</w:t>
      </w:r>
    </w:p>
    <w:p>
      <w:pPr>
        <w:pStyle w:val="46"/>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如果谈判中谈判小组确认需要谈判供应商就谈判中的相关问题提交澄清或补正材料，供应商应当在现场说明是否具备该材料并在谈判纪要上作出承诺。</w:t>
      </w:r>
    </w:p>
    <w:p>
      <w:pPr>
        <w:pStyle w:val="46"/>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谈判供应商</w:t>
      </w:r>
      <w:bookmarkStart w:id="34" w:name="OLE_LINK15"/>
      <w:r>
        <w:rPr>
          <w:rFonts w:eastAsiaTheme="minorEastAsia"/>
          <w:kern w:val="0"/>
          <w:szCs w:val="21"/>
        </w:rPr>
        <w:t>须应按照谈判小组的时限及其它相关要求送达澄清或补正材料，并加盖公章。若谈判供应商未按要求提交澄清或补正材料，视为谈判供应商放弃成交。</w:t>
      </w:r>
      <w:bookmarkEnd w:id="34"/>
    </w:p>
    <w:p>
      <w:pPr>
        <w:pStyle w:val="46"/>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谈判过程中，若谈判小组对本谈判文件存在任何理解上不明确、不确定之处，有关商务、技术方面的条款由采购人负责解释，有关程序方面的条款由采购中心负责解释。</w:t>
      </w:r>
    </w:p>
    <w:p>
      <w:pPr>
        <w:pStyle w:val="46"/>
        <w:widowControl/>
        <w:numPr>
          <w:ilvl w:val="0"/>
          <w:numId w:val="19"/>
        </w:numPr>
        <w:snapToGrid w:val="0"/>
        <w:spacing w:line="400" w:lineRule="exact"/>
        <w:ind w:firstLineChars="0"/>
        <w:rPr>
          <w:rFonts w:eastAsiaTheme="minorEastAsia"/>
          <w:kern w:val="0"/>
          <w:szCs w:val="21"/>
        </w:rPr>
      </w:pPr>
      <w:r>
        <w:rPr>
          <w:rFonts w:eastAsiaTheme="minorEastAsia"/>
          <w:kern w:val="0"/>
          <w:szCs w:val="21"/>
        </w:rPr>
        <w:t>如果谈判小组对谈判文件实质性内容作出变更，采购中心将书面通知所有参加谈判的谈判供应商，使每个谈判供应商均有同等机会根据修改后的谈判条件提交新的方案。</w:t>
      </w:r>
    </w:p>
    <w:p>
      <w:pPr>
        <w:pStyle w:val="5"/>
        <w:numPr>
          <w:ilvl w:val="0"/>
          <w:numId w:val="17"/>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报价</w:t>
      </w:r>
    </w:p>
    <w:p>
      <w:pPr>
        <w:pStyle w:val="46"/>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谈判小组根据谈判情况、各谈判供应商的承诺及其提交的谈判补正澄清材料的情况，要求所有实质响应谈判文件的供应商进行二次报价。</w:t>
      </w:r>
    </w:p>
    <w:p>
      <w:pPr>
        <w:pStyle w:val="46"/>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谈判报价经供应商谈判代表签字确认后生效。</w:t>
      </w:r>
    </w:p>
    <w:p>
      <w:pPr>
        <w:pStyle w:val="46"/>
        <w:widowControl/>
        <w:numPr>
          <w:ilvl w:val="0"/>
          <w:numId w:val="20"/>
        </w:numPr>
        <w:snapToGrid w:val="0"/>
        <w:spacing w:line="400" w:lineRule="exact"/>
        <w:ind w:firstLineChars="0"/>
        <w:rPr>
          <w:rFonts w:eastAsiaTheme="minorEastAsia"/>
          <w:kern w:val="0"/>
          <w:szCs w:val="21"/>
        </w:rPr>
      </w:pPr>
      <w:r>
        <w:rPr>
          <w:rFonts w:eastAsiaTheme="minorEastAsia"/>
          <w:kern w:val="0"/>
          <w:szCs w:val="21"/>
        </w:rPr>
        <w:t>如果最低二次报价有两家（含）以上相同，谈判小组可要求所有参加谈判的供应商进行三次报价，依此类推。</w:t>
      </w:r>
    </w:p>
    <w:p>
      <w:pPr>
        <w:pStyle w:val="5"/>
        <w:numPr>
          <w:ilvl w:val="0"/>
          <w:numId w:val="17"/>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确定成交供应商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谈判小组根据谈判情况确定实质性响应谈判文件且报价最低的谈判供应商为成交供应商。</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采购中心将在谈判结束后五个工作日内将谈判报告送采购人。采购人将在收到谈判纪要   后五个工作日内按前款规定确定成交供应商。</w:t>
      </w:r>
    </w:p>
    <w:p>
      <w:pPr>
        <w:pStyle w:val="5"/>
        <w:numPr>
          <w:ilvl w:val="0"/>
          <w:numId w:val="17"/>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谈判、评审过程保密</w:t>
      </w:r>
    </w:p>
    <w:p>
      <w:pPr>
        <w:widowControl/>
        <w:snapToGrid w:val="0"/>
        <w:spacing w:line="400" w:lineRule="exact"/>
        <w:ind w:firstLine="420" w:firstLineChars="200"/>
        <w:rPr>
          <w:rFonts w:eastAsiaTheme="minorEastAsia"/>
          <w:kern w:val="0"/>
          <w:szCs w:val="21"/>
        </w:rPr>
      </w:pPr>
      <w:r>
        <w:rPr>
          <w:rFonts w:eastAsiaTheme="minorEastAsia"/>
          <w:kern w:val="0"/>
          <w:szCs w:val="21"/>
        </w:rPr>
        <w:t>谈判开始之后，直到授予谈判供应商合同止，凡是属于审查、澄清、评审的有关资料以及授标意向等，均不得向谈判供应商或谈判小组以外的其他人员透露。</w:t>
      </w:r>
    </w:p>
    <w:p>
      <w:pPr>
        <w:widowControl/>
        <w:snapToGrid w:val="0"/>
        <w:spacing w:line="400" w:lineRule="exact"/>
        <w:ind w:firstLine="420" w:firstLineChars="200"/>
        <w:rPr>
          <w:rFonts w:eastAsiaTheme="minorEastAsia"/>
          <w:kern w:val="0"/>
          <w:szCs w:val="21"/>
        </w:rPr>
      </w:pPr>
      <w:r>
        <w:rPr>
          <w:rFonts w:eastAsiaTheme="minorEastAsia"/>
          <w:kern w:val="0"/>
          <w:szCs w:val="21"/>
        </w:rPr>
        <w:t>在谈判期间，谈判供应商企图影响采购中心或谈判小组的任何活动，将导致其谈判被拒绝，并由其承担相应的法律责任。</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5" w:name="_Toc477981717"/>
      <w:r>
        <w:rPr>
          <w:rFonts w:ascii="Times New Roman" w:hAnsi="Times New Roman" w:eastAsiaTheme="minorEastAsia"/>
          <w:bCs/>
          <w:kern w:val="2"/>
          <w:sz w:val="32"/>
          <w:szCs w:val="32"/>
        </w:rPr>
        <w:t>授予合同</w:t>
      </w:r>
      <w:bookmarkEnd w:id="35"/>
    </w:p>
    <w:p>
      <w:pPr>
        <w:pStyle w:val="5"/>
        <w:numPr>
          <w:ilvl w:val="0"/>
          <w:numId w:val="2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授予合同的顺序</w:t>
      </w:r>
    </w:p>
    <w:p>
      <w:pPr>
        <w:widowControl/>
        <w:snapToGrid w:val="0"/>
        <w:spacing w:line="400" w:lineRule="exact"/>
        <w:ind w:firstLine="420" w:firstLineChars="200"/>
        <w:rPr>
          <w:rFonts w:eastAsiaTheme="minorEastAsia"/>
          <w:kern w:val="0"/>
          <w:szCs w:val="21"/>
        </w:rPr>
      </w:pPr>
      <w:r>
        <w:rPr>
          <w:rFonts w:eastAsiaTheme="minorEastAsia"/>
          <w:kern w:val="0"/>
          <w:szCs w:val="21"/>
        </w:rPr>
        <w:t>谈判小组将根据最终审查的结果将合同授予排名第一的谈判供应商。排名第一的谈判供应商放弃成交、因不可抗力提出不能履行合同，或者本文件规定应当提交履约保证金而在规定期限未能提交的，采购人将把合同授予排名第二的谈判供应商。排名第二的谈判供应商因前款规定的同样原因不能签订合同的，采购人将把合同授予排名第三的谈判供应商。</w:t>
      </w:r>
    </w:p>
    <w:p>
      <w:pPr>
        <w:pStyle w:val="5"/>
        <w:numPr>
          <w:ilvl w:val="0"/>
          <w:numId w:val="2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采购中心拒绝谈判的权利</w:t>
      </w:r>
    </w:p>
    <w:p>
      <w:pPr>
        <w:widowControl/>
        <w:snapToGrid w:val="0"/>
        <w:spacing w:line="400" w:lineRule="exact"/>
        <w:ind w:firstLine="420" w:firstLineChars="200"/>
        <w:rPr>
          <w:rFonts w:eastAsiaTheme="minorEastAsia"/>
          <w:kern w:val="0"/>
          <w:szCs w:val="21"/>
        </w:rPr>
      </w:pPr>
      <w:r>
        <w:rPr>
          <w:rFonts w:eastAsiaTheme="minorEastAsia"/>
          <w:kern w:val="0"/>
          <w:szCs w:val="21"/>
        </w:rPr>
        <w:t>出现下列情况之一时，采购中心有权拒绝所有谈判供应商，并将理由通知所有谈判供应商：</w:t>
      </w:r>
    </w:p>
    <w:p>
      <w:pPr>
        <w:pStyle w:val="46"/>
        <w:widowControl/>
        <w:numPr>
          <w:ilvl w:val="0"/>
          <w:numId w:val="22"/>
        </w:numPr>
        <w:snapToGrid w:val="0"/>
        <w:spacing w:line="400" w:lineRule="exact"/>
        <w:ind w:firstLineChars="0"/>
        <w:rPr>
          <w:rFonts w:eastAsiaTheme="minorEastAsia"/>
          <w:kern w:val="0"/>
          <w:szCs w:val="21"/>
        </w:rPr>
      </w:pPr>
      <w:r>
        <w:rPr>
          <w:rFonts w:eastAsiaTheme="minorEastAsia"/>
          <w:kern w:val="0"/>
          <w:szCs w:val="21"/>
        </w:rPr>
        <w:t>出现影响采购公正的违法、违规行为的；</w:t>
      </w:r>
    </w:p>
    <w:p>
      <w:pPr>
        <w:pStyle w:val="46"/>
        <w:widowControl/>
        <w:numPr>
          <w:ilvl w:val="0"/>
          <w:numId w:val="22"/>
        </w:numPr>
        <w:snapToGrid w:val="0"/>
        <w:spacing w:line="400" w:lineRule="exact"/>
        <w:ind w:firstLineChars="0"/>
        <w:rPr>
          <w:rFonts w:eastAsiaTheme="minorEastAsia"/>
          <w:kern w:val="0"/>
          <w:szCs w:val="21"/>
        </w:rPr>
      </w:pPr>
      <w:r>
        <w:rPr>
          <w:rFonts w:eastAsiaTheme="minorEastAsia"/>
          <w:kern w:val="0"/>
          <w:szCs w:val="21"/>
        </w:rPr>
        <w:t>因重大变故，采购任务取消的。</w:t>
      </w:r>
    </w:p>
    <w:p>
      <w:pPr>
        <w:pStyle w:val="5"/>
        <w:numPr>
          <w:ilvl w:val="0"/>
          <w:numId w:val="2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成交通知</w:t>
      </w:r>
    </w:p>
    <w:p>
      <w:pPr>
        <w:pStyle w:val="46"/>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在确定成交供应商后三日内，采购中心将以邮寄或传真等书面形式通知选定的成交供应商。成交通知书是合同的组成部分。</w:t>
      </w:r>
    </w:p>
    <w:p>
      <w:pPr>
        <w:pStyle w:val="46"/>
        <w:widowControl/>
        <w:numPr>
          <w:ilvl w:val="0"/>
          <w:numId w:val="23"/>
        </w:numPr>
        <w:snapToGrid w:val="0"/>
        <w:spacing w:line="400" w:lineRule="exact"/>
        <w:ind w:firstLineChars="0"/>
        <w:rPr>
          <w:rFonts w:eastAsiaTheme="minorEastAsia"/>
          <w:kern w:val="0"/>
          <w:szCs w:val="21"/>
        </w:rPr>
      </w:pPr>
      <w:r>
        <w:rPr>
          <w:rFonts w:eastAsiaTheme="minorEastAsia"/>
          <w:kern w:val="0"/>
          <w:szCs w:val="21"/>
        </w:rPr>
        <w:t>采购中心同时向其他谈判供应商发出未成交通知。</w:t>
      </w:r>
    </w:p>
    <w:p>
      <w:pPr>
        <w:pStyle w:val="5"/>
        <w:numPr>
          <w:ilvl w:val="0"/>
          <w:numId w:val="21"/>
        </w:numPr>
        <w:spacing w:before="120" w:after="120" w:line="377" w:lineRule="auto"/>
        <w:rPr>
          <w:rFonts w:ascii="Times New Roman" w:hAnsi="Times New Roman" w:eastAsiaTheme="majorEastAsia"/>
          <w:bCs/>
          <w:i w:val="0"/>
          <w:color w:val="auto"/>
          <w:sz w:val="24"/>
          <w:szCs w:val="28"/>
        </w:rPr>
      </w:pPr>
      <w:r>
        <w:rPr>
          <w:rFonts w:ascii="Times New Roman" w:hAnsi="Times New Roman" w:eastAsiaTheme="majorEastAsia"/>
          <w:bCs/>
          <w:i w:val="0"/>
          <w:color w:val="auto"/>
          <w:sz w:val="24"/>
          <w:szCs w:val="28"/>
        </w:rPr>
        <w:t>签订合同</w:t>
      </w:r>
    </w:p>
    <w:p>
      <w:pPr>
        <w:pStyle w:val="46"/>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成交供应商应按采购中心规定的时间、地点与采购人签订成交合同。成交供应商不得再与采购人签署订立背离合同实质性内容的其它协议或声明，否则按提交响应文件后撤回响应文件处理。</w:t>
      </w:r>
    </w:p>
    <w:p>
      <w:pPr>
        <w:pStyle w:val="46"/>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成交供应商应按照竞争性谈判文件、谈判响应文件及评审过程中有关的澄清说明或补正文件的内容与采购人签订合同。</w:t>
      </w:r>
    </w:p>
    <w:p>
      <w:pPr>
        <w:pStyle w:val="46"/>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谈判供应商一旦成交，签订合同后不得转包，否则将被视为成交后撤回响应文件处理。</w:t>
      </w:r>
    </w:p>
    <w:p>
      <w:pPr>
        <w:pStyle w:val="46"/>
        <w:widowControl/>
        <w:numPr>
          <w:ilvl w:val="0"/>
          <w:numId w:val="24"/>
        </w:numPr>
        <w:snapToGrid w:val="0"/>
        <w:spacing w:line="400" w:lineRule="exact"/>
        <w:ind w:firstLineChars="0"/>
        <w:rPr>
          <w:rFonts w:eastAsiaTheme="minorEastAsia"/>
          <w:kern w:val="0"/>
          <w:szCs w:val="21"/>
        </w:rPr>
      </w:pPr>
      <w:r>
        <w:rPr>
          <w:rFonts w:eastAsiaTheme="minorEastAsia"/>
          <w:kern w:val="0"/>
          <w:szCs w:val="21"/>
        </w:rPr>
        <w:t>不按约定签订或履行合同，给对方造成损失的，应承担赔偿责任。</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6" w:name="_Toc477981718"/>
      <w:r>
        <w:rPr>
          <w:rFonts w:ascii="Times New Roman" w:hAnsi="Times New Roman" w:eastAsiaTheme="minorEastAsia"/>
          <w:bCs/>
          <w:kern w:val="2"/>
          <w:sz w:val="32"/>
          <w:szCs w:val="32"/>
        </w:rPr>
        <w:t>成交服务费</w:t>
      </w:r>
      <w:bookmarkEnd w:id="36"/>
    </w:p>
    <w:p>
      <w:pPr>
        <w:widowControl/>
        <w:snapToGrid w:val="0"/>
        <w:spacing w:line="400" w:lineRule="exact"/>
        <w:ind w:firstLine="420" w:firstLineChars="200"/>
        <w:rPr>
          <w:rFonts w:eastAsiaTheme="minorEastAsia"/>
          <w:kern w:val="0"/>
          <w:szCs w:val="21"/>
        </w:rPr>
      </w:pPr>
      <w:r>
        <w:rPr>
          <w:rFonts w:eastAsiaTheme="minorEastAsia"/>
          <w:kern w:val="0"/>
          <w:szCs w:val="21"/>
        </w:rPr>
        <w:t>本次竞争性谈判收取</w:t>
      </w:r>
      <w:r>
        <w:rPr>
          <w:rFonts w:eastAsiaTheme="minorEastAsia"/>
          <w:b/>
          <w:bCs/>
          <w:kern w:val="0"/>
          <w:szCs w:val="21"/>
        </w:rPr>
        <w:t>成交管理费</w:t>
      </w:r>
      <w:r>
        <w:rPr>
          <w:rFonts w:hint="eastAsia" w:eastAsiaTheme="minorEastAsia"/>
          <w:b/>
          <w:bCs/>
          <w:kern w:val="0"/>
          <w:szCs w:val="21"/>
        </w:rPr>
        <w:t>6000</w:t>
      </w:r>
      <w:r>
        <w:rPr>
          <w:rFonts w:eastAsiaTheme="minorEastAsia"/>
          <w:b/>
          <w:bCs/>
          <w:kern w:val="0"/>
          <w:szCs w:val="21"/>
        </w:rPr>
        <w:t>元</w:t>
      </w:r>
      <w:r>
        <w:rPr>
          <w:rFonts w:eastAsiaTheme="minorEastAsia"/>
          <w:kern w:val="0"/>
          <w:szCs w:val="21"/>
        </w:rPr>
        <w:t>，请谈判供应商在测算报价时充分考虑这一因素。</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7" w:name="_Toc477981719"/>
      <w:r>
        <w:rPr>
          <w:rFonts w:ascii="Times New Roman" w:hAnsi="Times New Roman" w:eastAsiaTheme="minorEastAsia"/>
          <w:bCs/>
          <w:kern w:val="2"/>
          <w:sz w:val="32"/>
          <w:szCs w:val="32"/>
        </w:rPr>
        <w:t>处罚、询问和质疑</w:t>
      </w:r>
      <w:bookmarkEnd w:id="37"/>
    </w:p>
    <w:p>
      <w:pPr>
        <w:widowControl/>
        <w:snapToGrid w:val="0"/>
        <w:spacing w:line="400" w:lineRule="exact"/>
        <w:ind w:firstLine="420" w:firstLineChars="200"/>
        <w:rPr>
          <w:rFonts w:eastAsiaTheme="minorEastAsia"/>
          <w:kern w:val="0"/>
          <w:szCs w:val="21"/>
        </w:rPr>
      </w:pPr>
      <w:r>
        <w:rPr>
          <w:rFonts w:eastAsiaTheme="minorEastAsia"/>
          <w:kern w:val="0"/>
          <w:szCs w:val="21"/>
        </w:rPr>
        <w:t>发生下列情况之一，谈判供应商将列入不良记录名单，谈判供应商今后参与同类政府采购项目的机会可能会受到影响：</w:t>
      </w:r>
    </w:p>
    <w:p>
      <w:pPr>
        <w:pStyle w:val="46"/>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在谈判响应文件有效期内，谈判供应商撤回其响应文件；</w:t>
      </w:r>
    </w:p>
    <w:p>
      <w:pPr>
        <w:pStyle w:val="46"/>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成交供应商未按本谈判文件规定签约；</w:t>
      </w:r>
    </w:p>
    <w:p>
      <w:pPr>
        <w:pStyle w:val="46"/>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成交供应商与采购人订立背离合同实质性内容的其它协议；</w:t>
      </w:r>
    </w:p>
    <w:p>
      <w:pPr>
        <w:pStyle w:val="46"/>
        <w:widowControl/>
        <w:numPr>
          <w:ilvl w:val="0"/>
          <w:numId w:val="25"/>
        </w:numPr>
        <w:snapToGrid w:val="0"/>
        <w:spacing w:line="400" w:lineRule="exact"/>
        <w:ind w:firstLineChars="0"/>
        <w:rPr>
          <w:rFonts w:eastAsiaTheme="minorEastAsia"/>
          <w:kern w:val="0"/>
          <w:szCs w:val="21"/>
        </w:rPr>
      </w:pPr>
      <w:r>
        <w:rPr>
          <w:rFonts w:eastAsiaTheme="minorEastAsia"/>
          <w:kern w:val="0"/>
          <w:szCs w:val="21"/>
        </w:rPr>
        <w:t>谈判供应商其它未按谈判文件规定和合同约定履行义务的行为。</w:t>
      </w:r>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谈判供应商有权就竞争性谈判事宜提出质疑</w:t>
      </w:r>
    </w:p>
    <w:p>
      <w:pPr>
        <w:pStyle w:val="46"/>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谈判供应商对采购事项有疑问的，可以按照《中央国家机关政府采购中心供应商询问、质疑处理暂行办法》向采购人或采购中心提出询问。</w:t>
      </w:r>
    </w:p>
    <w:p>
      <w:pPr>
        <w:pStyle w:val="46"/>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谈判程序受《中华人民共和国政府采购法》和相关法律法规的约束，并受到严格的内部监察，以确保授予合同过程的公平公正。</w:t>
      </w:r>
    </w:p>
    <w:p>
      <w:pPr>
        <w:pStyle w:val="46"/>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谈判供应商对谈判文件条款或技术参数有异议的，应当在提交谈判响应文件截止时间前通过澄清或修改程序提出。谈判供应商在提交谈判响应文件截止时间后对谈判文件提出质疑的，其质疑应当被视为无效质疑。</w:t>
      </w:r>
    </w:p>
    <w:p>
      <w:pPr>
        <w:pStyle w:val="46"/>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 xml:space="preserve">若谈判供应商认为其响应文件未获公平评审或采购过程和谈判结果使自己的合法权益受到损害的，可以在知道或者应知其权益受到损害之日起7个工作日内提出质疑。 </w:t>
      </w:r>
    </w:p>
    <w:p>
      <w:pPr>
        <w:pStyle w:val="46"/>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质疑应当按照《中央国家机关政府采购中心供应商询问、质疑处理暂行办法》规定，以书面形式向采购人或采购中心提出，经法定代表人签字并加盖公章。</w:t>
      </w:r>
    </w:p>
    <w:p>
      <w:pPr>
        <w:pStyle w:val="46"/>
        <w:widowControl/>
        <w:numPr>
          <w:ilvl w:val="0"/>
          <w:numId w:val="26"/>
        </w:numPr>
        <w:snapToGrid w:val="0"/>
        <w:spacing w:line="400" w:lineRule="exact"/>
        <w:ind w:firstLineChars="0"/>
        <w:rPr>
          <w:rFonts w:eastAsiaTheme="minorEastAsia"/>
          <w:kern w:val="0"/>
          <w:szCs w:val="21"/>
        </w:rPr>
      </w:pPr>
      <w:r>
        <w:rPr>
          <w:rFonts w:eastAsiaTheme="minorEastAsia"/>
          <w:kern w:val="0"/>
          <w:szCs w:val="21"/>
        </w:rPr>
        <w:t>质疑书应当包括以下主要内容：被质疑项目名称、项目编号、包号、谈判公告发布时间、质疑事项、法律依据（具体条款）、法定代表人签字、盖章、有效联系方式（包括手机、传真号码）。按照“谁主张、谁举证”的原则，质疑书应当附上相关证明材料，否则质疑将视为无有效证据支持，将被予以驳回。</w:t>
      </w:r>
    </w:p>
    <w:p>
      <w:pPr>
        <w:widowControl/>
        <w:snapToGrid w:val="0"/>
        <w:spacing w:line="400" w:lineRule="exact"/>
        <w:ind w:firstLine="420" w:firstLineChars="200"/>
        <w:rPr>
          <w:rFonts w:eastAsiaTheme="minorEastAsia"/>
          <w:kern w:val="0"/>
          <w:szCs w:val="21"/>
        </w:rPr>
      </w:pPr>
      <w:r>
        <w:rPr>
          <w:rFonts w:eastAsiaTheme="minorEastAsia"/>
          <w:kern w:val="0"/>
          <w:szCs w:val="21"/>
        </w:rPr>
        <w:t>有下列情形之一的，属于无效质疑，采购中心可不予受理：</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未在有效期限内提出质疑的；</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质疑未以书面形式提出的；</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所提交材料未明示属于质疑材料的；</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质疑书没有法定代表人签署本人姓名或印盖本人姓名章并加盖单位公章；质疑书由参加采购项目的授权代表签署本人姓名或印盖本人姓名章的，没有法定代表人的特别授权；质疑书加盖合同专用章的；</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质疑书未提供有效联系人或联系方式的；</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质疑事项已经进入投诉或者诉讼程序的；</w:t>
      </w:r>
    </w:p>
    <w:p>
      <w:pPr>
        <w:pStyle w:val="46"/>
        <w:widowControl/>
        <w:numPr>
          <w:ilvl w:val="0"/>
          <w:numId w:val="27"/>
        </w:numPr>
        <w:snapToGrid w:val="0"/>
        <w:spacing w:line="400" w:lineRule="exact"/>
        <w:ind w:firstLineChars="0"/>
        <w:rPr>
          <w:rFonts w:eastAsiaTheme="minorEastAsia"/>
          <w:kern w:val="0"/>
          <w:szCs w:val="21"/>
        </w:rPr>
      </w:pPr>
      <w:r>
        <w:rPr>
          <w:rFonts w:eastAsiaTheme="minorEastAsia"/>
          <w:kern w:val="0"/>
          <w:szCs w:val="21"/>
        </w:rPr>
        <w:t>其它不符合受理条件的情形。</w:t>
      </w:r>
    </w:p>
    <w:p>
      <w:pPr>
        <w:widowControl/>
        <w:snapToGrid w:val="0"/>
        <w:spacing w:line="400" w:lineRule="exact"/>
        <w:ind w:firstLine="420" w:firstLineChars="200"/>
        <w:rPr>
          <w:rFonts w:eastAsiaTheme="minorEastAsia"/>
          <w:kern w:val="0"/>
          <w:szCs w:val="21"/>
        </w:rPr>
      </w:pPr>
      <w:r>
        <w:rPr>
          <w:rFonts w:eastAsiaTheme="minorEastAsia"/>
          <w:kern w:val="0"/>
          <w:szCs w:val="21"/>
        </w:rPr>
        <w:t>采购人或采购中心将在收到书面质疑后7个工作日内审查质疑事项，作出答复或相关处理决定，并以书面形式通知质疑谈判供应商和其他有关供应商，但答复的内容不涉及商业秘密。若质疑涉及政府采购制度或程序，将被转交政府采购的管理部门审查。</w:t>
      </w:r>
    </w:p>
    <w:p>
      <w:pPr>
        <w:widowControl/>
        <w:snapToGrid w:val="0"/>
        <w:spacing w:line="400" w:lineRule="exact"/>
        <w:ind w:firstLine="420" w:firstLineChars="200"/>
        <w:rPr>
          <w:rFonts w:eastAsiaTheme="minorEastAsia"/>
          <w:kern w:val="0"/>
          <w:szCs w:val="21"/>
        </w:rPr>
      </w:pPr>
      <w:r>
        <w:rPr>
          <w:rFonts w:eastAsiaTheme="minorEastAsia"/>
          <w:kern w:val="0"/>
          <w:szCs w:val="21"/>
        </w:rPr>
        <w:t>质疑人有下列情形之一的，采购中心应驳回质疑：</w:t>
      </w:r>
    </w:p>
    <w:p>
      <w:pPr>
        <w:pStyle w:val="46"/>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质疑缺乏事实和法律依据的；</w:t>
      </w:r>
    </w:p>
    <w:p>
      <w:pPr>
        <w:pStyle w:val="46"/>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质疑人捏造事实、提供虚假材料，或在一定期限内多次质疑而无实据的；</w:t>
      </w:r>
    </w:p>
    <w:p>
      <w:pPr>
        <w:pStyle w:val="46"/>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质疑已经处理并答复后，质疑人就同一事项又提起质疑且未提供新的有效证据的；</w:t>
      </w:r>
    </w:p>
    <w:p>
      <w:pPr>
        <w:pStyle w:val="46"/>
        <w:widowControl/>
        <w:numPr>
          <w:ilvl w:val="0"/>
          <w:numId w:val="28"/>
        </w:numPr>
        <w:snapToGrid w:val="0"/>
        <w:spacing w:line="400" w:lineRule="exact"/>
        <w:ind w:firstLineChars="0"/>
        <w:rPr>
          <w:rFonts w:eastAsiaTheme="minorEastAsia"/>
          <w:kern w:val="0"/>
          <w:szCs w:val="21"/>
        </w:rPr>
      </w:pPr>
      <w:r>
        <w:rPr>
          <w:rFonts w:eastAsiaTheme="minorEastAsia"/>
          <w:kern w:val="0"/>
          <w:szCs w:val="21"/>
        </w:rPr>
        <w:t>其他根据相关法律、法规应当予以驳回的情形。</w:t>
      </w:r>
    </w:p>
    <w:p>
      <w:pPr>
        <w:widowControl/>
        <w:snapToGrid w:val="0"/>
        <w:spacing w:line="400" w:lineRule="exact"/>
        <w:ind w:firstLine="420" w:firstLineChars="200"/>
        <w:rPr>
          <w:rFonts w:eastAsiaTheme="minorEastAsia"/>
          <w:kern w:val="0"/>
          <w:szCs w:val="21"/>
        </w:rPr>
      </w:pPr>
      <w:r>
        <w:rPr>
          <w:rFonts w:eastAsiaTheme="minorEastAsia"/>
          <w:kern w:val="0"/>
          <w:szCs w:val="21"/>
        </w:rPr>
        <w:t>供应商进行虚假和恶意质疑的，采购中心可以提请有关部门将其列入不良记录名单，在一至三年内禁止参加政府采购活动，并将处理决定在相关政府采购媒体上公布。</w:t>
      </w:r>
    </w:p>
    <w:p>
      <w:pPr>
        <w:widowControl/>
        <w:snapToGrid w:val="0"/>
        <w:spacing w:line="400" w:lineRule="exact"/>
        <w:ind w:firstLine="420" w:firstLineChars="200"/>
        <w:rPr>
          <w:rFonts w:eastAsiaTheme="minorEastAsia"/>
          <w:kern w:val="0"/>
          <w:szCs w:val="21"/>
        </w:rPr>
      </w:pPr>
      <w:r>
        <w:rPr>
          <w:rFonts w:eastAsiaTheme="minorEastAsia"/>
          <w:kern w:val="0"/>
          <w:szCs w:val="21"/>
        </w:rPr>
        <w:t>质疑谈判供应商对采购人或采购中心的答复不满意以及采购人或采购中心未在规定的时间内做出答复的，可以在答复期满后15个工作日内向财政部投诉。</w:t>
      </w:r>
    </w:p>
    <w:p>
      <w:pPr>
        <w:pStyle w:val="4"/>
        <w:keepNext/>
        <w:keepLines/>
        <w:numPr>
          <w:ilvl w:val="0"/>
          <w:numId w:val="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38" w:name="_Toc477981720"/>
      <w:r>
        <w:rPr>
          <w:rFonts w:ascii="Times New Roman" w:hAnsi="Times New Roman" w:eastAsiaTheme="minorEastAsia"/>
          <w:bCs/>
          <w:kern w:val="2"/>
          <w:sz w:val="32"/>
          <w:szCs w:val="32"/>
        </w:rPr>
        <w:t>保密和披露</w:t>
      </w:r>
      <w:bookmarkEnd w:id="38"/>
    </w:p>
    <w:p>
      <w:pPr>
        <w:widowControl/>
        <w:snapToGrid w:val="0"/>
        <w:spacing w:line="400" w:lineRule="exact"/>
        <w:ind w:firstLine="420" w:firstLineChars="200"/>
        <w:rPr>
          <w:rFonts w:eastAsiaTheme="minorEastAsia"/>
          <w:kern w:val="0"/>
          <w:szCs w:val="21"/>
        </w:rPr>
      </w:pPr>
      <w:r>
        <w:rPr>
          <w:rFonts w:eastAsiaTheme="minorEastAsia"/>
          <w:kern w:val="0"/>
          <w:szCs w:val="21"/>
        </w:rPr>
        <w:t>谈判供应商自领取谈判文件之日起，须承诺承担本谈判项目下保密义务，不得将因本次谈判获得的信息向第三人外传。</w:t>
      </w:r>
    </w:p>
    <w:p>
      <w:pPr>
        <w:widowControl/>
        <w:snapToGrid w:val="0"/>
        <w:spacing w:line="400" w:lineRule="exact"/>
        <w:ind w:firstLine="420" w:firstLineChars="200"/>
        <w:rPr>
          <w:rFonts w:eastAsiaTheme="minorEastAsia"/>
          <w:kern w:val="0"/>
          <w:szCs w:val="21"/>
        </w:rPr>
      </w:pPr>
      <w:r>
        <w:rPr>
          <w:rFonts w:eastAsiaTheme="minorEastAsia"/>
          <w:kern w:val="0"/>
          <w:szCs w:val="21"/>
        </w:rPr>
        <w:t>采购中心有权将谈判供应商提供的所有资料向有关政府部门或谈判小组的有关人员披露。</w:t>
      </w:r>
    </w:p>
    <w:p>
      <w:pPr>
        <w:widowControl/>
        <w:snapToGrid w:val="0"/>
        <w:spacing w:line="400" w:lineRule="exact"/>
        <w:ind w:firstLine="420" w:firstLineChars="200"/>
        <w:rPr>
          <w:rFonts w:eastAsiaTheme="minorEastAsia"/>
          <w:kern w:val="0"/>
          <w:szCs w:val="21"/>
        </w:rPr>
      </w:pPr>
      <w:r>
        <w:rPr>
          <w:rFonts w:eastAsiaTheme="minorEastAsia"/>
          <w:kern w:val="0"/>
          <w:szCs w:val="21"/>
        </w:rPr>
        <w:t>在采购中心认为适当时、国家机关调查、审查、审计时以及其他符合法律规定的情形下，采购中心无须事先征求谈判供应商/成交供应商同意而可以披露关于采购过程、合同文本、签署情况的资料、谈判供应商/成交供应商的名称及地址、谈判文件的有关信息以及补充条款等，但应当在合理的必要范围内。对任何已经公布过的内容或与之内容相同的资料，以及谈判供应商/成交供应商已经泄露或公开的，无须再承担保密责任。</w:t>
      </w:r>
      <w:bookmarkStart w:id="39" w:name="_Toc86202592"/>
      <w:bookmarkEnd w:id="39"/>
    </w:p>
    <w:p>
      <w:pPr>
        <w:pStyle w:val="3"/>
        <w:spacing w:line="415" w:lineRule="auto"/>
        <w:ind w:left="420" w:hanging="420"/>
        <w:jc w:val="center"/>
        <w:rPr>
          <w:rFonts w:ascii="Times New Roman" w:hAnsi="Times New Roman" w:eastAsiaTheme="minorEastAsia"/>
          <w:sz w:val="21"/>
          <w:szCs w:val="21"/>
        </w:rPr>
      </w:pPr>
      <w:r>
        <w:br w:type="page"/>
      </w:r>
      <w:bookmarkStart w:id="40" w:name="_Toc477456210"/>
      <w:bookmarkStart w:id="41" w:name="_Ref477964013"/>
      <w:bookmarkStart w:id="42" w:name="_Toc477459650"/>
      <w:bookmarkStart w:id="43" w:name="_Toc477981721"/>
      <w:r>
        <w:rPr>
          <w:rFonts w:ascii="Times New Roman" w:hAnsi="Times New Roman" w:eastAsiaTheme="majorEastAsia"/>
        </w:rPr>
        <w:t xml:space="preserve">第四部分  </w:t>
      </w:r>
      <w:bookmarkStart w:id="44" w:name="评标标准和评标办法"/>
      <w:r>
        <w:rPr>
          <w:rFonts w:ascii="Times New Roman" w:hAnsi="Times New Roman" w:eastAsiaTheme="majorEastAsia"/>
        </w:rPr>
        <w:t>评标标准和评标办法</w:t>
      </w:r>
      <w:bookmarkEnd w:id="40"/>
      <w:bookmarkEnd w:id="41"/>
      <w:bookmarkEnd w:id="42"/>
      <w:bookmarkEnd w:id="43"/>
      <w:bookmarkEnd w:id="44"/>
    </w:p>
    <w:p>
      <w:pPr>
        <w:snapToGrid w:val="0"/>
        <w:spacing w:line="400" w:lineRule="exact"/>
        <w:ind w:firstLine="420" w:firstLineChars="200"/>
        <w:rPr>
          <w:rFonts w:eastAsiaTheme="minorEastAsia"/>
          <w:szCs w:val="21"/>
        </w:rPr>
      </w:pPr>
      <w:r>
        <w:rPr>
          <w:rFonts w:eastAsiaTheme="minorEastAsia"/>
          <w:szCs w:val="21"/>
        </w:rPr>
        <w:t>按照《政府采购非招标采购方式管理办法》（财库〔2013〕74号）文件规定，竞争性</w:t>
      </w:r>
      <w:r>
        <w:rPr>
          <w:rFonts w:hint="eastAsia" w:eastAsiaTheme="minorEastAsia"/>
          <w:szCs w:val="21"/>
        </w:rPr>
        <w:t>谈判小组应当从质量和服务均能满足采购文件实质性响应要求的供应商中按照最后报价由低到高的顺序提出3名以上成交候选人，并编写评审报告。按照《中华人民共和</w:t>
      </w:r>
      <w:del w:id="0" w:author="LQY" w:date="2024-02-07T17:53:49Z">
        <w:r>
          <w:rPr>
            <w:rFonts w:hint="default" w:eastAsiaTheme="minorEastAsia"/>
            <w:szCs w:val="21"/>
            <w:lang w:val="en-US"/>
          </w:rPr>
          <w:delText>共</w:delText>
        </w:r>
      </w:del>
      <w:ins w:id="1" w:author="LQY" w:date="2024-02-07T17:53:50Z">
        <w:r>
          <w:rPr>
            <w:rFonts w:hint="eastAsia" w:eastAsiaTheme="minorEastAsia"/>
            <w:szCs w:val="21"/>
            <w:lang w:val="en-US" w:eastAsia="zh-CN"/>
          </w:rPr>
          <w:t>国</w:t>
        </w:r>
      </w:ins>
      <w:r>
        <w:rPr>
          <w:rFonts w:hint="eastAsia" w:eastAsiaTheme="minorEastAsia"/>
          <w:szCs w:val="21"/>
        </w:rPr>
        <w:t>政府采购法》规定，谈判结束后，谈判小组应当要求参加谈判的供应商在规定的时间内进行最后报价，采购人从谈判小组提出的成交候选人中根据符合采购需求、质量和服务相等且报价最低的原则确定成交供应商。</w:t>
      </w:r>
      <w:bookmarkStart w:id="89" w:name="_GoBack"/>
      <w:bookmarkEnd w:id="89"/>
    </w:p>
    <w:p>
      <w:pPr>
        <w:snapToGrid w:val="0"/>
        <w:spacing w:line="400" w:lineRule="exact"/>
        <w:ind w:firstLine="420" w:firstLineChars="200"/>
        <w:rPr>
          <w:rFonts w:eastAsiaTheme="minorEastAsia"/>
          <w:szCs w:val="21"/>
        </w:rPr>
      </w:pPr>
      <w:r>
        <w:rPr>
          <w:rFonts w:eastAsiaTheme="minorEastAsia"/>
          <w:szCs w:val="21"/>
        </w:rPr>
        <w:t>因此</w:t>
      </w:r>
      <w:r>
        <w:rPr>
          <w:rFonts w:hint="eastAsia" w:eastAsiaTheme="minorEastAsia"/>
          <w:szCs w:val="21"/>
        </w:rPr>
        <w:t>，</w:t>
      </w:r>
      <w:r>
        <w:rPr>
          <w:rFonts w:eastAsiaTheme="minorEastAsia"/>
          <w:szCs w:val="21"/>
        </w:rPr>
        <w:t>此次谈判严格遵照上述规定</w:t>
      </w:r>
      <w:r>
        <w:rPr>
          <w:rFonts w:hint="eastAsia" w:eastAsiaTheme="minorEastAsia"/>
          <w:szCs w:val="21"/>
        </w:rPr>
        <w:t>，</w:t>
      </w:r>
      <w:r>
        <w:rPr>
          <w:rFonts w:eastAsiaTheme="minorEastAsia"/>
          <w:szCs w:val="21"/>
        </w:rPr>
        <w:t>各供应商有两轮报价机会</w:t>
      </w:r>
      <w:r>
        <w:rPr>
          <w:rFonts w:hint="eastAsia" w:eastAsiaTheme="minorEastAsia"/>
          <w:szCs w:val="21"/>
        </w:rPr>
        <w:t>，</w:t>
      </w:r>
      <w:r>
        <w:rPr>
          <w:rFonts w:eastAsiaTheme="minorEastAsia"/>
          <w:szCs w:val="21"/>
        </w:rPr>
        <w:t>其中</w:t>
      </w:r>
      <w:r>
        <w:rPr>
          <w:rFonts w:hint="eastAsia" w:eastAsiaTheme="minorEastAsia"/>
          <w:szCs w:val="21"/>
        </w:rPr>
        <w:t>，</w:t>
      </w:r>
      <w:r>
        <w:rPr>
          <w:rFonts w:eastAsiaTheme="minorEastAsia"/>
          <w:szCs w:val="21"/>
        </w:rPr>
        <w:t>第二轮报价为最终报价</w:t>
      </w:r>
      <w:r>
        <w:rPr>
          <w:rFonts w:hint="eastAsia" w:eastAsiaTheme="minorEastAsia"/>
          <w:szCs w:val="21"/>
        </w:rPr>
        <w:t>，谈判小组应当从质量和服务均能满足采购文件实质性响应要求的供应商中按照最后报价由低到高的顺序提出3名以上成交候选人，并编写评审报告，采购人根据小组提交的评审报告根据符合采购需求、质量和服务相等且报价最低的原则确定成交供应商。</w:t>
      </w:r>
    </w:p>
    <w:p>
      <w:pPr>
        <w:widowControl/>
        <w:jc w:val="left"/>
        <w:rPr>
          <w:rFonts w:eastAsiaTheme="minorEastAsia"/>
          <w:szCs w:val="21"/>
        </w:rPr>
      </w:pPr>
      <w:r>
        <w:rPr>
          <w:rFonts w:eastAsiaTheme="minorEastAsia"/>
          <w:szCs w:val="21"/>
        </w:rPr>
        <w:br w:type="page"/>
      </w:r>
    </w:p>
    <w:p>
      <w:pPr>
        <w:pStyle w:val="3"/>
        <w:spacing w:line="415" w:lineRule="auto"/>
        <w:ind w:left="420" w:hanging="420"/>
        <w:jc w:val="center"/>
        <w:rPr>
          <w:rFonts w:ascii="Times New Roman" w:hAnsi="Times New Roman" w:eastAsiaTheme="majorEastAsia"/>
        </w:rPr>
      </w:pPr>
      <w:commentRangeStart w:id="0"/>
      <w:bookmarkStart w:id="45" w:name="_Ref477961415"/>
      <w:bookmarkStart w:id="46" w:name="_Toc477981722"/>
      <w:r>
        <w:rPr>
          <w:rFonts w:ascii="Times New Roman" w:hAnsi="Times New Roman" w:eastAsiaTheme="majorEastAsia"/>
        </w:rPr>
        <w:t>第</w:t>
      </w:r>
      <w:r>
        <w:rPr>
          <w:rFonts w:hint="eastAsia" w:ascii="Times New Roman" w:hAnsi="Times New Roman" w:eastAsiaTheme="majorEastAsia"/>
        </w:rPr>
        <w:t>五</w:t>
      </w:r>
      <w:r>
        <w:rPr>
          <w:rFonts w:ascii="Times New Roman" w:hAnsi="Times New Roman" w:eastAsiaTheme="majorEastAsia"/>
        </w:rPr>
        <w:t xml:space="preserve">部分  </w:t>
      </w:r>
      <w:r>
        <w:rPr>
          <w:rFonts w:hint="eastAsia" w:ascii="Times New Roman" w:hAnsi="Times New Roman" w:eastAsiaTheme="majorEastAsia"/>
        </w:rPr>
        <w:t>谈判货物、服务的具体</w:t>
      </w:r>
      <w:r>
        <w:rPr>
          <w:rFonts w:ascii="Times New Roman" w:hAnsi="Times New Roman" w:eastAsiaTheme="majorEastAsia"/>
        </w:rPr>
        <w:t>要求</w:t>
      </w:r>
      <w:commentRangeEnd w:id="0"/>
      <w:r>
        <w:rPr>
          <w:rStyle w:val="21"/>
          <w:rFonts w:ascii="Times New Roman" w:hAnsi="Times New Roman" w:eastAsia="宋体"/>
          <w:b w:val="0"/>
          <w:bCs w:val="0"/>
        </w:rPr>
        <w:commentReference w:id="0"/>
      </w:r>
      <w:bookmarkEnd w:id="45"/>
      <w:bookmarkEnd w:id="46"/>
      <w:bookmarkStart w:id="47" w:name="RANGE!A1:G44"/>
      <w:bookmarkEnd w:id="47"/>
    </w:p>
    <w:p>
      <w:pPr>
        <w:pStyle w:val="2"/>
        <w:spacing w:before="0" w:after="0" w:line="240" w:lineRule="auto"/>
        <w:rPr>
          <w:rFonts w:ascii="黑体" w:hAnsi="黑体" w:eastAsia="黑体"/>
          <w:sz w:val="32"/>
          <w:szCs w:val="32"/>
        </w:rPr>
      </w:pPr>
      <w:bookmarkStart w:id="48" w:name="_Toc329074206"/>
      <w:r>
        <w:rPr>
          <w:rFonts w:hint="eastAsia" w:ascii="黑体" w:hAnsi="黑体" w:eastAsia="黑体"/>
          <w:sz w:val="32"/>
          <w:szCs w:val="32"/>
        </w:rPr>
        <w:t>一、项目</w:t>
      </w:r>
      <w:bookmarkEnd w:id="48"/>
      <w:r>
        <w:rPr>
          <w:rFonts w:hint="eastAsia" w:ascii="黑体" w:hAnsi="黑体" w:eastAsia="黑体"/>
          <w:sz w:val="32"/>
          <w:szCs w:val="32"/>
        </w:rPr>
        <w:t>介绍</w:t>
      </w:r>
    </w:p>
    <w:p>
      <w:pPr>
        <w:ind w:firstLine="420" w:firstLineChars="200"/>
        <w:rPr>
          <w:rFonts w:ascii="宋体" w:hAnsi="宋体" w:cs="宋体"/>
          <w:szCs w:val="21"/>
        </w:rPr>
      </w:pPr>
      <w:r>
        <w:rPr>
          <w:rFonts w:hint="eastAsia" w:ascii="宋体" w:hAnsi="宋体" w:cs="宋体"/>
          <w:szCs w:val="21"/>
        </w:rPr>
        <w:t>本项目主要采购以下项目：</w:t>
      </w:r>
    </w:p>
    <w:p>
      <w:pPr>
        <w:numPr>
          <w:ilvl w:val="0"/>
          <w:numId w:val="29"/>
        </w:numPr>
        <w:autoSpaceDE w:val="0"/>
        <w:autoSpaceDN w:val="0"/>
        <w:adjustRightInd w:val="0"/>
        <w:jc w:val="left"/>
        <w:rPr>
          <w:rFonts w:ascii="宋体" w:hAnsi="宋体" w:cs="宋体"/>
          <w:szCs w:val="21"/>
        </w:rPr>
      </w:pPr>
      <w:r>
        <w:rPr>
          <w:rFonts w:hint="eastAsia" w:ascii="宋体" w:hAnsi="宋体" w:cs="宋体"/>
          <w:szCs w:val="21"/>
        </w:rPr>
        <w:t>沙河校区学院五号楼113机房UPS供电系统改造工程，包括：</w:t>
      </w:r>
    </w:p>
    <w:p>
      <w:pPr>
        <w:numPr>
          <w:ilvl w:val="0"/>
          <w:numId w:val="30"/>
        </w:numPr>
        <w:autoSpaceDE w:val="0"/>
        <w:autoSpaceDN w:val="0"/>
        <w:adjustRightInd w:val="0"/>
        <w:jc w:val="left"/>
        <w:rPr>
          <w:rFonts w:ascii="宋体" w:hAnsi="宋体" w:cs="宋体"/>
          <w:szCs w:val="21"/>
        </w:rPr>
      </w:pPr>
      <w:r>
        <w:rPr>
          <w:rFonts w:hint="eastAsia" w:ascii="宋体" w:hAnsi="宋体" w:cs="宋体"/>
          <w:szCs w:val="21"/>
        </w:rPr>
        <w:t xml:space="preserve">在沙河学院五号楼114室内安装市电双路ATS系统配电柜，输入来自该配电室的两路变压器，输出为113房间内的两台UPS主机。 </w:t>
      </w:r>
    </w:p>
    <w:p>
      <w:pPr>
        <w:numPr>
          <w:ilvl w:val="0"/>
          <w:numId w:val="29"/>
        </w:numPr>
        <w:autoSpaceDE w:val="0"/>
        <w:autoSpaceDN w:val="0"/>
        <w:adjustRightInd w:val="0"/>
        <w:jc w:val="left"/>
        <w:rPr>
          <w:rFonts w:ascii="宋体" w:hAnsi="宋体" w:cs="宋体"/>
          <w:szCs w:val="21"/>
        </w:rPr>
      </w:pPr>
      <w:r>
        <w:rPr>
          <w:rFonts w:hint="eastAsia" w:ascii="宋体" w:hAnsi="宋体" w:cs="宋体"/>
          <w:szCs w:val="21"/>
        </w:rPr>
        <w:t>学院南路校区电教楼106机房电气系统改造工程、UPS机房供电系统以及该机房的环境监控系统。工程包括以下内容：</w:t>
      </w:r>
    </w:p>
    <w:p>
      <w:pPr>
        <w:numPr>
          <w:ilvl w:val="0"/>
          <w:numId w:val="31"/>
        </w:numPr>
        <w:autoSpaceDE w:val="0"/>
        <w:autoSpaceDN w:val="0"/>
        <w:adjustRightInd w:val="0"/>
        <w:jc w:val="left"/>
        <w:rPr>
          <w:rFonts w:ascii="宋体" w:hAnsi="宋体" w:cs="宋体"/>
          <w:szCs w:val="21"/>
        </w:rPr>
      </w:pPr>
      <w:r>
        <w:rPr>
          <w:rFonts w:hint="eastAsia" w:ascii="宋体" w:hAnsi="宋体" w:cs="宋体"/>
          <w:szCs w:val="21"/>
        </w:rPr>
        <w:t>学院南路校区电教楼106机房电气系统改造工程，含室外双路供电线路进机房配电柜线路敷设，市电双路ATS系统配电柜和</w:t>
      </w:r>
      <w:r>
        <w:rPr>
          <w:rFonts w:ascii="宋体" w:hAnsi="宋体"/>
          <w:szCs w:val="21"/>
        </w:rPr>
        <w:t>32</w:t>
      </w:r>
      <w:r>
        <w:rPr>
          <w:rFonts w:hint="eastAsia" w:ascii="宋体" w:hAnsi="宋体"/>
          <w:szCs w:val="21"/>
        </w:rPr>
        <w:t>A 16口PD</w:t>
      </w:r>
      <w:r>
        <w:rPr>
          <w:rFonts w:ascii="宋体" w:hAnsi="宋体"/>
          <w:szCs w:val="21"/>
        </w:rPr>
        <w:t>U</w:t>
      </w:r>
      <w:r>
        <w:rPr>
          <w:rFonts w:hint="eastAsia" w:ascii="宋体" w:hAnsi="宋体"/>
          <w:szCs w:val="21"/>
        </w:rPr>
        <w:t xml:space="preserve"> 、</w:t>
      </w:r>
      <w:r>
        <w:rPr>
          <w:rFonts w:hint="eastAsia" w:ascii="宋体" w:hAnsi="宋体" w:cs="宋体"/>
          <w:szCs w:val="21"/>
        </w:rPr>
        <w:t>机房专用32A</w:t>
      </w:r>
      <w:r>
        <w:rPr>
          <w:rFonts w:hint="eastAsia" w:ascii="宋体" w:hAnsi="宋体"/>
          <w:szCs w:val="21"/>
        </w:rPr>
        <w:t>工业连接器、桥架以及线路铺设。</w:t>
      </w:r>
    </w:p>
    <w:p>
      <w:pPr>
        <w:numPr>
          <w:ilvl w:val="0"/>
          <w:numId w:val="31"/>
        </w:numPr>
        <w:autoSpaceDE w:val="0"/>
        <w:autoSpaceDN w:val="0"/>
        <w:adjustRightInd w:val="0"/>
        <w:jc w:val="left"/>
        <w:rPr>
          <w:rFonts w:ascii="宋体" w:hAnsi="宋体" w:cs="宋体"/>
          <w:szCs w:val="21"/>
        </w:rPr>
      </w:pPr>
      <w:r>
        <w:rPr>
          <w:rFonts w:hint="eastAsia" w:ascii="宋体" w:hAnsi="宋体" w:cs="宋体"/>
          <w:szCs w:val="21"/>
        </w:rPr>
        <w:t>UPS系统所需硬件和配电柜，包括到各机柜强电线路布线、设备的安装调试、售后质量保证及技术支持、培训等服务。</w:t>
      </w:r>
    </w:p>
    <w:p>
      <w:pPr>
        <w:numPr>
          <w:ilvl w:val="0"/>
          <w:numId w:val="31"/>
        </w:numPr>
        <w:autoSpaceDE w:val="0"/>
        <w:autoSpaceDN w:val="0"/>
        <w:adjustRightInd w:val="0"/>
        <w:jc w:val="left"/>
        <w:rPr>
          <w:rFonts w:ascii="宋体" w:hAnsi="宋体" w:cs="宋体"/>
          <w:szCs w:val="21"/>
        </w:rPr>
      </w:pPr>
      <w:r>
        <w:rPr>
          <w:rFonts w:hint="eastAsia" w:ascii="宋体" w:hAnsi="宋体" w:cs="宋体"/>
          <w:szCs w:val="21"/>
        </w:rPr>
        <w:t>学院南路校区106机房环境监控系统，含动力电路、ups、空调、温湿度、漏水、消防监控。</w:t>
      </w:r>
    </w:p>
    <w:p>
      <w:pPr>
        <w:numPr>
          <w:ilvl w:val="0"/>
          <w:numId w:val="31"/>
        </w:numPr>
        <w:autoSpaceDE w:val="0"/>
        <w:autoSpaceDN w:val="0"/>
        <w:adjustRightInd w:val="0"/>
        <w:jc w:val="left"/>
        <w:rPr>
          <w:rFonts w:ascii="宋体" w:hAnsi="宋体" w:cs="宋体"/>
          <w:szCs w:val="21"/>
        </w:rPr>
      </w:pPr>
      <w:r>
        <w:rPr>
          <w:rFonts w:ascii="宋体" w:hAnsi="宋体" w:cs="宋体"/>
          <w:szCs w:val="21"/>
        </w:rPr>
        <w:t>更换学院南路校区</w:t>
      </w:r>
      <w:r>
        <w:rPr>
          <w:rFonts w:hint="eastAsia" w:ascii="宋体" w:hAnsi="宋体" w:cs="宋体"/>
          <w:szCs w:val="21"/>
        </w:rPr>
        <w:t>1</w:t>
      </w:r>
      <w:r>
        <w:rPr>
          <w:rFonts w:ascii="宋体" w:hAnsi="宋体" w:cs="宋体"/>
          <w:szCs w:val="21"/>
        </w:rPr>
        <w:t>06机房地板</w:t>
      </w:r>
      <w:r>
        <w:rPr>
          <w:rFonts w:hint="eastAsia" w:ascii="宋体" w:hAnsi="宋体" w:cs="宋体"/>
          <w:szCs w:val="21"/>
        </w:rPr>
        <w:t>（约2</w:t>
      </w:r>
      <w:r>
        <w:rPr>
          <w:rFonts w:ascii="宋体" w:hAnsi="宋体" w:cs="宋体"/>
          <w:szCs w:val="21"/>
        </w:rPr>
        <w:t>4</w:t>
      </w:r>
      <w:r>
        <w:rPr>
          <w:rFonts w:hint="eastAsia" w:ascii="宋体" w:hAnsi="宋体" w:cs="宋体"/>
          <w:szCs w:val="21"/>
        </w:rPr>
        <w:t>平米）。</w:t>
      </w:r>
    </w:p>
    <w:p>
      <w:pPr>
        <w:pStyle w:val="2"/>
        <w:spacing w:before="0" w:after="0" w:line="240" w:lineRule="auto"/>
        <w:rPr>
          <w:rFonts w:ascii="黑体" w:hAnsi="黑体" w:eastAsia="黑体"/>
          <w:sz w:val="32"/>
          <w:szCs w:val="32"/>
        </w:rPr>
      </w:pPr>
      <w:r>
        <w:rPr>
          <w:rFonts w:hint="eastAsia" w:ascii="黑体" w:hAnsi="黑体" w:eastAsia="黑体"/>
          <w:sz w:val="32"/>
          <w:szCs w:val="32"/>
        </w:rPr>
        <w:t>二、采购货物一览表</w:t>
      </w:r>
    </w:p>
    <w:p>
      <w:pPr>
        <w:rPr>
          <w:b/>
          <w:szCs w:val="21"/>
        </w:rPr>
      </w:pPr>
      <w:r>
        <w:rPr>
          <w:rFonts w:hint="eastAsia"/>
          <w:b/>
          <w:szCs w:val="21"/>
        </w:rPr>
        <w:t>1、沙河学院五号楼113机房供电系统改造</w:t>
      </w:r>
    </w:p>
    <w:tbl>
      <w:tblPr>
        <w:tblStyle w:val="17"/>
        <w:tblW w:w="676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0"/>
        <w:gridCol w:w="3871"/>
        <w:gridCol w:w="837"/>
        <w:gridCol w:w="9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763" w:type="dxa"/>
            <w:gridSpan w:val="4"/>
            <w:shd w:val="clear" w:color="auto" w:fill="auto"/>
          </w:tcPr>
          <w:p>
            <w:pPr>
              <w:jc w:val="center"/>
              <w:rPr>
                <w:lang w:val="zh-CN"/>
              </w:rPr>
            </w:pPr>
            <w:r>
              <w:rPr>
                <w:rFonts w:ascii="宋体" w:hAnsi="宋体" w:cs="宋体"/>
                <w:bCs/>
              </w:rPr>
              <w:t>11</w:t>
            </w:r>
            <w:r>
              <w:rPr>
                <w:rFonts w:hint="eastAsia" w:ascii="宋体" w:hAnsi="宋体" w:cs="宋体"/>
                <w:bCs/>
              </w:rPr>
              <w:t>3机房强电配电系统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vAlign w:val="center"/>
          </w:tcPr>
          <w:p>
            <w:pPr>
              <w:widowControl/>
              <w:jc w:val="center"/>
              <w:rPr>
                <w:rFonts w:ascii="宋体" w:hAnsi="宋体" w:cs="宋体"/>
                <w:bCs/>
              </w:rPr>
            </w:pPr>
            <w:r>
              <w:rPr>
                <w:rFonts w:hint="eastAsia" w:ascii="宋体" w:hAnsi="宋体" w:cs="宋体"/>
                <w:bCs/>
              </w:rPr>
              <w:t>序号</w:t>
            </w:r>
          </w:p>
        </w:tc>
        <w:tc>
          <w:tcPr>
            <w:tcW w:w="3871" w:type="dxa"/>
            <w:shd w:val="clear" w:color="auto" w:fill="auto"/>
            <w:vAlign w:val="center"/>
          </w:tcPr>
          <w:p>
            <w:pPr>
              <w:widowControl/>
              <w:ind w:right="271" w:rightChars="129"/>
              <w:jc w:val="center"/>
              <w:rPr>
                <w:rFonts w:ascii="宋体" w:hAnsi="宋体" w:cs="宋体"/>
                <w:bCs/>
              </w:rPr>
            </w:pPr>
            <w:r>
              <w:rPr>
                <w:rFonts w:hint="eastAsia" w:ascii="宋体" w:hAnsi="宋体" w:cs="宋体"/>
                <w:bCs/>
              </w:rPr>
              <w:t>设备名称</w:t>
            </w:r>
          </w:p>
        </w:tc>
        <w:tc>
          <w:tcPr>
            <w:tcW w:w="837" w:type="dxa"/>
            <w:shd w:val="clear" w:color="auto" w:fill="auto"/>
            <w:vAlign w:val="center"/>
          </w:tcPr>
          <w:p>
            <w:pPr>
              <w:widowControl/>
              <w:jc w:val="center"/>
              <w:rPr>
                <w:rFonts w:ascii="宋体" w:hAnsi="宋体" w:cs="宋体"/>
                <w:bCs/>
              </w:rPr>
            </w:pPr>
            <w:r>
              <w:rPr>
                <w:rFonts w:hint="eastAsia" w:ascii="宋体" w:hAnsi="宋体" w:cs="宋体"/>
                <w:bCs/>
              </w:rPr>
              <w:t>数量</w:t>
            </w:r>
          </w:p>
        </w:tc>
        <w:tc>
          <w:tcPr>
            <w:tcW w:w="975" w:type="dxa"/>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80" w:type="dxa"/>
            <w:shd w:val="clear" w:color="auto" w:fill="auto"/>
          </w:tcPr>
          <w:p>
            <w:pPr>
              <w:rPr>
                <w:lang w:val="zh-CN"/>
              </w:rPr>
            </w:pPr>
            <w:r>
              <w:rPr>
                <w:rFonts w:hint="eastAsia"/>
                <w:lang w:val="zh-CN"/>
              </w:rPr>
              <w:t>1</w:t>
            </w:r>
          </w:p>
        </w:tc>
        <w:tc>
          <w:tcPr>
            <w:tcW w:w="3871" w:type="dxa"/>
            <w:shd w:val="clear" w:color="auto" w:fill="auto"/>
          </w:tcPr>
          <w:p>
            <w:pPr>
              <w:rPr>
                <w:rFonts w:ascii="宋体" w:hAnsi="宋体" w:cs="宋体"/>
                <w:bCs/>
              </w:rPr>
            </w:pPr>
            <w:r>
              <w:rPr>
                <w:rFonts w:hint="eastAsia" w:ascii="宋体" w:hAnsi="宋体" w:cs="宋体"/>
                <w:bCs/>
              </w:rPr>
              <w:t>ATS系统配电柜及强电电路改造</w:t>
            </w:r>
          </w:p>
          <w:p>
            <w:pPr>
              <w:rPr>
                <w:lang w:val="zh-CN"/>
              </w:rPr>
            </w:pPr>
          </w:p>
        </w:tc>
        <w:tc>
          <w:tcPr>
            <w:tcW w:w="837" w:type="dxa"/>
            <w:shd w:val="clear" w:color="auto" w:fill="auto"/>
          </w:tcPr>
          <w:p>
            <w:pPr>
              <w:jc w:val="center"/>
              <w:rPr>
                <w:lang w:val="zh-CN"/>
              </w:rPr>
            </w:pPr>
            <w:r>
              <w:rPr>
                <w:rFonts w:hint="eastAsia"/>
                <w:lang w:val="zh-CN"/>
              </w:rPr>
              <w:t>1</w:t>
            </w:r>
          </w:p>
        </w:tc>
        <w:tc>
          <w:tcPr>
            <w:tcW w:w="975" w:type="dxa"/>
            <w:shd w:val="clear" w:color="auto" w:fill="auto"/>
          </w:tcPr>
          <w:p>
            <w:pPr>
              <w:jc w:val="center"/>
              <w:rPr>
                <w:lang w:val="zh-CN"/>
              </w:rPr>
            </w:pPr>
            <w:r>
              <w:rPr>
                <w:rFonts w:hint="eastAsia"/>
                <w:lang w:val="zh-CN"/>
              </w:rPr>
              <w:t>套</w:t>
            </w:r>
            <w:r>
              <w:rPr>
                <w:rFonts w:hint="eastAsia"/>
              </w:rPr>
              <w:t xml:space="preserve"> </w:t>
            </w:r>
          </w:p>
        </w:tc>
      </w:tr>
    </w:tbl>
    <w:p>
      <w:pPr>
        <w:rPr>
          <w:lang w:val="zh-CN"/>
        </w:rPr>
      </w:pPr>
    </w:p>
    <w:p>
      <w:pPr>
        <w:rPr>
          <w:rFonts w:ascii="宋体" w:hAnsi="宋体"/>
          <w:b/>
          <w:szCs w:val="21"/>
          <w:lang w:val="zh-CN"/>
        </w:rPr>
      </w:pPr>
      <w:r>
        <w:rPr>
          <w:rFonts w:hint="eastAsia" w:ascii="宋体" w:hAnsi="宋体"/>
          <w:b/>
          <w:szCs w:val="21"/>
          <w:lang w:val="zh-CN"/>
        </w:rPr>
        <w:t>2、学院南路校区电教楼106机房供电系统改造</w:t>
      </w:r>
    </w:p>
    <w:tbl>
      <w:tblPr>
        <w:tblStyle w:val="17"/>
        <w:tblW w:w="6819" w:type="dxa"/>
        <w:jc w:val="center"/>
        <w:tblLayout w:type="fixed"/>
        <w:tblCellMar>
          <w:top w:w="0" w:type="dxa"/>
          <w:left w:w="108" w:type="dxa"/>
          <w:bottom w:w="0" w:type="dxa"/>
          <w:right w:w="108" w:type="dxa"/>
        </w:tblCellMar>
      </w:tblPr>
      <w:tblGrid>
        <w:gridCol w:w="981"/>
        <w:gridCol w:w="4043"/>
        <w:gridCol w:w="803"/>
        <w:gridCol w:w="992"/>
      </w:tblGrid>
      <w:tr>
        <w:tblPrEx>
          <w:tblCellMar>
            <w:top w:w="0" w:type="dxa"/>
            <w:left w:w="108" w:type="dxa"/>
            <w:bottom w:w="0" w:type="dxa"/>
            <w:right w:w="108" w:type="dxa"/>
          </w:tblCellMar>
        </w:tblPrEx>
        <w:trPr>
          <w:trHeight w:val="450" w:hRule="atLeast"/>
          <w:jc w:val="center"/>
        </w:trPr>
        <w:tc>
          <w:tcPr>
            <w:tcW w:w="6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106机房强电配电系统</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序号</w:t>
            </w:r>
          </w:p>
        </w:tc>
        <w:tc>
          <w:tcPr>
            <w:tcW w:w="4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设备名称</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ind w:left="447" w:leftChars="200" w:hanging="27" w:hangingChars="13"/>
              <w:rPr>
                <w:rFonts w:ascii="宋体" w:hAnsi="宋体" w:cs="宋体"/>
                <w:bCs/>
              </w:rPr>
            </w:pPr>
            <w:r>
              <w:rPr>
                <w:rFonts w:hint="eastAsia" w:ascii="宋体" w:hAnsi="宋体" w:cs="宋体"/>
                <w:bCs/>
              </w:rPr>
              <w:t xml:space="preserve">强电配电系统一套：    </w:t>
            </w:r>
          </w:p>
          <w:p>
            <w:pPr>
              <w:widowControl/>
              <w:ind w:left="447" w:hanging="447" w:hangingChars="213"/>
              <w:rPr>
                <w:rFonts w:ascii="宋体" w:hAnsi="宋体" w:cs="宋体"/>
                <w:bCs/>
              </w:rPr>
            </w:pPr>
            <w:r>
              <w:rPr>
                <w:rFonts w:hint="eastAsia" w:ascii="宋体" w:hAnsi="宋体" w:cs="宋体"/>
                <w:bCs/>
              </w:rPr>
              <w:t xml:space="preserve">    市电进机房双线路铺设、配电柜、ATS系统、PDU、工业连接器、机房内部强电桥架、强电线缆以及铺设等配套设施与实施。</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r>
        <w:tblPrEx>
          <w:tblCellMar>
            <w:top w:w="0" w:type="dxa"/>
            <w:left w:w="108" w:type="dxa"/>
            <w:bottom w:w="0" w:type="dxa"/>
            <w:right w:w="108" w:type="dxa"/>
          </w:tblCellMar>
        </w:tblPrEx>
        <w:trPr>
          <w:trHeight w:val="450" w:hRule="atLeast"/>
          <w:jc w:val="center"/>
        </w:trPr>
        <w:tc>
          <w:tcPr>
            <w:tcW w:w="6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UPS系统</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序号</w:t>
            </w:r>
          </w:p>
        </w:tc>
        <w:tc>
          <w:tcPr>
            <w:tcW w:w="4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设备名称</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rPr>
                <w:rFonts w:ascii="宋体" w:hAnsi="宋体" w:cs="宋体"/>
                <w:bCs/>
              </w:rPr>
            </w:pPr>
            <w:r>
              <w:rPr>
                <w:rFonts w:hint="eastAsia" w:ascii="宋体" w:hAnsi="宋体" w:cs="宋体"/>
                <w:bCs/>
              </w:rPr>
              <w:t>1、整机容量80KV</w:t>
            </w:r>
            <w:r>
              <w:rPr>
                <w:rFonts w:ascii="宋体" w:hAnsi="宋体" w:cs="宋体"/>
                <w:bCs/>
              </w:rPr>
              <w:t>A</w:t>
            </w:r>
            <w:r>
              <w:rPr>
                <w:rFonts w:hint="eastAsia" w:ascii="宋体" w:hAnsi="宋体" w:cs="宋体"/>
                <w:bCs/>
              </w:rPr>
              <w:t>在线式 UPS模块化供电系统，包含：大于等于4模块槽位供电模块以及UPS主机组（内置两块20KVA</w:t>
            </w:r>
            <w:r>
              <w:rPr>
                <w:rFonts w:ascii="宋体" w:hAnsi="宋体" w:cs="宋体"/>
                <w:bCs/>
              </w:rPr>
              <w:t>供电</w:t>
            </w:r>
            <w:r>
              <w:rPr>
                <w:rFonts w:hint="eastAsia" w:ascii="宋体" w:hAnsi="宋体" w:cs="宋体"/>
                <w:bCs/>
              </w:rPr>
              <w:t xml:space="preserve">模块）；          </w:t>
            </w:r>
          </w:p>
          <w:p>
            <w:pPr>
              <w:widowControl/>
              <w:rPr>
                <w:rFonts w:ascii="宋体" w:hAnsi="宋体" w:cs="宋体"/>
                <w:bCs/>
              </w:rPr>
            </w:pPr>
            <w:r>
              <w:rPr>
                <w:rFonts w:hint="eastAsia" w:ascii="宋体" w:hAnsi="宋体" w:cs="宋体"/>
                <w:bCs/>
              </w:rPr>
              <w:t xml:space="preserve">  2、  全封闭阀控式铅酸蓄电池及电池控制开关柜（ UPS电源配套蓄电池组）</w:t>
            </w:r>
          </w:p>
          <w:p>
            <w:pPr>
              <w:widowControl/>
              <w:rPr>
                <w:rFonts w:ascii="宋体" w:hAnsi="宋体" w:cs="宋体"/>
                <w:bCs/>
              </w:rPr>
            </w:pPr>
            <w:r>
              <w:rPr>
                <w:rFonts w:hint="eastAsia" w:ascii="宋体" w:hAnsi="宋体" w:cs="宋体"/>
                <w:bCs/>
              </w:rPr>
              <w:t>3、UPS配电柜；</w:t>
            </w:r>
          </w:p>
          <w:p>
            <w:pPr>
              <w:widowControl/>
              <w:rPr>
                <w:rFonts w:ascii="宋体" w:hAnsi="宋体" w:cs="宋体"/>
                <w:bCs/>
              </w:rPr>
            </w:pPr>
            <w:r>
              <w:rPr>
                <w:rFonts w:hint="eastAsia" w:ascii="宋体" w:hAnsi="宋体" w:cs="宋体"/>
                <w:bCs/>
              </w:rPr>
              <w:t>4、相应的配套线路敷设与安装</w:t>
            </w:r>
          </w:p>
          <w:p>
            <w:pPr>
              <w:widowControl/>
              <w:jc w:val="center"/>
              <w:rPr>
                <w:rFonts w:ascii="宋体" w:hAnsi="宋体" w:cs="宋体"/>
                <w:bCs/>
              </w:rPr>
            </w:pPr>
            <w:r>
              <w:rPr>
                <w:rFonts w:hint="eastAsia" w:ascii="宋体" w:hAnsi="宋体" w:cs="宋体"/>
                <w:bCs/>
              </w:rPr>
              <w:t xml:space="preserve">      </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r>
        <w:tblPrEx>
          <w:tblCellMar>
            <w:top w:w="0" w:type="dxa"/>
            <w:left w:w="108" w:type="dxa"/>
            <w:bottom w:w="0" w:type="dxa"/>
            <w:right w:w="108" w:type="dxa"/>
          </w:tblCellMar>
        </w:tblPrEx>
        <w:trPr>
          <w:trHeight w:val="450" w:hRule="atLeast"/>
          <w:jc w:val="center"/>
        </w:trPr>
        <w:tc>
          <w:tcPr>
            <w:tcW w:w="6819"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环境监控系统</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序号</w:t>
            </w:r>
          </w:p>
        </w:tc>
        <w:tc>
          <w:tcPr>
            <w:tcW w:w="404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设备名称</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数量</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单位</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rPr>
                <w:rFonts w:ascii="宋体" w:hAnsi="宋体" w:cs="宋体"/>
                <w:bCs/>
              </w:rPr>
            </w:pPr>
            <w:r>
              <w:rPr>
                <w:rFonts w:hint="eastAsia" w:ascii="宋体" w:hAnsi="宋体" w:cs="宋体"/>
                <w:bCs/>
              </w:rPr>
              <w:t>环境监控系统：监控主机； 环控监控软件；</w:t>
            </w:r>
          </w:p>
          <w:p>
            <w:pPr>
              <w:widowControl/>
              <w:ind w:left="857" w:hanging="856" w:hangingChars="408"/>
              <w:rPr>
                <w:rFonts w:ascii="宋体" w:hAnsi="宋体" w:cs="宋体"/>
                <w:bCs/>
              </w:rPr>
            </w:pPr>
            <w:r>
              <w:rPr>
                <w:rFonts w:hint="eastAsia" w:ascii="宋体" w:hAnsi="宋体" w:cs="宋体"/>
                <w:bCs/>
              </w:rPr>
              <w:t>附属功能模块如下：</w:t>
            </w:r>
          </w:p>
          <w:p>
            <w:pPr>
              <w:widowControl/>
              <w:rPr>
                <w:rFonts w:ascii="宋体" w:hAnsi="宋体" w:cs="宋体"/>
                <w:bCs/>
              </w:rPr>
            </w:pPr>
            <w:r>
              <w:rPr>
                <w:rFonts w:hint="eastAsia" w:ascii="宋体" w:hAnsi="宋体" w:cs="宋体"/>
                <w:bCs/>
              </w:rPr>
              <w:t>动力电、UPS、机房温湿度、机房漏水、精密空调、烟感、以及短信、语音、邮件等报警功能。</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r>
        <w:tblPrEx>
          <w:tblCellMar>
            <w:top w:w="0" w:type="dxa"/>
            <w:left w:w="108" w:type="dxa"/>
            <w:bottom w:w="0" w:type="dxa"/>
            <w:right w:w="108" w:type="dxa"/>
          </w:tblCellMar>
        </w:tblPrEx>
        <w:trPr>
          <w:trHeight w:val="465" w:hRule="atLeast"/>
          <w:jc w:val="center"/>
        </w:trPr>
        <w:tc>
          <w:tcPr>
            <w:tcW w:w="6819" w:type="dxa"/>
            <w:gridSpan w:val="4"/>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机房防静电地板</w:t>
            </w:r>
          </w:p>
        </w:tc>
      </w:tr>
      <w:tr>
        <w:tblPrEx>
          <w:tblCellMar>
            <w:top w:w="0" w:type="dxa"/>
            <w:left w:w="108" w:type="dxa"/>
            <w:bottom w:w="0" w:type="dxa"/>
            <w:right w:w="108" w:type="dxa"/>
          </w:tblCellMar>
        </w:tblPrEx>
        <w:trPr>
          <w:trHeight w:val="465" w:hRule="atLeast"/>
          <w:jc w:val="center"/>
        </w:trPr>
        <w:tc>
          <w:tcPr>
            <w:tcW w:w="981" w:type="dxa"/>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4043" w:type="dxa"/>
            <w:tcBorders>
              <w:top w:val="nil"/>
              <w:left w:val="nil"/>
              <w:bottom w:val="single" w:color="auto" w:sz="4" w:space="0"/>
              <w:right w:val="single" w:color="auto" w:sz="4" w:space="0"/>
            </w:tcBorders>
            <w:shd w:val="clear" w:color="auto" w:fill="auto"/>
            <w:vAlign w:val="center"/>
          </w:tcPr>
          <w:p>
            <w:pPr>
              <w:widowControl/>
              <w:ind w:left="17" w:hanging="16" w:hangingChars="8"/>
              <w:rPr>
                <w:rFonts w:ascii="宋体" w:hAnsi="宋体" w:cs="宋体"/>
                <w:bCs/>
              </w:rPr>
            </w:pPr>
            <w:r>
              <w:rPr>
                <w:rFonts w:hint="eastAsia" w:ascii="宋体" w:hAnsi="宋体" w:cs="宋体"/>
                <w:bCs/>
              </w:rPr>
              <w:t>可拆卸抗静电活动防火地板24平米</w:t>
            </w:r>
          </w:p>
        </w:tc>
        <w:tc>
          <w:tcPr>
            <w:tcW w:w="80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1</w:t>
            </w:r>
          </w:p>
        </w:tc>
        <w:tc>
          <w:tcPr>
            <w:tcW w:w="992"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cs="宋体"/>
                <w:bCs/>
              </w:rPr>
            </w:pPr>
            <w:r>
              <w:rPr>
                <w:rFonts w:hint="eastAsia" w:ascii="宋体" w:hAnsi="宋体" w:cs="宋体"/>
                <w:bCs/>
              </w:rPr>
              <w:t>套</w:t>
            </w:r>
          </w:p>
        </w:tc>
      </w:tr>
    </w:tbl>
    <w:p>
      <w:pPr>
        <w:rPr>
          <w:color w:val="0D0D0D"/>
          <w:highlight w:val="yellow"/>
          <w:lang w:val="zh-CN"/>
        </w:rPr>
      </w:pPr>
    </w:p>
    <w:p>
      <w:pPr>
        <w:pStyle w:val="2"/>
        <w:numPr>
          <w:ilvl w:val="0"/>
          <w:numId w:val="32"/>
        </w:numPr>
        <w:shd w:val="clear" w:color="auto" w:fill="FFFFFF"/>
        <w:spacing w:before="0" w:after="0" w:line="240" w:lineRule="auto"/>
        <w:rPr>
          <w:rFonts w:ascii="黑体" w:hAnsi="黑体" w:eastAsia="黑体"/>
          <w:sz w:val="32"/>
          <w:szCs w:val="32"/>
        </w:rPr>
      </w:pPr>
      <w:r>
        <w:rPr>
          <w:rFonts w:hint="eastAsia" w:ascii="黑体" w:hAnsi="黑体" w:eastAsia="黑体"/>
          <w:sz w:val="32"/>
          <w:szCs w:val="32"/>
        </w:rPr>
        <w:t>电气系统改造要求</w:t>
      </w:r>
    </w:p>
    <w:p>
      <w:pPr>
        <w:numPr>
          <w:ilvl w:val="0"/>
          <w:numId w:val="33"/>
        </w:numPr>
        <w:autoSpaceDE w:val="0"/>
        <w:autoSpaceDN w:val="0"/>
        <w:adjustRightInd w:val="0"/>
        <w:jc w:val="left"/>
        <w:rPr>
          <w:b/>
          <w:szCs w:val="21"/>
        </w:rPr>
      </w:pPr>
      <w:r>
        <w:rPr>
          <w:rFonts w:hint="eastAsia"/>
          <w:b/>
          <w:szCs w:val="21"/>
        </w:rPr>
        <w:t>沙河学院五号楼113机房供电系统改造要求</w:t>
      </w:r>
    </w:p>
    <w:p>
      <w:pPr>
        <w:widowControl/>
        <w:rPr>
          <w:rFonts w:ascii="宋体" w:hAnsi="宋体" w:cs="宋体"/>
          <w:sz w:val="24"/>
        </w:rPr>
      </w:pPr>
      <w:r>
        <w:rPr>
          <w:rFonts w:ascii="宋体" w:hAnsi="宋体" w:cs="宋体"/>
          <w:sz w:val="24"/>
        </w:rPr>
        <w:drawing>
          <wp:inline distT="0" distB="0" distL="0" distR="0">
            <wp:extent cx="4953000" cy="3762375"/>
            <wp:effectExtent l="0" t="0" r="0" b="9525"/>
            <wp:docPr id="2" name="图片 1" descr="E:\我的资料库\Documents\Tencent Files\22823286\Image\C2C\L1~}BVGZJU(VZD$4_7}ACF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E:\我的资料库\Documents\Tencent Files\22823286\Image\C2C\L1~}BVGZJU(VZD$4_7}ACFN.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a:xfrm>
                      <a:off x="0" y="0"/>
                      <a:ext cx="4953000" cy="3762375"/>
                    </a:xfrm>
                    <a:prstGeom prst="rect">
                      <a:avLst/>
                    </a:prstGeom>
                    <a:noFill/>
                    <a:ln>
                      <a:noFill/>
                    </a:ln>
                  </pic:spPr>
                </pic:pic>
              </a:graphicData>
            </a:graphic>
          </wp:inline>
        </w:drawing>
      </w:r>
    </w:p>
    <w:p>
      <w:pPr>
        <w:numPr>
          <w:ilvl w:val="0"/>
          <w:numId w:val="34"/>
        </w:numPr>
        <w:autoSpaceDE w:val="0"/>
        <w:autoSpaceDN w:val="0"/>
        <w:adjustRightInd w:val="0"/>
        <w:jc w:val="left"/>
        <w:rPr>
          <w:szCs w:val="21"/>
        </w:rPr>
      </w:pPr>
      <w:r>
        <w:rPr>
          <w:rFonts w:hint="eastAsia"/>
          <w:szCs w:val="21"/>
        </w:rPr>
        <w:t>在沙河学院五号楼</w:t>
      </w:r>
      <w:r>
        <w:rPr>
          <w:szCs w:val="21"/>
        </w:rPr>
        <w:t>114</w:t>
      </w:r>
      <w:r>
        <w:rPr>
          <w:rFonts w:hint="eastAsia"/>
          <w:szCs w:val="21"/>
        </w:rPr>
        <w:t>室内安装市电双路</w:t>
      </w:r>
      <w:r>
        <w:rPr>
          <w:szCs w:val="21"/>
        </w:rPr>
        <w:t>ATS</w:t>
      </w:r>
      <w:r>
        <w:rPr>
          <w:rFonts w:hint="eastAsia"/>
          <w:szCs w:val="21"/>
        </w:rPr>
        <w:t>系统配电柜，输入来自该配电室的两路变压器。</w:t>
      </w:r>
    </w:p>
    <w:p>
      <w:pPr>
        <w:numPr>
          <w:ilvl w:val="0"/>
          <w:numId w:val="34"/>
        </w:numPr>
        <w:autoSpaceDE w:val="0"/>
        <w:autoSpaceDN w:val="0"/>
        <w:adjustRightInd w:val="0"/>
        <w:jc w:val="left"/>
        <w:rPr>
          <w:szCs w:val="21"/>
        </w:rPr>
      </w:pPr>
      <w:r>
        <w:rPr>
          <w:rFonts w:hint="eastAsia"/>
          <w:szCs w:val="21"/>
        </w:rPr>
        <w:t>两路输出分别经250A电闸为</w:t>
      </w:r>
      <w:r>
        <w:rPr>
          <w:szCs w:val="21"/>
        </w:rPr>
        <w:t>113</w:t>
      </w:r>
      <w:r>
        <w:rPr>
          <w:rFonts w:hint="eastAsia"/>
          <w:szCs w:val="21"/>
        </w:rPr>
        <w:t>房间内的两台</w:t>
      </w:r>
      <w:r>
        <w:rPr>
          <w:szCs w:val="21"/>
        </w:rPr>
        <w:t>UPS</w:t>
      </w:r>
      <w:r>
        <w:rPr>
          <w:rFonts w:hint="eastAsia"/>
          <w:szCs w:val="21"/>
        </w:rPr>
        <w:t>主机供电。</w:t>
      </w:r>
    </w:p>
    <w:p>
      <w:pPr>
        <w:numPr>
          <w:ilvl w:val="0"/>
          <w:numId w:val="33"/>
        </w:numPr>
        <w:autoSpaceDE w:val="0"/>
        <w:autoSpaceDN w:val="0"/>
        <w:adjustRightInd w:val="0"/>
        <w:jc w:val="left"/>
        <w:rPr>
          <w:b/>
          <w:szCs w:val="21"/>
        </w:rPr>
      </w:pPr>
      <w:r>
        <w:rPr>
          <w:rFonts w:hint="eastAsia" w:ascii="宋体" w:hAnsi="宋体"/>
          <w:b/>
          <w:szCs w:val="21"/>
          <w:lang w:val="zh-CN"/>
        </w:rPr>
        <w:t>学院南路校区电教楼106机房</w:t>
      </w:r>
      <w:r>
        <w:rPr>
          <w:rFonts w:hint="eastAsia" w:ascii="宋体" w:hAnsi="宋体"/>
          <w:b/>
          <w:szCs w:val="21"/>
        </w:rPr>
        <w:t>配电及机柜电路改造要求如下：</w:t>
      </w:r>
    </w:p>
    <w:p>
      <w:pPr>
        <w:numPr>
          <w:ilvl w:val="0"/>
          <w:numId w:val="35"/>
        </w:numPr>
        <w:autoSpaceDE w:val="0"/>
        <w:autoSpaceDN w:val="0"/>
        <w:adjustRightInd w:val="0"/>
        <w:jc w:val="left"/>
        <w:rPr>
          <w:rFonts w:ascii="宋体" w:hAnsi="宋体"/>
          <w:szCs w:val="21"/>
        </w:rPr>
      </w:pPr>
      <w:r>
        <w:rPr>
          <w:rFonts w:hint="eastAsia" w:ascii="宋体" w:hAnsi="宋体"/>
          <w:szCs w:val="21"/>
        </w:rPr>
        <w:t>双路380V &gt;=100A 市电进机房线路敷设。</w:t>
      </w:r>
    </w:p>
    <w:p>
      <w:pPr>
        <w:numPr>
          <w:ilvl w:val="0"/>
          <w:numId w:val="36"/>
        </w:numPr>
        <w:autoSpaceDE w:val="0"/>
        <w:autoSpaceDN w:val="0"/>
        <w:adjustRightInd w:val="0"/>
        <w:jc w:val="left"/>
        <w:rPr>
          <w:rFonts w:ascii="宋体" w:hAnsi="宋体"/>
          <w:szCs w:val="21"/>
        </w:rPr>
      </w:pPr>
      <w:r>
        <w:rPr>
          <w:rFonts w:hint="eastAsia" w:ascii="宋体" w:hAnsi="宋体"/>
          <w:szCs w:val="21"/>
        </w:rPr>
        <w:t>经 ATS 系统（自动切换系统） ，分出2路分路，380V/80A。</w:t>
      </w:r>
    </w:p>
    <w:p>
      <w:pPr>
        <w:numPr>
          <w:ilvl w:val="0"/>
          <w:numId w:val="36"/>
        </w:numPr>
        <w:autoSpaceDE w:val="0"/>
        <w:autoSpaceDN w:val="0"/>
        <w:adjustRightInd w:val="0"/>
        <w:jc w:val="left"/>
        <w:rPr>
          <w:rFonts w:ascii="宋体" w:hAnsi="宋体"/>
          <w:szCs w:val="21"/>
        </w:rPr>
      </w:pPr>
      <w:r>
        <w:rPr>
          <w:rFonts w:hint="eastAsia" w:ascii="宋体" w:hAnsi="宋体"/>
          <w:szCs w:val="21"/>
        </w:rPr>
        <w:t>其中一路</w:t>
      </w:r>
      <w:r>
        <w:rPr>
          <w:rFonts w:ascii="宋体" w:hAnsi="宋体"/>
          <w:szCs w:val="21"/>
        </w:rPr>
        <w:t>分为</w:t>
      </w:r>
      <w:r>
        <w:rPr>
          <w:rFonts w:hint="eastAsia" w:ascii="宋体" w:hAnsi="宋体"/>
          <w:szCs w:val="21"/>
        </w:rPr>
        <w:t>8路32A市电分支 ，另一路经UPS配电系统后分出8路32A分支。</w:t>
      </w:r>
    </w:p>
    <w:p>
      <w:pPr>
        <w:numPr>
          <w:ilvl w:val="0"/>
          <w:numId w:val="36"/>
        </w:numPr>
        <w:autoSpaceDE w:val="0"/>
        <w:autoSpaceDN w:val="0"/>
        <w:adjustRightInd w:val="0"/>
        <w:jc w:val="left"/>
        <w:rPr>
          <w:rFonts w:ascii="宋体" w:hAnsi="宋体"/>
          <w:szCs w:val="21"/>
        </w:rPr>
      </w:pPr>
      <w:r>
        <w:rPr>
          <w:rFonts w:hint="eastAsia" w:ascii="宋体" w:hAnsi="宋体"/>
          <w:szCs w:val="21"/>
        </w:rPr>
        <w:t>各分支电路5路做机柜供电，3路做备用供电，每个柜体连接必须增加工业连接器</w:t>
      </w:r>
    </w:p>
    <w:p>
      <w:pPr>
        <w:numPr>
          <w:ilvl w:val="0"/>
          <w:numId w:val="36"/>
        </w:numPr>
        <w:autoSpaceDE w:val="0"/>
        <w:autoSpaceDN w:val="0"/>
        <w:adjustRightInd w:val="0"/>
        <w:jc w:val="left"/>
        <w:rPr>
          <w:rFonts w:ascii="宋体" w:hAnsi="宋体"/>
          <w:szCs w:val="21"/>
        </w:rPr>
      </w:pPr>
      <w:r>
        <w:rPr>
          <w:rFonts w:hint="eastAsia" w:ascii="宋体" w:hAnsi="宋体"/>
          <w:szCs w:val="21"/>
        </w:rPr>
        <w:t xml:space="preserve">大于12口的32A PDU。 </w:t>
      </w:r>
    </w:p>
    <w:p>
      <w:pPr>
        <w:ind w:firstLine="210" w:firstLineChars="100"/>
        <w:rPr>
          <w:rFonts w:ascii="宋体" w:hAnsi="宋体"/>
          <w:szCs w:val="21"/>
        </w:rPr>
      </w:pPr>
      <w:r>
        <w:rPr>
          <w:rFonts w:hint="eastAsia" w:ascii="宋体" w:hAnsi="宋体"/>
          <w:szCs w:val="21"/>
        </w:rPr>
        <w:t>机房供电系统 电路图要求如下：</w:t>
      </w:r>
    </w:p>
    <w:p>
      <w:pPr>
        <w:rPr>
          <w:rFonts w:ascii="宋体" w:hAnsi="宋体"/>
          <w:szCs w:val="21"/>
        </w:rPr>
      </w:pPr>
    </w:p>
    <w:p>
      <w:pPr>
        <w:rPr>
          <w:rFonts w:ascii="宋体" w:hAnsi="宋体"/>
          <w:szCs w:val="21"/>
        </w:rPr>
      </w:pPr>
      <w:r>
        <w:rPr>
          <w:kern w:val="0"/>
          <w:sz w:val="20"/>
          <w:szCs w:val="20"/>
        </w:rPr>
        <w:drawing>
          <wp:inline distT="0" distB="0" distL="0" distR="0">
            <wp:extent cx="5274310" cy="6430010"/>
            <wp:effectExtent l="0" t="0" r="2540" b="889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274310" cy="6430323"/>
                    </a:xfrm>
                    <a:prstGeom prst="rect">
                      <a:avLst/>
                    </a:prstGeom>
                    <a:noFill/>
                    <a:ln>
                      <a:noFill/>
                    </a:ln>
                  </pic:spPr>
                </pic:pic>
              </a:graphicData>
            </a:graphic>
          </wp:inline>
        </w:drawing>
      </w:r>
    </w:p>
    <w:p>
      <w:pPr>
        <w:pStyle w:val="2"/>
        <w:shd w:val="clear" w:color="auto" w:fill="FFFFFF"/>
        <w:spacing w:before="0" w:after="0" w:line="240" w:lineRule="auto"/>
        <w:rPr>
          <w:rFonts w:ascii="黑体" w:hAnsi="黑体" w:eastAsia="黑体" w:cs="黑体"/>
          <w:bCs w:val="0"/>
          <w:sz w:val="32"/>
          <w:szCs w:val="32"/>
          <w:shd w:val="clear" w:color="auto" w:fill="FFFFFF"/>
        </w:rPr>
      </w:pPr>
      <w:r>
        <w:rPr>
          <w:rFonts w:hint="eastAsia" w:ascii="黑体" w:hAnsi="黑体" w:eastAsia="黑体"/>
          <w:sz w:val="32"/>
          <w:szCs w:val="32"/>
        </w:rPr>
        <w:t>四、</w:t>
      </w:r>
      <w:r>
        <w:rPr>
          <w:rFonts w:hint="eastAsia" w:ascii="黑体" w:hAnsi="黑体" w:eastAsia="黑体" w:cs="黑体"/>
          <w:bCs w:val="0"/>
          <w:sz w:val="32"/>
          <w:szCs w:val="32"/>
          <w:shd w:val="clear" w:color="auto" w:fill="FFFFFF"/>
        </w:rPr>
        <w:t>采购产品交付地点、时间</w:t>
      </w:r>
    </w:p>
    <w:p>
      <w:pPr>
        <w:rPr>
          <w:rFonts w:ascii="宋体" w:hAnsi="宋体" w:cs="宋体"/>
          <w:szCs w:val="21"/>
        </w:rPr>
      </w:pPr>
      <w:r>
        <w:rPr>
          <w:rFonts w:hint="eastAsia" w:ascii="宋体" w:hAnsi="宋体" w:cs="宋体"/>
          <w:szCs w:val="21"/>
        </w:rPr>
        <w:t>产品交付地点：北京市海淀区学院南路39号，中央财经大学</w:t>
      </w:r>
    </w:p>
    <w:p>
      <w:pPr>
        <w:rPr>
          <w:rFonts w:ascii="宋体" w:hAnsi="宋体" w:cs="宋体"/>
          <w:szCs w:val="21"/>
        </w:rPr>
      </w:pPr>
      <w:r>
        <w:rPr>
          <w:rFonts w:hint="eastAsia" w:ascii="宋体" w:hAnsi="宋体" w:cs="宋体"/>
          <w:szCs w:val="21"/>
        </w:rPr>
        <w:t xml:space="preserve">              北京市昌平区中央财经大学</w:t>
      </w:r>
    </w:p>
    <w:p>
      <w:pPr>
        <w:rPr>
          <w:rFonts w:ascii="宋体" w:hAnsi="宋体" w:cs="宋体"/>
          <w:szCs w:val="21"/>
        </w:rPr>
      </w:pPr>
      <w:r>
        <w:rPr>
          <w:rFonts w:hint="eastAsia" w:ascii="宋体" w:hAnsi="宋体" w:cs="宋体"/>
          <w:szCs w:val="21"/>
        </w:rPr>
        <w:t>产品交货时间：所有产品交货日期为合同签订之日起15天内。</w:t>
      </w:r>
    </w:p>
    <w:p>
      <w:pPr>
        <w:pStyle w:val="2"/>
        <w:shd w:val="clear" w:color="auto" w:fill="FFFFFF"/>
        <w:spacing w:before="0" w:after="0" w:line="240" w:lineRule="auto"/>
        <w:rPr>
          <w:rFonts w:ascii="黑体" w:hAnsi="黑体" w:eastAsia="黑体" w:cs="黑体"/>
          <w:bCs w:val="0"/>
          <w:sz w:val="32"/>
          <w:szCs w:val="32"/>
        </w:rPr>
      </w:pPr>
      <w:r>
        <w:rPr>
          <w:rFonts w:hint="eastAsia" w:ascii="黑体" w:hAnsi="黑体" w:eastAsia="黑体" w:cs="黑体"/>
          <w:bCs w:val="0"/>
          <w:sz w:val="32"/>
          <w:szCs w:val="32"/>
        </w:rPr>
        <w:t>五、技术指标要求</w:t>
      </w:r>
    </w:p>
    <w:p>
      <w:pPr>
        <w:ind w:firstLine="420" w:firstLineChars="200"/>
        <w:rPr>
          <w:rFonts w:ascii="宋体" w:hAnsi="宋体" w:cs="宋体"/>
          <w:szCs w:val="21"/>
        </w:rPr>
      </w:pPr>
      <w:r>
        <w:rPr>
          <w:rFonts w:hint="eastAsia" w:ascii="宋体" w:hAnsi="宋体" w:cs="宋体"/>
          <w:szCs w:val="21"/>
        </w:rPr>
        <w:t>重要性是指该指标项的重要程度，与评分细则的扣分项应相对应。★代表最关键指标，不满足该指标项将导致废标，#代表重要指标，不满足5个及以上将导致废标，无标识则表示一般指标项，不满足</w:t>
      </w:r>
      <w:r>
        <w:rPr>
          <w:rFonts w:ascii="宋体" w:hAnsi="宋体" w:cs="宋体"/>
          <w:szCs w:val="21"/>
        </w:rPr>
        <w:t>10</w:t>
      </w:r>
      <w:r>
        <w:rPr>
          <w:rFonts w:hint="eastAsia" w:ascii="宋体" w:hAnsi="宋体" w:cs="宋体"/>
          <w:szCs w:val="21"/>
        </w:rPr>
        <w:t>个及以上将导致废标。</w:t>
      </w:r>
    </w:p>
    <w:p>
      <w:pPr>
        <w:ind w:firstLine="420" w:firstLineChars="200"/>
        <w:rPr>
          <w:rFonts w:ascii="宋体" w:hAnsi="宋体" w:cs="宋体"/>
          <w:szCs w:val="21"/>
        </w:rPr>
      </w:pP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1984"/>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60" w:lineRule="auto"/>
              <w:jc w:val="center"/>
              <w:rPr>
                <w:rFonts w:ascii="Calibri" w:hAnsi="Calibri" w:cs="Arial"/>
                <w:b/>
                <w:szCs w:val="22"/>
              </w:rPr>
            </w:pPr>
            <w:r>
              <w:rPr>
                <w:rFonts w:hint="eastAsia" w:ascii="Calibri" w:hAnsi="Calibri" w:cs="Arial"/>
                <w:b/>
                <w:szCs w:val="22"/>
              </w:rPr>
              <w:t>沙河校区学院5号楼113机房强电配电系统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序号</w:t>
            </w:r>
          </w:p>
        </w:tc>
        <w:tc>
          <w:tcPr>
            <w:tcW w:w="1430" w:type="dxa"/>
          </w:tcPr>
          <w:p>
            <w:pPr>
              <w:spacing w:line="360" w:lineRule="auto"/>
              <w:rPr>
                <w:rFonts w:ascii="Calibri" w:hAnsi="Calibri" w:cs="Arial"/>
                <w:szCs w:val="22"/>
              </w:rPr>
            </w:pPr>
            <w:r>
              <w:rPr>
                <w:rFonts w:hint="eastAsia" w:ascii="Calibri" w:hAnsi="Calibri" w:cs="Arial"/>
                <w:szCs w:val="22"/>
              </w:rPr>
              <w:t>重要性</w:t>
            </w:r>
          </w:p>
        </w:tc>
        <w:tc>
          <w:tcPr>
            <w:tcW w:w="1984" w:type="dxa"/>
          </w:tcPr>
          <w:p>
            <w:pPr>
              <w:spacing w:line="360" w:lineRule="auto"/>
              <w:rPr>
                <w:rFonts w:ascii="Calibri" w:hAnsi="Calibri" w:cs="Arial"/>
                <w:szCs w:val="22"/>
              </w:rPr>
            </w:pPr>
            <w:r>
              <w:rPr>
                <w:rFonts w:hint="eastAsia" w:ascii="Calibri" w:hAnsi="Calibri" w:cs="Arial"/>
                <w:szCs w:val="22"/>
              </w:rPr>
              <w:t>技术指标</w:t>
            </w:r>
          </w:p>
        </w:tc>
        <w:tc>
          <w:tcPr>
            <w:tcW w:w="4445" w:type="dxa"/>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Calibri" w:hAnsi="Calibri" w:cs="Arial"/>
                <w:szCs w:val="22"/>
              </w:rPr>
              <w:t>配电线路要求</w:t>
            </w:r>
          </w:p>
        </w:tc>
        <w:tc>
          <w:tcPr>
            <w:tcW w:w="4445" w:type="dxa"/>
          </w:tcPr>
          <w:p>
            <w:pPr>
              <w:spacing w:line="360" w:lineRule="auto"/>
              <w:rPr>
                <w:rFonts w:ascii="宋体" w:hAnsi="宋体"/>
                <w:color w:val="0D0D0D"/>
                <w:szCs w:val="21"/>
              </w:rPr>
            </w:pPr>
            <w:r>
              <w:rPr>
                <w:rFonts w:hint="eastAsia" w:ascii="宋体" w:hAnsi="宋体"/>
                <w:color w:val="0D0D0D"/>
                <w:szCs w:val="21"/>
              </w:rPr>
              <w:t>接地方式三相五线制</w:t>
            </w:r>
          </w:p>
          <w:p>
            <w:pPr>
              <w:spacing w:line="360" w:lineRule="auto"/>
              <w:rPr>
                <w:rFonts w:ascii="宋体" w:hAnsi="宋体"/>
                <w:color w:val="0D0D0D"/>
                <w:szCs w:val="21"/>
              </w:rPr>
            </w:pPr>
            <w:r>
              <w:rPr>
                <w:rFonts w:hint="eastAsia" w:ascii="宋体" w:hAnsi="宋体"/>
                <w:color w:val="0D0D0D"/>
                <w:szCs w:val="21"/>
              </w:rPr>
              <w:t>母线表面要有明显相序区分。</w:t>
            </w:r>
          </w:p>
          <w:p>
            <w:pPr>
              <w:spacing w:line="360" w:lineRule="auto"/>
              <w:rPr>
                <w:rFonts w:ascii="Calibri" w:hAnsi="Calibri" w:cs="Arial"/>
                <w:szCs w:val="22"/>
              </w:rPr>
            </w:pPr>
            <w:r>
              <w:rPr>
                <w:rFonts w:hint="eastAsia" w:ascii="宋体" w:hAnsi="宋体"/>
                <w:color w:val="0D0D0D"/>
                <w:szCs w:val="21"/>
              </w:rPr>
              <w:t>≥</w:t>
            </w:r>
            <w:r>
              <w:rPr>
                <w:rFonts w:ascii="Calibri" w:hAnsi="Calibri" w:cs="Arial"/>
                <w:szCs w:val="22"/>
              </w:rPr>
              <w:t>250</w:t>
            </w:r>
            <w:r>
              <w:rPr>
                <w:rFonts w:hint="eastAsia" w:ascii="Calibri" w:hAnsi="Calibri" w:cs="Arial"/>
                <w:szCs w:val="22"/>
              </w:rPr>
              <w:t>A、</w:t>
            </w:r>
            <w:r>
              <w:rPr>
                <w:rFonts w:hint="eastAsia" w:ascii="宋体" w:hAnsi="宋体"/>
                <w:color w:val="0D0D0D"/>
                <w:szCs w:val="21"/>
              </w:rPr>
              <w:t>≥</w:t>
            </w:r>
            <w:r>
              <w:rPr>
                <w:rFonts w:hint="eastAsia" w:ascii="Calibri" w:hAnsi="Calibri" w:cs="Arial"/>
                <w:szCs w:val="22"/>
              </w:rPr>
              <w:t>4*185+1*</w:t>
            </w:r>
            <w:r>
              <w:rPr>
                <w:rFonts w:ascii="Calibri" w:hAnsi="Calibri" w:cs="Arial"/>
                <w:szCs w:val="22"/>
              </w:rPr>
              <w:t>95</w:t>
            </w:r>
            <w:r>
              <w:rPr>
                <w:rFonts w:hint="eastAsia" w:ascii="Calibri" w:hAnsi="Calibri" w:cs="Arial"/>
                <w:szCs w:val="22"/>
              </w:rPr>
              <w:t xml:space="preserve"> 多股铜芯绝缘导线。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Calibri" w:hAnsi="Calibri" w:cs="Arial"/>
                <w:szCs w:val="22"/>
              </w:rPr>
              <w:t>ATS配电柜系统</w:t>
            </w:r>
          </w:p>
          <w:p>
            <w:pPr>
              <w:spacing w:line="360" w:lineRule="auto"/>
              <w:rPr>
                <w:rFonts w:ascii="Calibri" w:hAnsi="Calibri" w:cs="Arial"/>
                <w:szCs w:val="22"/>
              </w:rPr>
            </w:pPr>
            <w:r>
              <w:rPr>
                <w:rFonts w:hint="eastAsia" w:ascii="Calibri" w:hAnsi="Calibri" w:cs="Arial"/>
                <w:szCs w:val="22"/>
              </w:rPr>
              <w:t>功能要求</w:t>
            </w:r>
          </w:p>
        </w:tc>
        <w:tc>
          <w:tcPr>
            <w:tcW w:w="4445"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CB</w:t>
            </w:r>
            <w:r>
              <w:rPr>
                <w:rFonts w:hint="eastAsia" w:ascii="Tahoma" w:hAnsi="Tahoma" w:cs="Tahoma"/>
                <w:color w:val="000000"/>
                <w:szCs w:val="21"/>
              </w:rPr>
              <w:t>级智能双电源自动转换开关电源，当常用电突然故障或停电时，通过双电源切换开关，自动投入到备用电源上。</w:t>
            </w:r>
          </w:p>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ATSE能够电动和手动操作，ATSE的开关本体和控制器组件均由统一生产厂家提供以确保其可靠性。</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具有短路、过载保护功能，过压、欠压、缺相自动转换功能与智能报警功能；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自动转换参数可在外部自由设定；</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具有操作电机智能保护功能；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 xml:space="preserve"> (开或闭)状态；面板上有各种指示。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3、</w:t>
            </w:r>
          </w:p>
        </w:tc>
        <w:tc>
          <w:tcPr>
            <w:tcW w:w="1430" w:type="dxa"/>
          </w:tcPr>
          <w:p>
            <w:pPr>
              <w:spacing w:line="360" w:lineRule="auto"/>
              <w:rPr>
                <w:rFonts w:ascii="Calibri" w:hAnsi="Calibri" w:cs="Arial"/>
                <w:szCs w:val="22"/>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Tahoma" w:hAnsi="Tahoma" w:cs="Tahoma"/>
                <w:color w:val="000000"/>
                <w:szCs w:val="21"/>
              </w:rPr>
              <w:t>自动转换开关技术特性</w:t>
            </w:r>
          </w:p>
        </w:tc>
        <w:tc>
          <w:tcPr>
            <w:tcW w:w="4445" w:type="dxa"/>
          </w:tcPr>
          <w:p>
            <w:pPr>
              <w:spacing w:line="360" w:lineRule="auto"/>
              <w:rPr>
                <w:rFonts w:ascii="Tahoma" w:hAnsi="Tahoma" w:cs="Tahoma"/>
                <w:color w:val="000000"/>
                <w:szCs w:val="21"/>
              </w:rPr>
            </w:pPr>
            <w:r>
              <w:rPr>
                <w:rFonts w:hint="eastAsia" w:ascii="Tahoma" w:hAnsi="Tahoma" w:cs="Tahoma"/>
                <w:color w:val="000000"/>
                <w:szCs w:val="21"/>
              </w:rPr>
              <w:t>ATSE额定电流：250A；</w:t>
            </w:r>
          </w:p>
          <w:p>
            <w:pPr>
              <w:spacing w:line="360" w:lineRule="auto"/>
              <w:rPr>
                <w:rFonts w:ascii="Tahoma" w:hAnsi="Tahoma" w:cs="Tahoma"/>
                <w:color w:val="000000"/>
                <w:szCs w:val="21"/>
              </w:rPr>
            </w:pPr>
            <w:r>
              <w:rPr>
                <w:rFonts w:hint="eastAsia" w:ascii="Tahoma" w:hAnsi="Tahoma" w:cs="Tahoma"/>
                <w:color w:val="000000"/>
                <w:szCs w:val="21"/>
              </w:rPr>
              <w:t>使用分断能力100%</w:t>
            </w:r>
          </w:p>
          <w:p>
            <w:pPr>
              <w:spacing w:line="360" w:lineRule="auto"/>
              <w:rPr>
                <w:rFonts w:ascii="Tahoma" w:hAnsi="Tahoma" w:cs="Tahoma"/>
                <w:color w:val="000000"/>
                <w:szCs w:val="21"/>
              </w:rPr>
            </w:pPr>
            <w:r>
              <w:rPr>
                <w:rFonts w:hint="eastAsia" w:ascii="Tahoma" w:hAnsi="Tahoma" w:cs="Tahoma"/>
                <w:color w:val="000000"/>
                <w:szCs w:val="21"/>
              </w:rPr>
              <w:t>机械寿命≥10000（次数）</w:t>
            </w:r>
          </w:p>
          <w:p>
            <w:pPr>
              <w:spacing w:line="360" w:lineRule="auto"/>
              <w:rPr>
                <w:rFonts w:ascii="Tahoma" w:hAnsi="Tahoma" w:cs="Tahoma"/>
                <w:color w:val="000000"/>
                <w:szCs w:val="21"/>
              </w:rPr>
            </w:pPr>
            <w:r>
              <w:rPr>
                <w:rFonts w:hint="eastAsia" w:ascii="Tahoma" w:hAnsi="Tahoma" w:cs="Tahoma"/>
                <w:color w:val="000000"/>
                <w:szCs w:val="21"/>
              </w:rPr>
              <w:t>电气寿命≥5000（次数）</w:t>
            </w:r>
          </w:p>
          <w:p>
            <w:pPr>
              <w:spacing w:line="360" w:lineRule="auto"/>
              <w:rPr>
                <w:rFonts w:ascii="Tahoma" w:hAnsi="Tahoma" w:cs="Tahoma"/>
                <w:color w:val="000000"/>
                <w:szCs w:val="21"/>
              </w:rPr>
            </w:pPr>
            <w:r>
              <w:rPr>
                <w:rFonts w:hint="eastAsia" w:ascii="Tahoma" w:hAnsi="Tahoma" w:cs="Tahoma"/>
                <w:color w:val="000000"/>
                <w:szCs w:val="21"/>
              </w:rPr>
              <w:t>最大切换时间≤</w:t>
            </w:r>
            <w:r>
              <w:rPr>
                <w:rFonts w:ascii="Tahoma" w:hAnsi="Tahoma" w:cs="Tahoma"/>
                <w:color w:val="000000"/>
                <w:szCs w:val="21"/>
              </w:rPr>
              <w:t>1000</w:t>
            </w:r>
            <w:r>
              <w:rPr>
                <w:rFonts w:hint="eastAsia" w:ascii="Tahoma" w:hAnsi="Tahoma" w:cs="Tahoma"/>
                <w:color w:val="000000"/>
                <w:szCs w:val="21"/>
              </w:rPr>
              <w:t>毫秒</w:t>
            </w:r>
          </w:p>
          <w:p>
            <w:pPr>
              <w:spacing w:line="360" w:lineRule="auto"/>
              <w:rPr>
                <w:color w:val="333333"/>
                <w:szCs w:val="21"/>
                <w:shd w:val="clear" w:color="auto" w:fill="FFFFFF"/>
              </w:rPr>
            </w:pPr>
            <w:r>
              <w:rPr>
                <w:rFonts w:ascii="Arial" w:hAnsi="Arial" w:cs="Arial"/>
                <w:color w:val="333333"/>
                <w:szCs w:val="21"/>
                <w:shd w:val="clear" w:color="auto" w:fill="FFFFFF"/>
              </w:rPr>
              <w:t>短路耐受容量</w:t>
            </w:r>
            <w:r>
              <w:rPr>
                <w:rFonts w:hint="eastAsia" w:ascii="Arial" w:hAnsi="Arial" w:cs="Arial"/>
                <w:color w:val="333333"/>
                <w:szCs w:val="21"/>
                <w:shd w:val="clear" w:color="auto" w:fill="FFFFFF"/>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4、</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Calibri" w:hAnsi="Calibri" w:cs="Arial"/>
                <w:szCs w:val="22"/>
              </w:rPr>
              <w:t>资质要求</w:t>
            </w:r>
          </w:p>
        </w:tc>
        <w:tc>
          <w:tcPr>
            <w:tcW w:w="4445" w:type="dxa"/>
          </w:tcPr>
          <w:p>
            <w:pPr>
              <w:spacing w:line="360" w:lineRule="auto"/>
              <w:rPr>
                <w:rFonts w:ascii="Calibri" w:hAnsi="Calibri" w:cs="Arial"/>
                <w:szCs w:val="22"/>
              </w:rPr>
            </w:pPr>
            <w:r>
              <w:rPr>
                <w:rFonts w:hint="eastAsia" w:ascii="Calibri" w:hAnsi="Calibri" w:cs="Arial"/>
                <w:szCs w:val="22"/>
              </w:rPr>
              <w:t>ATSE的电气和机械性能应符合 IEC60947-6-1、GB/T14048.11的要求，通过CCC认证；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5、</w:t>
            </w:r>
          </w:p>
        </w:tc>
        <w:tc>
          <w:tcPr>
            <w:tcW w:w="1430" w:type="dxa"/>
          </w:tcPr>
          <w:p>
            <w:pPr>
              <w:spacing w:line="360" w:lineRule="auto"/>
              <w:rPr>
                <w:rFonts w:ascii="宋体" w:hAnsi="宋体" w:cs="宋体"/>
                <w:bCs/>
                <w:szCs w:val="21"/>
              </w:rPr>
            </w:pPr>
          </w:p>
        </w:tc>
        <w:tc>
          <w:tcPr>
            <w:tcW w:w="1984" w:type="dxa"/>
          </w:tcPr>
          <w:p>
            <w:pPr>
              <w:spacing w:line="360" w:lineRule="auto"/>
              <w:rPr>
                <w:rFonts w:ascii="Calibri" w:hAnsi="Calibri" w:cs="Arial"/>
                <w:szCs w:val="22"/>
              </w:rPr>
            </w:pPr>
            <w:r>
              <w:rPr>
                <w:rFonts w:hint="eastAsia" w:ascii="Calibri" w:hAnsi="Calibri" w:cs="Arial"/>
                <w:szCs w:val="22"/>
              </w:rPr>
              <w:t>ATS扩展要求</w:t>
            </w:r>
          </w:p>
        </w:tc>
        <w:tc>
          <w:tcPr>
            <w:tcW w:w="4445"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内装有接线端子供用户接线可以反映断路器智能化控制器采用以单片机为控制核心；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6、</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Calibri" w:hAnsi="Calibri" w:cs="Arial"/>
                <w:szCs w:val="22"/>
              </w:rPr>
              <w:t>配电箱运行条件</w:t>
            </w:r>
          </w:p>
        </w:tc>
        <w:tc>
          <w:tcPr>
            <w:tcW w:w="4445" w:type="dxa"/>
          </w:tcPr>
          <w:p>
            <w:pPr>
              <w:spacing w:line="360" w:lineRule="auto"/>
              <w:ind w:left="360"/>
              <w:rPr>
                <w:rFonts w:ascii="Calibri" w:hAnsi="Calibri" w:cs="Arial"/>
                <w:szCs w:val="22"/>
              </w:rPr>
            </w:pPr>
            <w:r>
              <w:rPr>
                <w:rFonts w:hint="eastAsia" w:ascii="Calibri" w:hAnsi="Calibri" w:cs="Arial"/>
                <w:szCs w:val="22"/>
              </w:rPr>
              <w:t>输入电压范围：277VAC-468VAC(三相)</w:t>
            </w:r>
          </w:p>
          <w:p>
            <w:pPr>
              <w:spacing w:line="360" w:lineRule="auto"/>
              <w:ind w:left="360"/>
              <w:rPr>
                <w:rFonts w:ascii="Calibri" w:hAnsi="Calibri" w:cs="Arial"/>
                <w:szCs w:val="22"/>
              </w:rPr>
            </w:pPr>
            <w:r>
              <w:rPr>
                <w:rFonts w:hint="eastAsia" w:ascii="Calibri" w:hAnsi="Calibri" w:cs="Arial"/>
                <w:szCs w:val="22"/>
              </w:rPr>
              <w:t>额定运行电压380V</w:t>
            </w:r>
          </w:p>
          <w:p>
            <w:pPr>
              <w:spacing w:line="360" w:lineRule="auto"/>
              <w:ind w:left="360"/>
              <w:rPr>
                <w:rFonts w:ascii="Calibri" w:hAnsi="Calibri" w:cs="Arial"/>
                <w:szCs w:val="22"/>
              </w:rPr>
            </w:pPr>
            <w:r>
              <w:rPr>
                <w:rFonts w:hint="eastAsia" w:ascii="Calibri" w:hAnsi="Calibri" w:cs="Arial"/>
                <w:szCs w:val="22"/>
              </w:rPr>
              <w:t>绝缘电压660V</w:t>
            </w:r>
          </w:p>
          <w:p>
            <w:pPr>
              <w:spacing w:line="360" w:lineRule="auto"/>
              <w:rPr>
                <w:rFonts w:ascii="Calibri" w:hAnsi="Calibri" w:cs="Arial"/>
                <w:szCs w:val="22"/>
              </w:rPr>
            </w:pPr>
            <w:r>
              <w:rPr>
                <w:rFonts w:hint="eastAsia" w:ascii="Calibri" w:hAnsi="Calibri" w:cs="Arial"/>
                <w:szCs w:val="22"/>
              </w:rPr>
              <w:t xml:space="preserve">    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7、</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1984" w:type="dxa"/>
          </w:tcPr>
          <w:p>
            <w:pPr>
              <w:spacing w:line="360" w:lineRule="auto"/>
              <w:rPr>
                <w:rFonts w:ascii="Calibri" w:hAnsi="Calibri" w:cs="Arial"/>
                <w:szCs w:val="22"/>
              </w:rPr>
            </w:pPr>
            <w:r>
              <w:rPr>
                <w:rFonts w:hint="eastAsia" w:ascii="Calibri" w:hAnsi="Calibri" w:cs="Arial"/>
                <w:szCs w:val="22"/>
              </w:rPr>
              <w:t>配电箱体</w:t>
            </w:r>
          </w:p>
        </w:tc>
        <w:tc>
          <w:tcPr>
            <w:tcW w:w="4445" w:type="dxa"/>
          </w:tcPr>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箱体及底箱均应采优质冷轧钢板，表面防腐处理采用粉末静电喷涂。门开启角度大于150度便于检修；门上配备暗锁及相关配件；柜体背面应有背板封闭。外壳的防护等级不得低于IP30。箱内安装供保护接地线连接的保护接地母线，其连接端子数量大于配电回路的数量</w:t>
            </w:r>
          </w:p>
        </w:tc>
      </w:tr>
    </w:tbl>
    <w:p>
      <w:pPr>
        <w:ind w:firstLine="420" w:firstLineChars="200"/>
        <w:rPr>
          <w:rFonts w:ascii="宋体" w:hAnsi="宋体" w:cs="宋体"/>
          <w:szCs w:val="21"/>
        </w:rPr>
      </w:pP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2268"/>
        <w:gridCol w:w="4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60" w:lineRule="auto"/>
              <w:jc w:val="center"/>
              <w:rPr>
                <w:rFonts w:ascii="Calibri" w:hAnsi="Calibri" w:cs="Arial"/>
                <w:b/>
                <w:szCs w:val="22"/>
              </w:rPr>
            </w:pPr>
            <w:r>
              <w:rPr>
                <w:rFonts w:hint="eastAsia" w:ascii="Calibri" w:hAnsi="Calibri" w:cs="Arial"/>
                <w:b/>
                <w:szCs w:val="22"/>
              </w:rPr>
              <w:t>学院南路校区实验楼106机房强电配电系统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序号</w:t>
            </w:r>
          </w:p>
        </w:tc>
        <w:tc>
          <w:tcPr>
            <w:tcW w:w="1430" w:type="dxa"/>
          </w:tcPr>
          <w:p>
            <w:pPr>
              <w:spacing w:line="360" w:lineRule="auto"/>
              <w:rPr>
                <w:rFonts w:ascii="Calibri" w:hAnsi="Calibri" w:cs="Arial"/>
                <w:szCs w:val="22"/>
              </w:rPr>
            </w:pPr>
            <w:r>
              <w:rPr>
                <w:rFonts w:hint="eastAsia" w:ascii="Calibri" w:hAnsi="Calibri" w:cs="Arial"/>
                <w:szCs w:val="22"/>
              </w:rPr>
              <w:t>重要性</w:t>
            </w:r>
          </w:p>
        </w:tc>
        <w:tc>
          <w:tcPr>
            <w:tcW w:w="2268" w:type="dxa"/>
          </w:tcPr>
          <w:p>
            <w:pPr>
              <w:spacing w:line="360" w:lineRule="auto"/>
              <w:rPr>
                <w:rFonts w:ascii="Calibri" w:hAnsi="Calibri" w:cs="Arial"/>
                <w:szCs w:val="22"/>
              </w:rPr>
            </w:pPr>
            <w:r>
              <w:rPr>
                <w:rFonts w:hint="eastAsia" w:ascii="Calibri" w:hAnsi="Calibri" w:cs="Arial"/>
                <w:szCs w:val="22"/>
              </w:rPr>
              <w:t>技术指标</w:t>
            </w:r>
          </w:p>
        </w:tc>
        <w:tc>
          <w:tcPr>
            <w:tcW w:w="4161" w:type="dxa"/>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配电线路要求</w:t>
            </w:r>
          </w:p>
        </w:tc>
        <w:tc>
          <w:tcPr>
            <w:tcW w:w="4161" w:type="dxa"/>
          </w:tcPr>
          <w:p>
            <w:pPr>
              <w:spacing w:line="360" w:lineRule="auto"/>
              <w:rPr>
                <w:rFonts w:ascii="宋体" w:hAnsi="宋体"/>
                <w:color w:val="0D0D0D"/>
                <w:szCs w:val="21"/>
              </w:rPr>
            </w:pPr>
            <w:r>
              <w:rPr>
                <w:rFonts w:hint="eastAsia" w:ascii="宋体" w:hAnsi="宋体"/>
                <w:color w:val="0D0D0D"/>
                <w:szCs w:val="21"/>
              </w:rPr>
              <w:t>接地方式三相五线制</w:t>
            </w:r>
          </w:p>
          <w:p>
            <w:pPr>
              <w:spacing w:line="360" w:lineRule="auto"/>
              <w:rPr>
                <w:rFonts w:ascii="宋体" w:hAnsi="宋体"/>
                <w:color w:val="0D0D0D"/>
                <w:szCs w:val="21"/>
              </w:rPr>
            </w:pPr>
            <w:r>
              <w:rPr>
                <w:rFonts w:hint="eastAsia" w:ascii="宋体" w:hAnsi="宋体"/>
                <w:color w:val="0D0D0D"/>
                <w:szCs w:val="21"/>
              </w:rPr>
              <w:t>母线表面要有明显相序区分。</w:t>
            </w:r>
          </w:p>
          <w:p>
            <w:pPr>
              <w:spacing w:line="360" w:lineRule="auto"/>
              <w:rPr>
                <w:rFonts w:ascii="Calibri" w:hAnsi="Calibri" w:cs="Arial"/>
                <w:szCs w:val="22"/>
              </w:rPr>
            </w:pPr>
            <w:r>
              <w:rPr>
                <w:rFonts w:hint="eastAsia" w:ascii="宋体" w:hAnsi="宋体"/>
                <w:color w:val="0D0D0D"/>
                <w:szCs w:val="21"/>
              </w:rPr>
              <w:t>≥</w:t>
            </w:r>
            <w:r>
              <w:rPr>
                <w:rFonts w:hint="eastAsia" w:ascii="Calibri" w:hAnsi="Calibri" w:cs="Arial"/>
                <w:szCs w:val="22"/>
              </w:rPr>
              <w:t>100A、</w:t>
            </w:r>
            <w:r>
              <w:rPr>
                <w:rFonts w:hint="eastAsia" w:ascii="宋体" w:hAnsi="宋体"/>
                <w:color w:val="0D0D0D"/>
                <w:szCs w:val="21"/>
              </w:rPr>
              <w:t>≥</w:t>
            </w:r>
            <w:r>
              <w:rPr>
                <w:rFonts w:hint="eastAsia" w:ascii="Calibri" w:hAnsi="Calibri" w:cs="Arial"/>
                <w:szCs w:val="22"/>
              </w:rPr>
              <w:t>4*25+1*16 多股铜芯绝缘导线。</w:t>
            </w:r>
          </w:p>
          <w:p>
            <w:pPr>
              <w:spacing w:line="360" w:lineRule="auto"/>
              <w:rPr>
                <w:rFonts w:ascii="Calibri" w:hAnsi="Calibri" w:cs="Arial"/>
                <w:szCs w:val="22"/>
              </w:rPr>
            </w:pPr>
            <w:r>
              <w:rPr>
                <w:rFonts w:hint="eastAsia" w:ascii="Calibri" w:hAnsi="Calibri" w:cs="Arial"/>
                <w:szCs w:val="22"/>
              </w:rPr>
              <w:t>室外走线采用JDG不锈钢架空管路。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ATS配电柜系统</w:t>
            </w:r>
          </w:p>
          <w:p>
            <w:pPr>
              <w:spacing w:line="360" w:lineRule="auto"/>
              <w:rPr>
                <w:rFonts w:ascii="Calibri" w:hAnsi="Calibri" w:cs="Arial"/>
                <w:szCs w:val="22"/>
              </w:rPr>
            </w:pPr>
            <w:r>
              <w:rPr>
                <w:rFonts w:hint="eastAsia" w:ascii="Calibri" w:hAnsi="Calibri" w:cs="Arial"/>
                <w:szCs w:val="22"/>
              </w:rPr>
              <w:t>功能要求</w:t>
            </w:r>
          </w:p>
        </w:tc>
        <w:tc>
          <w:tcPr>
            <w:tcW w:w="4161"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PC</w:t>
            </w:r>
            <w:r>
              <w:rPr>
                <w:rFonts w:hint="eastAsia" w:ascii="Tahoma" w:hAnsi="Tahoma" w:cs="Tahoma"/>
                <w:color w:val="000000"/>
                <w:szCs w:val="21"/>
              </w:rPr>
              <w:t>级智能双电源自动转换开关电源，当常用电突然故障或停电时，通过双电源切换开关，自动投入到备用电源上。</w:t>
            </w:r>
          </w:p>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ATSE能够电动和手动操作，ATSE的开关本体和控制器组件均由统一生产厂家提供以确保其可靠性。</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具有短路、过载保护功能，过压、欠压、缺相自动转换功能与智能报警功能；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自动转换参数可在外部自由设定；</w:t>
            </w:r>
          </w:p>
          <w:p>
            <w:pPr>
              <w:widowControl/>
              <w:shd w:val="clear" w:color="auto" w:fill="FFFFFF"/>
              <w:spacing w:before="269" w:after="269"/>
              <w:rPr>
                <w:rFonts w:ascii="Tahoma" w:hAnsi="Tahoma" w:cs="Tahoma"/>
                <w:color w:val="000000"/>
                <w:szCs w:val="21"/>
              </w:rPr>
            </w:pPr>
            <w:r>
              <w:rPr>
                <w:rFonts w:ascii="Tahoma" w:hAnsi="Tahoma" w:cs="Tahoma"/>
                <w:color w:val="000000"/>
                <w:szCs w:val="21"/>
              </w:rPr>
              <w:t>具有操作电机智能保护功能；</w:t>
            </w:r>
          </w:p>
          <w:p>
            <w:pPr>
              <w:widowControl/>
              <w:shd w:val="clear" w:color="auto" w:fill="FFFFFF"/>
              <w:spacing w:before="269" w:after="269"/>
              <w:rPr>
                <w:rFonts w:ascii="Tahoma" w:hAnsi="Tahoma" w:cs="Tahoma"/>
                <w:color w:val="000000"/>
                <w:szCs w:val="21"/>
              </w:rPr>
            </w:pPr>
            <w:r>
              <w:rPr>
                <w:rFonts w:ascii="Tahoma" w:hAnsi="Tahoma" w:cs="Tahoma"/>
                <w:color w:val="000000"/>
                <w:szCs w:val="21"/>
              </w:rPr>
              <w:t xml:space="preserve"> (开或闭)状态；面板上有各种指示。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3、</w:t>
            </w:r>
          </w:p>
        </w:tc>
        <w:tc>
          <w:tcPr>
            <w:tcW w:w="1430" w:type="dxa"/>
          </w:tcPr>
          <w:p>
            <w:pPr>
              <w:spacing w:line="360" w:lineRule="auto"/>
              <w:rPr>
                <w:rFonts w:ascii="Calibri" w:hAnsi="Calibri" w:cs="Arial"/>
                <w:szCs w:val="22"/>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Tahoma" w:hAnsi="Tahoma" w:cs="Tahoma"/>
                <w:color w:val="000000"/>
                <w:szCs w:val="21"/>
              </w:rPr>
              <w:t>自动转换开关技术特性</w:t>
            </w:r>
          </w:p>
        </w:tc>
        <w:tc>
          <w:tcPr>
            <w:tcW w:w="4161" w:type="dxa"/>
          </w:tcPr>
          <w:p>
            <w:pPr>
              <w:spacing w:line="360" w:lineRule="auto"/>
              <w:rPr>
                <w:color w:val="333333"/>
                <w:szCs w:val="21"/>
                <w:shd w:val="clear" w:color="auto" w:fill="FFFFFF"/>
              </w:rPr>
            </w:pPr>
            <w:r>
              <w:rPr>
                <w:rFonts w:hint="eastAsia"/>
                <w:color w:val="333333"/>
                <w:szCs w:val="21"/>
                <w:shd w:val="clear" w:color="auto" w:fill="FFFFFF"/>
              </w:rPr>
              <w:t>ATSE额定电流：100A</w:t>
            </w:r>
          </w:p>
          <w:p>
            <w:pPr>
              <w:spacing w:line="360" w:lineRule="auto"/>
              <w:rPr>
                <w:color w:val="333333"/>
                <w:szCs w:val="21"/>
                <w:shd w:val="clear" w:color="auto" w:fill="FFFFFF"/>
              </w:rPr>
            </w:pPr>
            <w:r>
              <w:rPr>
                <w:rFonts w:hint="eastAsia"/>
                <w:color w:val="333333"/>
                <w:szCs w:val="21"/>
                <w:shd w:val="clear" w:color="auto" w:fill="FFFFFF"/>
              </w:rPr>
              <w:t>使用分断能力100%</w:t>
            </w:r>
          </w:p>
          <w:p>
            <w:pPr>
              <w:spacing w:line="360" w:lineRule="auto"/>
              <w:rPr>
                <w:color w:val="333333"/>
                <w:szCs w:val="21"/>
                <w:shd w:val="clear" w:color="auto" w:fill="FFFFFF"/>
              </w:rPr>
            </w:pPr>
            <w:r>
              <w:rPr>
                <w:rFonts w:hint="eastAsia"/>
                <w:color w:val="333333"/>
                <w:szCs w:val="21"/>
                <w:shd w:val="clear" w:color="auto" w:fill="FFFFFF"/>
              </w:rPr>
              <w:t>机械寿命</w:t>
            </w:r>
            <w:r>
              <w:rPr>
                <w:rFonts w:hint="eastAsia" w:ascii="宋体" w:hAnsi="宋体"/>
                <w:color w:val="0D0D0D"/>
                <w:szCs w:val="21"/>
              </w:rPr>
              <w:t>≥1</w:t>
            </w:r>
            <w:r>
              <w:rPr>
                <w:rFonts w:hint="eastAsia"/>
                <w:color w:val="333333"/>
                <w:szCs w:val="21"/>
                <w:shd w:val="clear" w:color="auto" w:fill="FFFFFF"/>
              </w:rPr>
              <w:t>0000（次数）</w:t>
            </w:r>
          </w:p>
          <w:p>
            <w:pPr>
              <w:spacing w:line="360" w:lineRule="auto"/>
              <w:rPr>
                <w:color w:val="333333"/>
                <w:szCs w:val="21"/>
                <w:shd w:val="clear" w:color="auto" w:fill="FFFFFF"/>
              </w:rPr>
            </w:pPr>
            <w:r>
              <w:rPr>
                <w:rFonts w:hint="eastAsia"/>
                <w:color w:val="333333"/>
                <w:szCs w:val="21"/>
                <w:shd w:val="clear" w:color="auto" w:fill="FFFFFF"/>
              </w:rPr>
              <w:t>电气寿命</w:t>
            </w:r>
            <w:r>
              <w:rPr>
                <w:rFonts w:hint="eastAsia" w:ascii="宋体" w:hAnsi="宋体"/>
                <w:color w:val="0D0D0D"/>
                <w:szCs w:val="21"/>
              </w:rPr>
              <w:t>≥5</w:t>
            </w:r>
            <w:r>
              <w:rPr>
                <w:rFonts w:hint="eastAsia"/>
                <w:color w:val="333333"/>
                <w:szCs w:val="21"/>
                <w:shd w:val="clear" w:color="auto" w:fill="FFFFFF"/>
              </w:rPr>
              <w:t>000（次数）</w:t>
            </w:r>
          </w:p>
          <w:p>
            <w:pPr>
              <w:spacing w:line="360" w:lineRule="auto"/>
              <w:rPr>
                <w:rFonts w:ascii="Tahoma" w:hAnsi="Tahoma" w:cs="Tahoma"/>
                <w:color w:val="000000"/>
                <w:szCs w:val="21"/>
              </w:rPr>
            </w:pPr>
            <w:r>
              <w:rPr>
                <w:rFonts w:hint="eastAsia" w:ascii="Tahoma" w:hAnsi="Tahoma" w:cs="Tahoma"/>
                <w:color w:val="000000"/>
                <w:szCs w:val="21"/>
              </w:rPr>
              <w:t>最大切换时间≤250毫秒</w:t>
            </w:r>
          </w:p>
          <w:p>
            <w:pPr>
              <w:spacing w:line="360" w:lineRule="auto"/>
              <w:rPr>
                <w:color w:val="333333"/>
                <w:szCs w:val="21"/>
                <w:shd w:val="clear" w:color="auto" w:fill="FFFFFF"/>
              </w:rPr>
            </w:pPr>
            <w:r>
              <w:rPr>
                <w:rFonts w:ascii="Arial" w:hAnsi="Arial" w:cs="Arial"/>
                <w:color w:val="333333"/>
                <w:szCs w:val="21"/>
                <w:shd w:val="clear" w:color="auto" w:fill="FFFFFF"/>
              </w:rPr>
              <w:t>短路耐受容量</w:t>
            </w:r>
            <w:r>
              <w:rPr>
                <w:rFonts w:hint="eastAsia" w:ascii="Arial" w:hAnsi="Arial" w:cs="Arial"/>
                <w:color w:val="333333"/>
                <w:szCs w:val="21"/>
                <w:shd w:val="clear" w:color="auto" w:fill="FFFFFF"/>
              </w:rPr>
              <w:t>符合国家标准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4、</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资质要求</w:t>
            </w:r>
          </w:p>
        </w:tc>
        <w:tc>
          <w:tcPr>
            <w:tcW w:w="4161" w:type="dxa"/>
          </w:tcPr>
          <w:p>
            <w:pPr>
              <w:spacing w:line="360" w:lineRule="auto"/>
              <w:rPr>
                <w:rFonts w:ascii="Calibri" w:hAnsi="Calibri" w:cs="Arial"/>
                <w:szCs w:val="22"/>
              </w:rPr>
            </w:pPr>
            <w:r>
              <w:rPr>
                <w:rFonts w:hint="eastAsia" w:ascii="Calibri" w:hAnsi="Calibri" w:cs="Arial"/>
                <w:sz w:val="24"/>
              </w:rPr>
              <w:t>ATSE的电气和机械性能应符合 IEC60947-6-1、GB/T14048.11的要求，通过CCC认证；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5、</w:t>
            </w:r>
          </w:p>
        </w:tc>
        <w:tc>
          <w:tcPr>
            <w:tcW w:w="1430" w:type="dxa"/>
          </w:tcPr>
          <w:p>
            <w:pPr>
              <w:spacing w:line="360" w:lineRule="auto"/>
              <w:rPr>
                <w:rFonts w:ascii="宋体" w:hAnsi="宋体" w:cs="宋体"/>
                <w:bCs/>
                <w:szCs w:val="21"/>
              </w:rPr>
            </w:pPr>
          </w:p>
        </w:tc>
        <w:tc>
          <w:tcPr>
            <w:tcW w:w="2268" w:type="dxa"/>
          </w:tcPr>
          <w:p>
            <w:pPr>
              <w:spacing w:line="360" w:lineRule="auto"/>
              <w:rPr>
                <w:rFonts w:ascii="Calibri" w:hAnsi="Calibri" w:cs="Arial"/>
                <w:szCs w:val="22"/>
              </w:rPr>
            </w:pPr>
            <w:r>
              <w:rPr>
                <w:rFonts w:hint="eastAsia" w:ascii="Calibri" w:hAnsi="Calibri" w:cs="Arial"/>
                <w:szCs w:val="22"/>
              </w:rPr>
              <w:t>ATS扩展要求</w:t>
            </w:r>
          </w:p>
        </w:tc>
        <w:tc>
          <w:tcPr>
            <w:tcW w:w="4161" w:type="dxa"/>
          </w:tcPr>
          <w:p>
            <w:pPr>
              <w:widowControl/>
              <w:shd w:val="clear" w:color="auto" w:fill="FFFFFF"/>
              <w:spacing w:before="269" w:after="269"/>
              <w:rPr>
                <w:rFonts w:ascii="Tahoma" w:hAnsi="Tahoma" w:cs="Tahoma"/>
                <w:color w:val="000000"/>
                <w:szCs w:val="21"/>
              </w:rPr>
            </w:pPr>
            <w:r>
              <w:rPr>
                <w:rFonts w:ascii="Tahoma" w:hAnsi="Tahoma" w:cs="Tahoma"/>
                <w:color w:val="000000"/>
                <w:szCs w:val="21"/>
              </w:rPr>
              <w:t>内装有接线端子供用户接线可以反映断路器智能化控制器采用以单片机为控制核心；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6、</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配电箱运行条件</w:t>
            </w:r>
          </w:p>
        </w:tc>
        <w:tc>
          <w:tcPr>
            <w:tcW w:w="4161" w:type="dxa"/>
          </w:tcPr>
          <w:p>
            <w:pPr>
              <w:spacing w:line="360" w:lineRule="auto"/>
              <w:ind w:left="360"/>
              <w:rPr>
                <w:rFonts w:ascii="Calibri" w:hAnsi="Calibri" w:cs="Arial"/>
                <w:szCs w:val="22"/>
              </w:rPr>
            </w:pPr>
            <w:r>
              <w:rPr>
                <w:rFonts w:hint="eastAsia" w:ascii="Calibri" w:hAnsi="Calibri" w:cs="Arial"/>
                <w:szCs w:val="22"/>
              </w:rPr>
              <w:t>输入电压范围：277VAC-468VAC(三相)</w:t>
            </w:r>
          </w:p>
          <w:p>
            <w:pPr>
              <w:spacing w:line="360" w:lineRule="auto"/>
              <w:ind w:left="360"/>
              <w:rPr>
                <w:rFonts w:ascii="Calibri" w:hAnsi="Calibri" w:cs="Arial"/>
                <w:szCs w:val="22"/>
              </w:rPr>
            </w:pPr>
            <w:r>
              <w:rPr>
                <w:rFonts w:hint="eastAsia" w:ascii="Calibri" w:hAnsi="Calibri" w:cs="Arial"/>
                <w:szCs w:val="22"/>
              </w:rPr>
              <w:t>额定运行电压380V</w:t>
            </w:r>
          </w:p>
          <w:p>
            <w:pPr>
              <w:spacing w:line="360" w:lineRule="auto"/>
              <w:ind w:left="360"/>
              <w:rPr>
                <w:rFonts w:ascii="Calibri" w:hAnsi="Calibri" w:cs="Arial"/>
                <w:szCs w:val="22"/>
              </w:rPr>
            </w:pPr>
            <w:r>
              <w:rPr>
                <w:rFonts w:hint="eastAsia" w:ascii="Calibri" w:hAnsi="Calibri" w:cs="Arial"/>
                <w:szCs w:val="22"/>
              </w:rPr>
              <w:t>绝缘电压660V</w:t>
            </w:r>
          </w:p>
          <w:p>
            <w:pPr>
              <w:spacing w:line="360" w:lineRule="auto"/>
              <w:rPr>
                <w:rFonts w:ascii="Calibri" w:hAnsi="Calibri" w:cs="Arial"/>
                <w:szCs w:val="22"/>
              </w:rPr>
            </w:pPr>
            <w:r>
              <w:rPr>
                <w:rFonts w:hint="eastAsia" w:ascii="Calibri" w:hAnsi="Calibri" w:cs="Arial"/>
                <w:szCs w:val="22"/>
              </w:rPr>
              <w:t xml:space="preserve">    额定频率50HZ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7、</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配电箱体</w:t>
            </w:r>
          </w:p>
        </w:tc>
        <w:tc>
          <w:tcPr>
            <w:tcW w:w="4161" w:type="dxa"/>
          </w:tcPr>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箱体及底箱应采用优质冷轧钢板，表面防腐处理采用粉末静电喷涂。门开启角度大于150度便于检修；门上配备暗锁及相关配件；柜体背面应有背板封闭。外壳的防护等级不得低于IP30。箱内安装供保护接地线连接的保护接地母线，其连接端子数量大于配电回路的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8、</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268" w:type="dxa"/>
          </w:tcPr>
          <w:p>
            <w:pPr>
              <w:spacing w:line="360" w:lineRule="auto"/>
              <w:rPr>
                <w:rFonts w:ascii="Calibri" w:hAnsi="Calibri" w:cs="Arial"/>
                <w:szCs w:val="22"/>
              </w:rPr>
            </w:pPr>
            <w:r>
              <w:rPr>
                <w:rFonts w:hint="eastAsia" w:ascii="Calibri" w:hAnsi="Calibri" w:cs="Arial"/>
                <w:szCs w:val="22"/>
              </w:rPr>
              <w:t>PDU参数</w:t>
            </w:r>
          </w:p>
        </w:tc>
        <w:tc>
          <w:tcPr>
            <w:tcW w:w="4161" w:type="dxa"/>
          </w:tcPr>
          <w:p>
            <w:pPr>
              <w:widowControl/>
              <w:shd w:val="clear" w:color="auto" w:fill="FFFFFF"/>
              <w:spacing w:before="269" w:after="269"/>
              <w:rPr>
                <w:rFonts w:ascii="Tahoma" w:hAnsi="Tahoma" w:cs="Tahoma"/>
                <w:color w:val="000000"/>
                <w:szCs w:val="21"/>
              </w:rPr>
            </w:pPr>
            <w:r>
              <w:rPr>
                <w:rFonts w:hint="eastAsia" w:ascii="Tahoma" w:hAnsi="Tahoma" w:cs="Tahoma"/>
                <w:color w:val="000000"/>
                <w:szCs w:val="21"/>
              </w:rPr>
              <w:t>总功率32A，16位16A孔，带防雷防浪涌保护，带过载保护，产品可竖装机柜两侧 含3C认证，配3米6平方线缆。</w:t>
            </w:r>
          </w:p>
        </w:tc>
      </w:tr>
    </w:tbl>
    <w:p>
      <w:pPr>
        <w:ind w:firstLine="420" w:firstLineChars="200"/>
        <w:rPr>
          <w:rFonts w:ascii="宋体" w:hAnsi="宋体" w:cs="宋体"/>
          <w:szCs w:val="21"/>
        </w:rPr>
      </w:pPr>
    </w:p>
    <w:p>
      <w:pPr>
        <w:ind w:firstLine="420" w:firstLineChars="200"/>
        <w:rPr>
          <w:rFonts w:ascii="宋体" w:hAnsi="宋体" w:cs="宋体"/>
          <w:szCs w:val="21"/>
        </w:rPr>
      </w:pPr>
    </w:p>
    <w:tbl>
      <w:tblPr>
        <w:tblStyle w:val="17"/>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3"/>
        <w:gridCol w:w="1430"/>
        <w:gridCol w:w="2126"/>
        <w:gridCol w:w="43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522" w:type="dxa"/>
            <w:gridSpan w:val="4"/>
          </w:tcPr>
          <w:p>
            <w:pPr>
              <w:spacing w:line="360" w:lineRule="auto"/>
              <w:jc w:val="center"/>
              <w:rPr>
                <w:rFonts w:ascii="Calibri" w:hAnsi="Calibri" w:cs="Arial"/>
                <w:b/>
                <w:szCs w:val="22"/>
              </w:rPr>
            </w:pPr>
            <w:r>
              <w:rPr>
                <w:rFonts w:hint="eastAsia" w:ascii="Calibri" w:hAnsi="Calibri" w:cs="Arial"/>
                <w:b/>
                <w:szCs w:val="22"/>
              </w:rPr>
              <w:t>UPS系统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序号</w:t>
            </w:r>
          </w:p>
        </w:tc>
        <w:tc>
          <w:tcPr>
            <w:tcW w:w="1430" w:type="dxa"/>
          </w:tcPr>
          <w:p>
            <w:pPr>
              <w:spacing w:line="360" w:lineRule="auto"/>
              <w:rPr>
                <w:rFonts w:ascii="Calibri" w:hAnsi="Calibri" w:cs="Arial"/>
                <w:szCs w:val="22"/>
              </w:rPr>
            </w:pPr>
            <w:r>
              <w:rPr>
                <w:rFonts w:hint="eastAsia" w:ascii="Calibri" w:hAnsi="Calibri" w:cs="Arial"/>
                <w:szCs w:val="22"/>
              </w:rPr>
              <w:t>重要性</w:t>
            </w:r>
          </w:p>
        </w:tc>
        <w:tc>
          <w:tcPr>
            <w:tcW w:w="2126" w:type="dxa"/>
          </w:tcPr>
          <w:p>
            <w:pPr>
              <w:spacing w:line="360" w:lineRule="auto"/>
              <w:rPr>
                <w:rFonts w:ascii="Calibri" w:hAnsi="Calibri" w:cs="Arial"/>
                <w:szCs w:val="22"/>
              </w:rPr>
            </w:pPr>
            <w:r>
              <w:rPr>
                <w:rFonts w:hint="eastAsia" w:ascii="Calibri" w:hAnsi="Calibri" w:cs="Arial"/>
                <w:szCs w:val="22"/>
              </w:rPr>
              <w:t>UPS技术指标</w:t>
            </w:r>
          </w:p>
        </w:tc>
        <w:tc>
          <w:tcPr>
            <w:tcW w:w="4303" w:type="dxa"/>
          </w:tcPr>
          <w:p>
            <w:pPr>
              <w:spacing w:line="360" w:lineRule="auto"/>
              <w:rPr>
                <w:rFonts w:ascii="Calibri" w:hAnsi="Calibri" w:cs="Arial"/>
                <w:szCs w:val="22"/>
              </w:rPr>
            </w:pPr>
            <w:r>
              <w:rPr>
                <w:rFonts w:hint="eastAsia" w:ascii="Calibri" w:hAnsi="Calibri" w:cs="Arial"/>
                <w:szCs w:val="22"/>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容量</w:t>
            </w:r>
          </w:p>
        </w:tc>
        <w:tc>
          <w:tcPr>
            <w:tcW w:w="4303" w:type="dxa"/>
          </w:tcPr>
          <w:p>
            <w:pPr>
              <w:widowControl/>
              <w:tabs>
                <w:tab w:val="left" w:pos="0"/>
                <w:tab w:val="left" w:pos="540"/>
              </w:tabs>
              <w:snapToGrid w:val="0"/>
              <w:spacing w:line="360" w:lineRule="auto"/>
              <w:ind w:left="147"/>
              <w:rPr>
                <w:rFonts w:ascii="宋体" w:hAnsi="宋体"/>
                <w:color w:val="0D0D0D"/>
                <w:szCs w:val="21"/>
              </w:rPr>
            </w:pPr>
            <w:r>
              <w:rPr>
                <w:rFonts w:hint="eastAsia" w:ascii="宋体" w:hAnsi="宋体"/>
                <w:color w:val="0D0D0D"/>
                <w:szCs w:val="21"/>
              </w:rPr>
              <w:t>UPS必须采用模块化热插拔技术，以降低MTTR（平均故障修复时间），单个模块必须支持在线并入或退出，使维护与升级都简单、安全、易行。单模块容量≥20KVA,整机容量80KVA,UPS需同时支持机架并机技术，机架并联数量不少于4台。(机架并联时，所有主机必需共享同一套电池。制造厂商对本项目授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产品结构</w:t>
            </w:r>
          </w:p>
        </w:tc>
        <w:tc>
          <w:tcPr>
            <w:tcW w:w="4303" w:type="dxa"/>
          </w:tcPr>
          <w:p>
            <w:pPr>
              <w:widowControl/>
              <w:tabs>
                <w:tab w:val="left" w:pos="0"/>
                <w:tab w:val="left" w:pos="540"/>
              </w:tabs>
              <w:snapToGrid w:val="0"/>
              <w:spacing w:line="360" w:lineRule="auto"/>
              <w:ind w:left="147"/>
              <w:rPr>
                <w:rFonts w:ascii="宋体" w:hAnsi="宋体"/>
                <w:color w:val="0D0D0D"/>
                <w:szCs w:val="21"/>
              </w:rPr>
            </w:pPr>
            <w:r>
              <w:rPr>
                <w:rFonts w:ascii="宋体" w:hAnsi="宋体"/>
                <w:color w:val="0D0D0D"/>
                <w:szCs w:val="21"/>
              </w:rPr>
              <w:t>UPS装置</w:t>
            </w:r>
            <w:r>
              <w:rPr>
                <w:rFonts w:ascii="宋体" w:hAnsi="宋体"/>
                <w:snapToGrid w:val="0"/>
                <w:color w:val="0D0D0D"/>
                <w:szCs w:val="21"/>
              </w:rPr>
              <w:t>采用适用于</w:t>
            </w:r>
            <w:r>
              <w:rPr>
                <w:rFonts w:hint="eastAsia" w:ascii="宋体" w:hAnsi="宋体"/>
                <w:snapToGrid w:val="0"/>
                <w:color w:val="0D0D0D"/>
                <w:szCs w:val="21"/>
              </w:rPr>
              <w:t>电力生产行业</w:t>
            </w:r>
            <w:r>
              <w:rPr>
                <w:rFonts w:ascii="宋体" w:hAnsi="宋体"/>
                <w:snapToGrid w:val="0"/>
                <w:color w:val="0D0D0D"/>
                <w:szCs w:val="21"/>
              </w:rPr>
              <w:t>使用的</w:t>
            </w:r>
            <w:r>
              <w:rPr>
                <w:rFonts w:hint="eastAsia" w:ascii="宋体" w:hAnsi="宋体"/>
                <w:snapToGrid w:val="0"/>
                <w:color w:val="0D0D0D"/>
                <w:szCs w:val="21"/>
              </w:rPr>
              <w:t>工业级</w:t>
            </w:r>
            <w:r>
              <w:rPr>
                <w:rFonts w:ascii="宋体" w:hAnsi="宋体"/>
                <w:snapToGrid w:val="0"/>
                <w:color w:val="0D0D0D"/>
                <w:szCs w:val="21"/>
              </w:rPr>
              <w:t>产品，</w:t>
            </w:r>
            <w:r>
              <w:rPr>
                <w:rFonts w:hint="eastAsia" w:ascii="宋体" w:hAnsi="宋体"/>
                <w:snapToGrid w:val="0"/>
                <w:color w:val="0D0D0D"/>
                <w:szCs w:val="21"/>
              </w:rPr>
              <w:t>为在线双转换式模块化UPS，包含UPS电源所有的控制电路（由</w:t>
            </w:r>
            <w:r>
              <w:rPr>
                <w:rFonts w:ascii="宋体" w:hAnsi="宋体"/>
                <w:color w:val="0D0D0D"/>
                <w:szCs w:val="21"/>
              </w:rPr>
              <w:t>整流器</w:t>
            </w:r>
            <w:r>
              <w:rPr>
                <w:rFonts w:hint="eastAsia" w:ascii="宋体" w:hAnsi="宋体"/>
                <w:color w:val="0D0D0D"/>
                <w:szCs w:val="21"/>
              </w:rPr>
              <w:t>、</w:t>
            </w:r>
            <w:r>
              <w:rPr>
                <w:rFonts w:ascii="宋体" w:hAnsi="宋体"/>
                <w:color w:val="0D0D0D"/>
                <w:szCs w:val="21"/>
              </w:rPr>
              <w:t>逆变器、静态旁路开关、手动检修旁路开关、</w:t>
            </w:r>
            <w:r>
              <w:rPr>
                <w:rFonts w:hint="eastAsia" w:ascii="宋体" w:hAnsi="宋体"/>
                <w:color w:val="0D0D0D"/>
                <w:szCs w:val="21"/>
              </w:rPr>
              <w:t>控制单元、显示单元、直流隔离二极管</w:t>
            </w:r>
            <w:r>
              <w:rPr>
                <w:rFonts w:ascii="宋体" w:hAnsi="宋体"/>
                <w:color w:val="0D0D0D"/>
                <w:szCs w:val="21"/>
              </w:rPr>
              <w:t>等组成</w:t>
            </w:r>
            <w:r>
              <w:rPr>
                <w:rFonts w:hint="eastAsia" w:ascii="宋体" w:hAnsi="宋体"/>
                <w:color w:val="0D0D0D"/>
                <w:szCs w:val="21"/>
              </w:rPr>
              <w:t>）</w:t>
            </w:r>
            <w:r>
              <w:rPr>
                <w:rFonts w:ascii="宋体" w:hAnsi="宋体"/>
                <w:color w:val="0D0D0D"/>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3、</w:t>
            </w:r>
          </w:p>
        </w:tc>
        <w:tc>
          <w:tcPr>
            <w:tcW w:w="1430" w:type="dxa"/>
          </w:tcPr>
          <w:p>
            <w:pPr>
              <w:spacing w:line="360" w:lineRule="auto"/>
              <w:rPr>
                <w:rFonts w:ascii="Calibri" w:hAnsi="Calibri" w:cs="Arial"/>
                <w:szCs w:val="22"/>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-输入电压范围</w:t>
            </w:r>
          </w:p>
        </w:tc>
        <w:tc>
          <w:tcPr>
            <w:tcW w:w="4303" w:type="dxa"/>
          </w:tcPr>
          <w:p>
            <w:pPr>
              <w:spacing w:line="360" w:lineRule="auto"/>
              <w:rPr>
                <w:rFonts w:ascii="Calibri" w:hAnsi="Calibri" w:cs="Arial"/>
                <w:szCs w:val="22"/>
              </w:rPr>
            </w:pPr>
            <w:r>
              <w:rPr>
                <w:rFonts w:hint="eastAsia" w:ascii="宋体" w:hAnsi="宋体"/>
                <w:color w:val="0D0D0D"/>
                <w:szCs w:val="21"/>
              </w:rPr>
              <w:t>三相五线制,，AC380V-42% ~ AC380V+25%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4、</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输入功因数</w:t>
            </w:r>
          </w:p>
        </w:tc>
        <w:tc>
          <w:tcPr>
            <w:tcW w:w="4303" w:type="dxa"/>
          </w:tcPr>
          <w:p>
            <w:pPr>
              <w:spacing w:line="360" w:lineRule="auto"/>
              <w:rPr>
                <w:rFonts w:ascii="Calibri" w:hAnsi="Calibri" w:cs="Arial"/>
                <w:szCs w:val="22"/>
              </w:rPr>
            </w:pPr>
            <w:r>
              <w:rPr>
                <w:rFonts w:hint="eastAsia" w:ascii="Calibri" w:hAnsi="Calibri" w:cs="Arial"/>
                <w:szCs w:val="22"/>
              </w:rPr>
              <w:t>＞0.99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5、</w:t>
            </w:r>
          </w:p>
        </w:tc>
        <w:tc>
          <w:tcPr>
            <w:tcW w:w="1430" w:type="dxa"/>
          </w:tcPr>
          <w:p>
            <w:pPr>
              <w:spacing w:line="360" w:lineRule="auto"/>
              <w:rPr>
                <w:rFonts w:ascii="宋体" w:hAnsi="宋体" w:cs="宋体"/>
                <w:bCs/>
                <w:szCs w:val="21"/>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输入频率范围</w:t>
            </w:r>
          </w:p>
        </w:tc>
        <w:tc>
          <w:tcPr>
            <w:tcW w:w="4303" w:type="dxa"/>
          </w:tcPr>
          <w:p>
            <w:pPr>
              <w:spacing w:line="360" w:lineRule="auto"/>
              <w:rPr>
                <w:rFonts w:ascii="Calibri" w:hAnsi="Calibri" w:cs="Arial"/>
                <w:szCs w:val="22"/>
              </w:rPr>
            </w:pPr>
            <w:r>
              <w:rPr>
                <w:rFonts w:hint="eastAsia" w:ascii="Calibri" w:hAnsi="Calibri" w:cs="Arial"/>
                <w:szCs w:val="22"/>
              </w:rPr>
              <w:t>50/60Hz± 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6、</w:t>
            </w:r>
          </w:p>
        </w:tc>
        <w:tc>
          <w:tcPr>
            <w:tcW w:w="1430" w:type="dxa"/>
          </w:tcPr>
          <w:p>
            <w:pPr>
              <w:spacing w:line="360" w:lineRule="auto"/>
              <w:rPr>
                <w:rFonts w:ascii="宋体" w:hAnsi="宋体" w:cs="宋体"/>
                <w:bCs/>
                <w:szCs w:val="21"/>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频率跟踪范围</w:t>
            </w:r>
          </w:p>
        </w:tc>
        <w:tc>
          <w:tcPr>
            <w:tcW w:w="4303" w:type="dxa"/>
          </w:tcPr>
          <w:p>
            <w:pPr>
              <w:spacing w:line="360" w:lineRule="auto"/>
              <w:rPr>
                <w:rFonts w:ascii="Calibri" w:hAnsi="Calibri" w:cs="Arial"/>
                <w:szCs w:val="22"/>
              </w:rPr>
            </w:pPr>
            <w:r>
              <w:rPr>
                <w:rFonts w:hint="eastAsia" w:ascii="Calibri" w:hAnsi="Calibri" w:cs="Arial"/>
                <w:szCs w:val="22"/>
              </w:rPr>
              <w:t>50/60Hz± 5Hz</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7、</w:t>
            </w:r>
          </w:p>
        </w:tc>
        <w:tc>
          <w:tcPr>
            <w:tcW w:w="1430" w:type="dxa"/>
          </w:tcPr>
          <w:p>
            <w:pPr>
              <w:spacing w:line="360" w:lineRule="auto"/>
              <w:rPr>
                <w:rFonts w:ascii="Calibri" w:hAnsi="Calibri" w:cs="Arial"/>
                <w:szCs w:val="22"/>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频率跟踪速率</w:t>
            </w:r>
          </w:p>
        </w:tc>
        <w:tc>
          <w:tcPr>
            <w:tcW w:w="4303" w:type="dxa"/>
          </w:tcPr>
          <w:p>
            <w:pPr>
              <w:spacing w:line="360" w:lineRule="auto"/>
              <w:rPr>
                <w:rFonts w:ascii="Calibri" w:hAnsi="Calibri" w:cs="Arial"/>
                <w:szCs w:val="22"/>
              </w:rPr>
            </w:pPr>
            <w:r>
              <w:rPr>
                <w:rFonts w:hint="eastAsia" w:ascii="Calibri" w:hAnsi="Calibri" w:cs="Arial"/>
                <w:szCs w:val="22"/>
              </w:rPr>
              <w:t>同步速度 ≤1HZ/sec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8、</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输出电压</w:t>
            </w:r>
          </w:p>
        </w:tc>
        <w:tc>
          <w:tcPr>
            <w:tcW w:w="4303" w:type="dxa"/>
          </w:tcPr>
          <w:p>
            <w:pPr>
              <w:spacing w:line="360" w:lineRule="auto"/>
              <w:rPr>
                <w:rFonts w:ascii="Calibri" w:hAnsi="Calibri" w:cs="Arial"/>
                <w:szCs w:val="22"/>
              </w:rPr>
            </w:pPr>
            <w:r>
              <w:rPr>
                <w:rFonts w:hint="eastAsia" w:ascii="Calibri" w:hAnsi="Calibri" w:cs="Arial"/>
                <w:szCs w:val="22"/>
              </w:rPr>
              <w:t>380/220VAC±1%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9、</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输出频率</w:t>
            </w:r>
          </w:p>
        </w:tc>
        <w:tc>
          <w:tcPr>
            <w:tcW w:w="4303" w:type="dxa"/>
          </w:tcPr>
          <w:p>
            <w:pPr>
              <w:spacing w:line="360" w:lineRule="auto"/>
              <w:rPr>
                <w:rFonts w:ascii="Calibri" w:hAnsi="Calibri" w:cs="Arial"/>
                <w:szCs w:val="22"/>
              </w:rPr>
            </w:pPr>
            <w:r>
              <w:rPr>
                <w:rFonts w:ascii="宋体" w:hAnsi="宋体" w:eastAsia="楷体_GB2312"/>
                <w:color w:val="0D0D0D"/>
              </w:rPr>
              <w:t>50HZ</w:t>
            </w:r>
            <w:r>
              <w:rPr>
                <w:rFonts w:hint="eastAsia" w:ascii="宋体" w:hAnsi="宋体" w:eastAsia="楷体_GB2312"/>
                <w:color w:val="0D0D0D"/>
              </w:rPr>
              <w:t>±</w:t>
            </w:r>
            <w:r>
              <w:rPr>
                <w:rFonts w:hint="eastAsia" w:ascii="宋体" w:hAnsi="宋体" w:eastAsia="PMingLiU"/>
                <w:color w:val="0D0D0D"/>
                <w:lang w:eastAsia="zh-TW"/>
              </w:rPr>
              <w:t>0.05</w:t>
            </w:r>
            <w:r>
              <w:rPr>
                <w:rFonts w:hint="eastAsia" w:ascii="宋体" w:hAnsi="宋体" w:eastAsia="楷体_GB2312"/>
                <w:color w:val="0D0D0D"/>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10、</w:t>
            </w:r>
          </w:p>
        </w:tc>
        <w:tc>
          <w:tcPr>
            <w:tcW w:w="1430" w:type="dxa"/>
          </w:tcPr>
          <w:p>
            <w:pPr>
              <w:spacing w:line="360" w:lineRule="auto"/>
              <w:rPr>
                <w:rFonts w:ascii="Calibri" w:hAnsi="Calibri" w:cs="Arial"/>
                <w:szCs w:val="22"/>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输出波形失真度</w:t>
            </w:r>
          </w:p>
        </w:tc>
        <w:tc>
          <w:tcPr>
            <w:tcW w:w="4303" w:type="dxa"/>
          </w:tcPr>
          <w:p>
            <w:pPr>
              <w:spacing w:line="360" w:lineRule="auto"/>
              <w:rPr>
                <w:rFonts w:ascii="Calibri" w:hAnsi="Calibri" w:cs="Arial"/>
                <w:szCs w:val="22"/>
              </w:rPr>
            </w:pPr>
            <w:r>
              <w:rPr>
                <w:rFonts w:hint="eastAsia" w:ascii="Calibri" w:hAnsi="Calibri" w:cs="Arial"/>
                <w:szCs w:val="22"/>
              </w:rPr>
              <w:t>谐波失真: ≤3%（非线性负载），≤1%（线性负载）</w:t>
            </w:r>
          </w:p>
        </w:tc>
      </w:tr>
      <w:tr>
        <w:tblPrEx>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11、</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输出功率因数</w:t>
            </w:r>
          </w:p>
        </w:tc>
        <w:tc>
          <w:tcPr>
            <w:tcW w:w="4303" w:type="dxa"/>
          </w:tcPr>
          <w:p>
            <w:pPr>
              <w:spacing w:line="360" w:lineRule="auto"/>
              <w:rPr>
                <w:rFonts w:ascii="Calibri" w:hAnsi="Calibri" w:cs="Arial"/>
                <w:szCs w:val="22"/>
              </w:rPr>
            </w:pPr>
            <w:r>
              <w:rPr>
                <w:rFonts w:hint="eastAsia" w:ascii="Calibri" w:hAnsi="Calibri" w:cs="Arial"/>
                <w:szCs w:val="22"/>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12、</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过载能力</w:t>
            </w:r>
          </w:p>
        </w:tc>
        <w:tc>
          <w:tcPr>
            <w:tcW w:w="4303" w:type="dxa"/>
          </w:tcPr>
          <w:p>
            <w:pPr>
              <w:spacing w:line="360" w:lineRule="auto"/>
              <w:rPr>
                <w:rFonts w:ascii="Calibri" w:hAnsi="Calibri" w:cs="Arial"/>
                <w:szCs w:val="21"/>
              </w:rPr>
            </w:pPr>
            <w:r>
              <w:rPr>
                <w:rFonts w:hint="eastAsia" w:ascii="宋体" w:hAnsi="宋体"/>
                <w:color w:val="0D0D0D"/>
                <w:szCs w:val="21"/>
              </w:rPr>
              <w:t>105%正常运行，125%10分钟, 150 %1分钟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13、</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Calibri" w:hAnsi="Calibri" w:cs="Arial"/>
                <w:szCs w:val="22"/>
              </w:rPr>
            </w:pPr>
            <w:r>
              <w:rPr>
                <w:rFonts w:hint="eastAsia" w:ascii="Calibri" w:hAnsi="Calibri" w:cs="Arial"/>
                <w:szCs w:val="22"/>
              </w:rPr>
              <w:t>三相不平衡负载能力：</w:t>
            </w:r>
            <w:r>
              <w:rPr>
                <w:rFonts w:ascii="Calibri" w:hAnsi="Calibri" w:cs="Arial"/>
                <w:szCs w:val="22"/>
              </w:rPr>
              <w:t xml:space="preserve"> </w:t>
            </w:r>
          </w:p>
        </w:tc>
        <w:tc>
          <w:tcPr>
            <w:tcW w:w="4303" w:type="dxa"/>
          </w:tcPr>
          <w:p>
            <w:pPr>
              <w:spacing w:line="360" w:lineRule="auto"/>
              <w:rPr>
                <w:rFonts w:ascii="Calibri" w:hAnsi="Calibri" w:cs="Arial"/>
                <w:szCs w:val="22"/>
              </w:rPr>
            </w:pPr>
            <w:r>
              <w:rPr>
                <w:rFonts w:hint="eastAsia" w:ascii="Calibri" w:hAnsi="Calibri" w:cs="Arial"/>
                <w:szCs w:val="22"/>
              </w:rPr>
              <w:t>100％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14、</w:t>
            </w:r>
          </w:p>
        </w:tc>
        <w:tc>
          <w:tcPr>
            <w:tcW w:w="1430" w:type="dxa"/>
          </w:tcPr>
          <w:p>
            <w:pPr>
              <w:spacing w:line="360" w:lineRule="auto"/>
              <w:rPr>
                <w:rFonts w:ascii="Calibri" w:hAnsi="Calibri" w:cs="Arial"/>
                <w:szCs w:val="22"/>
              </w:rPr>
            </w:pPr>
            <w:r>
              <w:rPr>
                <w:rFonts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充电时间</w:t>
            </w:r>
            <w:r>
              <w:rPr>
                <w:rFonts w:ascii="Calibri" w:hAnsi="Calibri" w:cs="Arial"/>
                <w:szCs w:val="22"/>
              </w:rPr>
              <w:t>:</w:t>
            </w:r>
          </w:p>
        </w:tc>
        <w:tc>
          <w:tcPr>
            <w:tcW w:w="4303" w:type="dxa"/>
          </w:tcPr>
          <w:p>
            <w:pPr>
              <w:spacing w:line="360" w:lineRule="auto"/>
              <w:rPr>
                <w:rFonts w:ascii="Calibri" w:hAnsi="Calibri" w:cs="Arial"/>
                <w:szCs w:val="22"/>
              </w:rPr>
            </w:pPr>
            <w:r>
              <w:rPr>
                <w:rFonts w:ascii="Calibri" w:hAnsi="Calibri" w:cs="Arial"/>
                <w:szCs w:val="22"/>
              </w:rPr>
              <w:t>8</w:t>
            </w:r>
            <w:r>
              <w:rPr>
                <w:rFonts w:hint="eastAsia" w:ascii="Calibri" w:hAnsi="Calibri" w:cs="Arial"/>
                <w:szCs w:val="22"/>
              </w:rPr>
              <w:t>小时回充至</w:t>
            </w:r>
            <w:r>
              <w:rPr>
                <w:rFonts w:ascii="Calibri" w:hAnsi="Calibri" w:cs="Arial"/>
                <w:szCs w:val="22"/>
              </w:rPr>
              <w:t>90%</w:t>
            </w:r>
            <w:r>
              <w:rPr>
                <w:rFonts w:hint="eastAsia" w:ascii="Calibri" w:hAnsi="Calibri" w:cs="Arial"/>
                <w:szCs w:val="22"/>
              </w:rPr>
              <w:t>满电位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15、</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电源效率</w:t>
            </w:r>
          </w:p>
        </w:tc>
        <w:tc>
          <w:tcPr>
            <w:tcW w:w="4303" w:type="dxa"/>
          </w:tcPr>
          <w:p>
            <w:pPr>
              <w:spacing w:line="360" w:lineRule="auto"/>
              <w:rPr>
                <w:rFonts w:ascii="Calibri" w:hAnsi="Calibri" w:cs="Arial"/>
                <w:szCs w:val="22"/>
              </w:rPr>
            </w:pPr>
            <w:r>
              <w:rPr>
                <w:rFonts w:hint="eastAsia" w:ascii="Calibri" w:hAnsi="Calibri" w:cs="Arial"/>
                <w:szCs w:val="22"/>
              </w:rPr>
              <w:t>≥96%（正常模式），≥999%（经济模式）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16、</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工作温度</w:t>
            </w:r>
          </w:p>
        </w:tc>
        <w:tc>
          <w:tcPr>
            <w:tcW w:w="4303" w:type="dxa"/>
          </w:tcPr>
          <w:p>
            <w:pPr>
              <w:spacing w:line="360" w:lineRule="auto"/>
              <w:rPr>
                <w:rFonts w:ascii="Calibri" w:hAnsi="Calibri" w:cs="Arial"/>
                <w:szCs w:val="22"/>
              </w:rPr>
            </w:pPr>
            <w:r>
              <w:rPr>
                <w:rFonts w:hint="eastAsia" w:ascii="Calibri" w:hAnsi="Calibri" w:cs="Arial"/>
                <w:szCs w:val="22"/>
              </w:rPr>
              <w:t>0-40度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17、</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工作湿度</w:t>
            </w:r>
          </w:p>
        </w:tc>
        <w:tc>
          <w:tcPr>
            <w:tcW w:w="4303" w:type="dxa"/>
          </w:tcPr>
          <w:p>
            <w:pPr>
              <w:spacing w:line="360" w:lineRule="auto"/>
              <w:rPr>
                <w:rFonts w:ascii="Calibri" w:hAnsi="Calibri" w:cs="Arial"/>
                <w:szCs w:val="22"/>
              </w:rPr>
            </w:pPr>
            <w:r>
              <w:rPr>
                <w:rFonts w:hint="eastAsia" w:ascii="Calibri" w:hAnsi="Calibri" w:cs="Arial"/>
                <w:szCs w:val="22"/>
              </w:rPr>
              <w:t>0-95%（不结露）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18、</w:t>
            </w:r>
          </w:p>
        </w:tc>
        <w:tc>
          <w:tcPr>
            <w:tcW w:w="1430" w:type="dxa"/>
          </w:tcPr>
          <w:p>
            <w:pPr>
              <w:spacing w:line="360" w:lineRule="auto"/>
              <w:rPr>
                <w:rFonts w:ascii="Calibri" w:hAnsi="Calibri" w:cs="Arial"/>
                <w:szCs w:val="22"/>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设计使用寿命长</w:t>
            </w:r>
          </w:p>
        </w:tc>
        <w:tc>
          <w:tcPr>
            <w:tcW w:w="4303" w:type="dxa"/>
          </w:tcPr>
          <w:p>
            <w:pPr>
              <w:spacing w:line="360" w:lineRule="auto"/>
              <w:rPr>
                <w:rFonts w:ascii="Calibri" w:hAnsi="Calibri" w:cs="Arial"/>
                <w:szCs w:val="22"/>
              </w:rPr>
            </w:pPr>
            <w:r>
              <w:rPr>
                <w:rFonts w:hint="eastAsia" w:ascii="Calibri" w:hAnsi="Calibri" w:cs="Arial"/>
                <w:szCs w:val="22"/>
              </w:rPr>
              <w:t>至少10年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19、</w:t>
            </w:r>
          </w:p>
        </w:tc>
        <w:tc>
          <w:tcPr>
            <w:tcW w:w="1430" w:type="dxa"/>
          </w:tcPr>
          <w:p>
            <w:pPr>
              <w:spacing w:line="360" w:lineRule="auto"/>
              <w:rPr>
                <w:rFonts w:ascii="宋体" w:hAnsi="宋体" w:cs="宋体"/>
                <w:bCs/>
                <w:szCs w:val="21"/>
              </w:rPr>
            </w:pPr>
            <w:r>
              <w:rPr>
                <w:rFonts w:hint="eastAsia" w:ascii="Calibri" w:hAnsi="Calibri" w:cs="Arial"/>
                <w:szCs w:val="22"/>
              </w:rPr>
              <w:t>#</w:t>
            </w:r>
          </w:p>
        </w:tc>
        <w:tc>
          <w:tcPr>
            <w:tcW w:w="2126" w:type="dxa"/>
          </w:tcPr>
          <w:p>
            <w:pPr>
              <w:spacing w:line="360" w:lineRule="auto"/>
              <w:rPr>
                <w:rFonts w:ascii="Calibri" w:hAnsi="Calibri" w:cs="Arial"/>
                <w:szCs w:val="22"/>
              </w:rPr>
            </w:pPr>
            <w:r>
              <w:rPr>
                <w:rFonts w:hint="eastAsia" w:ascii="Calibri" w:hAnsi="Calibri" w:cs="Arial"/>
                <w:szCs w:val="22"/>
              </w:rPr>
              <w:t>功能要求</w:t>
            </w:r>
          </w:p>
        </w:tc>
        <w:tc>
          <w:tcPr>
            <w:tcW w:w="4303" w:type="dxa"/>
          </w:tcPr>
          <w:p>
            <w:pPr>
              <w:widowControl/>
              <w:numPr>
                <w:ilvl w:val="0"/>
                <w:numId w:val="37"/>
              </w:numPr>
              <w:tabs>
                <w:tab w:val="left" w:pos="0"/>
                <w:tab w:val="clear" w:pos="357"/>
              </w:tabs>
              <w:adjustRightInd w:val="0"/>
              <w:snapToGrid w:val="0"/>
              <w:spacing w:line="360" w:lineRule="auto"/>
              <w:jc w:val="left"/>
              <w:rPr>
                <w:rFonts w:ascii="宋体" w:hAnsi="宋体"/>
                <w:color w:val="0D0D0D"/>
                <w:szCs w:val="21"/>
              </w:rPr>
            </w:pPr>
            <w:r>
              <w:rPr>
                <w:rFonts w:hint="eastAsia" w:ascii="宋体" w:hAnsi="宋体"/>
                <w:color w:val="0D0D0D"/>
                <w:szCs w:val="21"/>
              </w:rPr>
              <w:t>具备面板显示运行状况（尽可能是中文大屏幕显示）。</w:t>
            </w:r>
          </w:p>
          <w:p>
            <w:pPr>
              <w:widowControl/>
              <w:numPr>
                <w:ilvl w:val="0"/>
                <w:numId w:val="37"/>
              </w:numPr>
              <w:tabs>
                <w:tab w:val="left" w:pos="0"/>
                <w:tab w:val="clear" w:pos="357"/>
              </w:tabs>
              <w:adjustRightInd w:val="0"/>
              <w:snapToGrid w:val="0"/>
              <w:spacing w:line="360" w:lineRule="auto"/>
              <w:jc w:val="left"/>
              <w:rPr>
                <w:rFonts w:ascii="宋体" w:hAnsi="宋体"/>
                <w:color w:val="0D0D0D"/>
                <w:szCs w:val="21"/>
              </w:rPr>
            </w:pPr>
            <w:bookmarkStart w:id="49" w:name="_Toc243209167"/>
            <w:bookmarkStart w:id="50" w:name="_Toc242838597"/>
            <w:r>
              <w:rPr>
                <w:rFonts w:hint="eastAsia" w:ascii="宋体" w:hAnsi="宋体"/>
                <w:color w:val="0D0D0D"/>
                <w:szCs w:val="21"/>
              </w:rPr>
              <w:t>UPS在电池放电时，应可预测并显示电池的剩余放电时间</w:t>
            </w:r>
            <w:bookmarkEnd w:id="49"/>
            <w:bookmarkEnd w:id="50"/>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UPS输入输出均具有防雷功能，能抵抗6kV高压冲击，输出端有电路开关保护及限流功能。</w:t>
            </w:r>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具备完善的保护功能：输出短路保护、输出过载保护、过温度保护、电池电压低保护、输出过欠压保护、抗雷击浪涌能力。UPS发生故障时必须发出声光告警。</w:t>
            </w:r>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具有并联冗余扩容功能请详细说明，并机环流&lt;2%。</w:t>
            </w:r>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UPS必需采用双DSP芯片纯数字化控制，进行全自动操作。</w:t>
            </w:r>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安全操控设计，即使不按程序开机也不会造成UPS损坏；模块</w:t>
            </w:r>
            <w:r>
              <w:rPr>
                <w:rFonts w:ascii="宋体" w:hAnsi="宋体"/>
                <w:color w:val="0D0D0D"/>
                <w:szCs w:val="21"/>
              </w:rPr>
              <w:t>插拔</w:t>
            </w:r>
            <w:r>
              <w:rPr>
                <w:rFonts w:hint="eastAsia" w:ascii="宋体" w:hAnsi="宋体"/>
                <w:color w:val="0D0D0D"/>
                <w:szCs w:val="21"/>
              </w:rPr>
              <w:t>应</w:t>
            </w:r>
            <w:r>
              <w:rPr>
                <w:rFonts w:ascii="宋体" w:hAnsi="宋体"/>
                <w:color w:val="0D0D0D"/>
                <w:szCs w:val="21"/>
              </w:rPr>
              <w:t>有机械闭锁装置以防插错位置，还有电气联锁以防在其它电路板未装时系统误操作</w:t>
            </w:r>
            <w:r>
              <w:rPr>
                <w:rFonts w:hint="eastAsia" w:ascii="宋体" w:hAnsi="宋体"/>
                <w:color w:val="0D0D0D"/>
                <w:szCs w:val="21"/>
              </w:rPr>
              <w:t>。</w:t>
            </w:r>
          </w:p>
          <w:p>
            <w:pPr>
              <w:widowControl/>
              <w:numPr>
                <w:ilvl w:val="0"/>
                <w:numId w:val="37"/>
              </w:numPr>
              <w:adjustRightInd w:val="0"/>
              <w:snapToGrid w:val="0"/>
              <w:spacing w:line="360" w:lineRule="auto"/>
              <w:jc w:val="left"/>
              <w:rPr>
                <w:rFonts w:ascii="宋体" w:hAnsi="宋体"/>
                <w:color w:val="0D0D0D"/>
                <w:szCs w:val="21"/>
              </w:rPr>
            </w:pPr>
            <w:r>
              <w:rPr>
                <w:rFonts w:ascii="宋体" w:hAnsi="宋体"/>
                <w:color w:val="0D0D0D"/>
                <w:szCs w:val="21"/>
              </w:rPr>
              <w:t>UPS</w:t>
            </w:r>
            <w:r>
              <w:rPr>
                <w:rFonts w:hint="eastAsia" w:ascii="宋体" w:hAnsi="宋体"/>
                <w:color w:val="0D0D0D"/>
                <w:szCs w:val="21"/>
              </w:rPr>
              <w:t>模块必需具有故障隔离功能，单一模块故障时，系统能迅速自动隔离故障模块，避免故障蔓延，影响其余模块的工作。</w:t>
            </w:r>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UPS装置带30％以下负载运行时，应保证各项技术指标在要求范围内，整机效率应≥94%。</w:t>
            </w:r>
          </w:p>
          <w:p>
            <w:pPr>
              <w:widowControl/>
              <w:numPr>
                <w:ilvl w:val="0"/>
                <w:numId w:val="37"/>
              </w:numPr>
              <w:adjustRightInd w:val="0"/>
              <w:snapToGrid w:val="0"/>
              <w:spacing w:line="360" w:lineRule="auto"/>
              <w:jc w:val="left"/>
              <w:rPr>
                <w:rFonts w:ascii="宋体" w:hAnsi="宋体"/>
                <w:color w:val="0D0D0D"/>
                <w:szCs w:val="21"/>
              </w:rPr>
            </w:pPr>
            <w:r>
              <w:rPr>
                <w:rFonts w:ascii="宋体" w:hAnsi="宋体"/>
                <w:color w:val="0D0D0D"/>
                <w:szCs w:val="21"/>
              </w:rPr>
              <w:t>UPS装置有通风、冷却装置以保证元件正常工作于额定环境温度下，入气孔和排气孔有可膨胀的金属防护罩</w:t>
            </w:r>
            <w:r>
              <w:rPr>
                <w:rFonts w:hint="eastAsia" w:ascii="宋体" w:hAnsi="宋体"/>
                <w:color w:val="0D0D0D"/>
                <w:szCs w:val="21"/>
              </w:rPr>
              <w:t>；当通风装置故障时应能及时报警，</w:t>
            </w:r>
            <w:r>
              <w:rPr>
                <w:rFonts w:ascii="宋体" w:hAnsi="宋体"/>
                <w:color w:val="0D0D0D"/>
                <w:szCs w:val="21"/>
              </w:rPr>
              <w:t>并</w:t>
            </w:r>
            <w:r>
              <w:rPr>
                <w:rFonts w:hint="eastAsia" w:ascii="宋体" w:hAnsi="宋体"/>
                <w:color w:val="0D0D0D"/>
                <w:szCs w:val="21"/>
              </w:rPr>
              <w:t>能</w:t>
            </w:r>
            <w:r>
              <w:rPr>
                <w:rFonts w:ascii="宋体" w:hAnsi="宋体"/>
                <w:color w:val="0D0D0D"/>
                <w:szCs w:val="21"/>
              </w:rPr>
              <w:t>将电源由逆变器</w:t>
            </w:r>
            <w:r>
              <w:rPr>
                <w:rFonts w:hint="eastAsia" w:ascii="宋体" w:hAnsi="宋体"/>
                <w:color w:val="0D0D0D"/>
                <w:szCs w:val="21"/>
              </w:rPr>
              <w:t>自动</w:t>
            </w:r>
            <w:r>
              <w:rPr>
                <w:rFonts w:ascii="宋体" w:hAnsi="宋体"/>
                <w:color w:val="0D0D0D"/>
                <w:szCs w:val="21"/>
              </w:rPr>
              <w:t>切至旁路交流供电</w:t>
            </w:r>
            <w:r>
              <w:rPr>
                <w:rFonts w:hint="eastAsia" w:ascii="宋体" w:hAnsi="宋体"/>
                <w:color w:val="0D0D0D"/>
                <w:szCs w:val="21"/>
              </w:rPr>
              <w:t>；</w:t>
            </w:r>
          </w:p>
          <w:p>
            <w:pPr>
              <w:widowControl/>
              <w:numPr>
                <w:ilvl w:val="0"/>
                <w:numId w:val="37"/>
              </w:numPr>
              <w:adjustRightInd w:val="0"/>
              <w:snapToGrid w:val="0"/>
              <w:spacing w:line="360" w:lineRule="auto"/>
              <w:jc w:val="left"/>
              <w:rPr>
                <w:rFonts w:ascii="宋体" w:hAnsi="宋体"/>
                <w:color w:val="0D0D0D"/>
                <w:szCs w:val="21"/>
              </w:rPr>
            </w:pPr>
            <w:r>
              <w:rPr>
                <w:rFonts w:hint="eastAsia" w:ascii="宋体" w:hAnsi="宋体"/>
                <w:color w:val="0D0D0D"/>
                <w:szCs w:val="21"/>
              </w:rPr>
              <w:t>UPS通风装置必需具有多段式速度控制，可根据负载率及周边温度，自动调整风扇转速。</w:t>
            </w:r>
          </w:p>
          <w:p>
            <w:pPr>
              <w:widowControl/>
              <w:numPr>
                <w:ilvl w:val="0"/>
                <w:numId w:val="37"/>
              </w:numPr>
              <w:adjustRightInd w:val="0"/>
              <w:snapToGrid w:val="0"/>
              <w:spacing w:line="360" w:lineRule="auto"/>
              <w:jc w:val="left"/>
              <w:rPr>
                <w:rFonts w:ascii="宋体" w:hAnsi="宋体"/>
                <w:color w:val="0D0D0D"/>
                <w:szCs w:val="21"/>
              </w:rPr>
            </w:pPr>
            <w:bookmarkStart w:id="51" w:name="_Toc242838602"/>
            <w:bookmarkStart w:id="52" w:name="_Toc243209172"/>
            <w:r>
              <w:rPr>
                <w:rFonts w:hint="eastAsia" w:ascii="宋体" w:hAnsi="宋体"/>
                <w:color w:val="0D0D0D"/>
                <w:szCs w:val="21"/>
              </w:rPr>
              <w:t>UPS应标配紧急停机（EPO功能）</w:t>
            </w:r>
            <w:bookmarkEnd w:id="51"/>
            <w:bookmarkEnd w:id="52"/>
            <w:r>
              <w:rPr>
                <w:rFonts w:hint="eastAsia" w:ascii="宋体" w:hAnsi="宋体"/>
                <w:color w:val="0D0D0D"/>
                <w:szCs w:val="21"/>
              </w:rPr>
              <w:t>。</w:t>
            </w:r>
          </w:p>
          <w:p>
            <w:pPr>
              <w:widowControl/>
              <w:numPr>
                <w:ilvl w:val="0"/>
                <w:numId w:val="37"/>
              </w:numPr>
              <w:adjustRightInd w:val="0"/>
              <w:snapToGrid w:val="0"/>
              <w:spacing w:line="360" w:lineRule="auto"/>
              <w:jc w:val="left"/>
              <w:rPr>
                <w:rFonts w:ascii="宋体" w:hAnsi="宋体"/>
                <w:color w:val="0D0D0D"/>
                <w:szCs w:val="21"/>
              </w:rPr>
            </w:pPr>
            <w:bookmarkStart w:id="53" w:name="_Toc243209173"/>
            <w:bookmarkStart w:id="54" w:name="_Toc242838603"/>
            <w:r>
              <w:rPr>
                <w:rFonts w:hint="eastAsia" w:ascii="宋体" w:hAnsi="宋体"/>
                <w:color w:val="0D0D0D"/>
                <w:szCs w:val="21"/>
              </w:rPr>
              <w:t>UPS必需有详细故障信息记录</w:t>
            </w:r>
            <w:bookmarkEnd w:id="53"/>
            <w:bookmarkEnd w:id="54"/>
            <w:r>
              <w:rPr>
                <w:rFonts w:hint="eastAsia" w:ascii="宋体" w:hAnsi="宋体"/>
                <w:color w:val="0D0D0D"/>
                <w:szCs w:val="21"/>
              </w:rPr>
              <w:t>，可存储不少于500笔信息。</w:t>
            </w:r>
          </w:p>
          <w:p>
            <w:pPr>
              <w:widowControl/>
              <w:numPr>
                <w:ilvl w:val="0"/>
                <w:numId w:val="37"/>
              </w:numPr>
              <w:tabs>
                <w:tab w:val="left" w:pos="459"/>
              </w:tabs>
              <w:adjustRightInd w:val="0"/>
              <w:snapToGrid w:val="0"/>
              <w:spacing w:line="360" w:lineRule="auto"/>
              <w:jc w:val="left"/>
              <w:rPr>
                <w:rFonts w:ascii="宋体" w:hAnsi="宋体"/>
                <w:color w:val="0D0D0D"/>
                <w:szCs w:val="21"/>
              </w:rPr>
            </w:pPr>
            <w:r>
              <w:rPr>
                <w:rFonts w:hint="eastAsia" w:ascii="宋体" w:hAnsi="宋体"/>
                <w:color w:val="0D0D0D"/>
                <w:szCs w:val="21"/>
              </w:rPr>
              <w:t>具有远程在线自诊断，故障音响报警，远方监视控制功能，具备监控系统和信息网两路独立通讯（必须有物理隔离），实现网络监控和远方24小时声光故障报警监控功能，其中24小时声光故障报警的实现在报警终端需考虑RS485转换为RS232并经过光隔输入。</w:t>
            </w:r>
          </w:p>
          <w:p>
            <w:pPr>
              <w:widowControl/>
              <w:numPr>
                <w:ilvl w:val="0"/>
                <w:numId w:val="37"/>
              </w:numPr>
              <w:tabs>
                <w:tab w:val="left" w:pos="459"/>
              </w:tabs>
              <w:adjustRightInd w:val="0"/>
              <w:snapToGrid w:val="0"/>
              <w:spacing w:line="360" w:lineRule="auto"/>
              <w:jc w:val="left"/>
              <w:rPr>
                <w:rFonts w:ascii="宋体" w:hAnsi="宋体"/>
                <w:color w:val="0D0D0D"/>
                <w:szCs w:val="21"/>
              </w:rPr>
            </w:pPr>
            <w:r>
              <w:rPr>
                <w:rFonts w:hint="eastAsia" w:ascii="宋体" w:hAnsi="宋体"/>
                <w:color w:val="0D0D0D"/>
                <w:szCs w:val="21"/>
              </w:rPr>
              <w:t>电源管理软件可以在UNIX、WIN NT、WIN2000、</w:t>
            </w:r>
            <w:r>
              <w:rPr>
                <w:rFonts w:ascii="宋体" w:hAnsi="宋体"/>
                <w:color w:val="0D0D0D"/>
                <w:szCs w:val="21"/>
              </w:rPr>
              <w:t>Win7</w:t>
            </w:r>
            <w:r>
              <w:rPr>
                <w:rFonts w:hint="eastAsia" w:ascii="宋体" w:hAnsi="宋体"/>
                <w:color w:val="0D0D0D"/>
                <w:szCs w:val="21"/>
              </w:rPr>
              <w:t>等操作系统下运行，通过网络监视UPS系统的运行状况，并具备短信报警功能。</w:t>
            </w:r>
          </w:p>
          <w:p>
            <w:pPr>
              <w:widowControl/>
              <w:numPr>
                <w:ilvl w:val="0"/>
                <w:numId w:val="37"/>
              </w:numPr>
              <w:tabs>
                <w:tab w:val="left" w:pos="601"/>
              </w:tabs>
              <w:adjustRightInd w:val="0"/>
              <w:snapToGrid w:val="0"/>
              <w:spacing w:line="360" w:lineRule="auto"/>
              <w:jc w:val="left"/>
              <w:rPr>
                <w:rFonts w:ascii="宋体" w:hAnsi="宋体"/>
                <w:color w:val="0D0D0D"/>
                <w:szCs w:val="21"/>
              </w:rPr>
            </w:pPr>
            <w:r>
              <w:rPr>
                <w:rFonts w:hint="eastAsia" w:ascii="宋体" w:hAnsi="宋体"/>
                <w:color w:val="0D0D0D"/>
                <w:szCs w:val="21"/>
              </w:rPr>
              <w:t>具有和外部计算机联接的多种通信接口，并提供相关软件。</w:t>
            </w:r>
          </w:p>
          <w:p>
            <w:pPr>
              <w:widowControl/>
              <w:numPr>
                <w:ilvl w:val="0"/>
                <w:numId w:val="37"/>
              </w:numPr>
              <w:tabs>
                <w:tab w:val="left" w:pos="459"/>
              </w:tabs>
              <w:adjustRightInd w:val="0"/>
              <w:snapToGrid w:val="0"/>
              <w:spacing w:line="360" w:lineRule="auto"/>
              <w:jc w:val="left"/>
              <w:rPr>
                <w:rFonts w:ascii="宋体" w:hAnsi="宋体"/>
                <w:color w:val="0D0D0D"/>
                <w:szCs w:val="21"/>
              </w:rPr>
            </w:pPr>
            <w:r>
              <w:rPr>
                <w:rFonts w:hint="eastAsia" w:ascii="宋体" w:hAnsi="宋体"/>
                <w:color w:val="0D0D0D"/>
                <w:szCs w:val="21"/>
              </w:rPr>
              <w:t>具有智能电池检测和自动电池放电维护功能。</w:t>
            </w:r>
          </w:p>
          <w:p>
            <w:pPr>
              <w:widowControl/>
              <w:numPr>
                <w:ilvl w:val="0"/>
                <w:numId w:val="37"/>
              </w:numPr>
              <w:adjustRightInd w:val="0"/>
              <w:snapToGrid w:val="0"/>
              <w:spacing w:line="360" w:lineRule="auto"/>
              <w:jc w:val="left"/>
              <w:rPr>
                <w:rFonts w:eastAsia="楷体_GB2312"/>
                <w:color w:val="FF0000"/>
              </w:rPr>
            </w:pPr>
            <w:r>
              <w:rPr>
                <w:rFonts w:hint="eastAsia" w:ascii="宋体" w:hAnsi="宋体"/>
                <w:color w:val="0D0D0D"/>
                <w:szCs w:val="21"/>
              </w:rPr>
              <w:t>UPS电源系统具有干接点信号（并说明干接点形式）和智能通讯接口RS232，RS485，SNMP，并提供通讯规约，提供与通信接口配套使用的通信线缆和各种告警信号输出端子。当UPS发生各种故障、异常或所有工作电源消失时，UPS应能发出声光报警。投标人应详细说明UPS装置的报警内容，并积极协助监控系统制造商完成具体的通讯规约转换工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20、</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其他要求</w:t>
            </w:r>
          </w:p>
        </w:tc>
        <w:tc>
          <w:tcPr>
            <w:tcW w:w="4303" w:type="dxa"/>
          </w:tcPr>
          <w:p>
            <w:pPr>
              <w:widowControl/>
              <w:numPr>
                <w:ilvl w:val="0"/>
                <w:numId w:val="38"/>
              </w:numPr>
              <w:adjustRightInd w:val="0"/>
              <w:snapToGrid w:val="0"/>
              <w:spacing w:line="360" w:lineRule="auto"/>
              <w:jc w:val="left"/>
              <w:rPr>
                <w:rFonts w:ascii="宋体" w:hAnsi="宋体"/>
                <w:color w:val="0D0D0D"/>
                <w:szCs w:val="21"/>
              </w:rPr>
            </w:pPr>
            <w:r>
              <w:rPr>
                <w:rFonts w:hint="eastAsia" w:ascii="宋体" w:hAnsi="宋体"/>
                <w:color w:val="0D0D0D"/>
                <w:szCs w:val="21"/>
              </w:rPr>
              <w:t>效率</w:t>
            </w:r>
            <w:r>
              <w:rPr>
                <w:rFonts w:ascii="宋体" w:hAnsi="宋体"/>
                <w:color w:val="0D0D0D"/>
                <w:szCs w:val="21"/>
              </w:rPr>
              <w:t>: &gt;9</w:t>
            </w:r>
            <w:r>
              <w:rPr>
                <w:rFonts w:hint="eastAsia" w:ascii="宋体" w:hAnsi="宋体"/>
                <w:color w:val="0D0D0D"/>
                <w:szCs w:val="21"/>
                <w:lang w:eastAsia="zh-TW"/>
              </w:rPr>
              <w:t>4</w:t>
            </w:r>
            <w:r>
              <w:rPr>
                <w:rFonts w:ascii="宋体" w:hAnsi="宋体"/>
                <w:color w:val="0D0D0D"/>
                <w:szCs w:val="21"/>
              </w:rPr>
              <w:t>%</w:t>
            </w:r>
          </w:p>
          <w:p>
            <w:pPr>
              <w:widowControl/>
              <w:numPr>
                <w:ilvl w:val="0"/>
                <w:numId w:val="38"/>
              </w:numPr>
              <w:adjustRightInd w:val="0"/>
              <w:snapToGrid w:val="0"/>
              <w:spacing w:line="360" w:lineRule="auto"/>
              <w:jc w:val="left"/>
              <w:rPr>
                <w:rFonts w:ascii="宋体" w:hAnsi="宋体"/>
                <w:color w:val="0D0D0D"/>
                <w:szCs w:val="21"/>
              </w:rPr>
            </w:pPr>
            <w:r>
              <w:rPr>
                <w:rFonts w:hint="eastAsia" w:ascii="宋体" w:hAnsi="宋体"/>
                <w:color w:val="0D0D0D"/>
                <w:szCs w:val="21"/>
              </w:rPr>
              <w:t>噪声</w:t>
            </w:r>
            <w:r>
              <w:rPr>
                <w:rFonts w:ascii="宋体" w:hAnsi="宋体"/>
                <w:color w:val="0D0D0D"/>
                <w:szCs w:val="21"/>
              </w:rPr>
              <w:t>: &lt;65db</w:t>
            </w:r>
            <w:r>
              <w:rPr>
                <w:rFonts w:hint="eastAsia" w:ascii="宋体" w:hAnsi="宋体"/>
                <w:color w:val="0D0D0D"/>
                <w:szCs w:val="21"/>
              </w:rPr>
              <w:t>(在1米处)</w:t>
            </w:r>
          </w:p>
          <w:p>
            <w:pPr>
              <w:widowControl/>
              <w:numPr>
                <w:ilvl w:val="0"/>
                <w:numId w:val="38"/>
              </w:numPr>
              <w:adjustRightInd w:val="0"/>
              <w:snapToGrid w:val="0"/>
              <w:spacing w:line="360" w:lineRule="auto"/>
              <w:jc w:val="left"/>
              <w:rPr>
                <w:rFonts w:ascii="宋体" w:hAnsi="宋体"/>
                <w:color w:val="0D0D0D"/>
                <w:szCs w:val="21"/>
              </w:rPr>
            </w:pPr>
            <w:r>
              <w:rPr>
                <w:rFonts w:hint="eastAsia" w:ascii="宋体" w:hAnsi="宋体"/>
                <w:color w:val="0D0D0D"/>
                <w:szCs w:val="21"/>
              </w:rPr>
              <w:t>共模干扰抑制能力&gt;</w:t>
            </w:r>
            <w:r>
              <w:rPr>
                <w:rFonts w:ascii="宋体" w:hAnsi="宋体"/>
                <w:color w:val="0D0D0D"/>
                <w:szCs w:val="21"/>
              </w:rPr>
              <w:t xml:space="preserve">60dB, </w:t>
            </w:r>
            <w:r>
              <w:rPr>
                <w:rFonts w:hint="eastAsia" w:ascii="宋体" w:hAnsi="宋体"/>
                <w:color w:val="0D0D0D"/>
                <w:szCs w:val="21"/>
              </w:rPr>
              <w:t>串模干扰抑制能力&gt;80dB</w:t>
            </w:r>
          </w:p>
          <w:p>
            <w:pPr>
              <w:widowControl/>
              <w:numPr>
                <w:ilvl w:val="0"/>
                <w:numId w:val="38"/>
              </w:numPr>
              <w:adjustRightInd w:val="0"/>
              <w:snapToGrid w:val="0"/>
              <w:spacing w:line="360" w:lineRule="auto"/>
              <w:jc w:val="left"/>
              <w:rPr>
                <w:rFonts w:ascii="宋体" w:hAnsi="宋体"/>
                <w:color w:val="0D0D0D"/>
                <w:szCs w:val="21"/>
              </w:rPr>
            </w:pPr>
            <w:r>
              <w:rPr>
                <w:rFonts w:hint="eastAsia" w:ascii="宋体" w:hAnsi="宋体"/>
                <w:color w:val="0D0D0D"/>
                <w:szCs w:val="21"/>
              </w:rPr>
              <w:t>平均无故障时间MTBF</w:t>
            </w:r>
            <w:r>
              <w:rPr>
                <w:rFonts w:ascii="宋体" w:hAnsi="宋体"/>
                <w:color w:val="0D0D0D"/>
                <w:szCs w:val="21"/>
              </w:rPr>
              <w:t>:</w:t>
            </w:r>
            <w:r>
              <w:rPr>
                <w:rFonts w:hint="eastAsia" w:ascii="宋体" w:hAnsi="宋体"/>
                <w:color w:val="0D0D0D"/>
                <w:szCs w:val="21"/>
              </w:rPr>
              <w:t xml:space="preserve"> 不少于20万小时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21、</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延时要求</w:t>
            </w:r>
          </w:p>
        </w:tc>
        <w:tc>
          <w:tcPr>
            <w:tcW w:w="4303" w:type="dxa"/>
          </w:tcPr>
          <w:p>
            <w:pPr>
              <w:widowControl/>
              <w:snapToGrid w:val="0"/>
              <w:spacing w:line="360" w:lineRule="auto"/>
              <w:rPr>
                <w:rFonts w:ascii="宋体" w:hAnsi="宋体"/>
                <w:szCs w:val="21"/>
              </w:rPr>
            </w:pPr>
            <w:r>
              <w:rPr>
                <w:rFonts w:hint="eastAsia" w:ascii="宋体" w:hAnsi="宋体"/>
                <w:szCs w:val="21"/>
              </w:rPr>
              <w:t>负载率超过80%，延时大于2小时</w:t>
            </w:r>
          </w:p>
          <w:p>
            <w:pPr>
              <w:widowControl/>
              <w:snapToGrid w:val="0"/>
              <w:spacing w:line="360" w:lineRule="auto"/>
              <w:rPr>
                <w:rFonts w:ascii="宋体" w:hAnsi="宋体"/>
                <w:szCs w:val="21"/>
              </w:rPr>
            </w:pPr>
            <w:r>
              <w:rPr>
                <w:rFonts w:ascii="宋体" w:hAnsi="宋体"/>
                <w:szCs w:val="21"/>
              </w:rPr>
              <w:t>负载率低于</w:t>
            </w:r>
            <w:r>
              <w:rPr>
                <w:rFonts w:hint="eastAsia" w:ascii="宋体" w:hAnsi="宋体"/>
                <w:szCs w:val="21"/>
              </w:rPr>
              <w:t>30%，延时大于6小时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22、</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电池组要求</w:t>
            </w:r>
          </w:p>
        </w:tc>
        <w:tc>
          <w:tcPr>
            <w:tcW w:w="4303" w:type="dxa"/>
          </w:tcPr>
          <w:p>
            <w:pPr>
              <w:widowControl/>
              <w:snapToGrid w:val="0"/>
              <w:spacing w:line="360" w:lineRule="auto"/>
              <w:rPr>
                <w:rFonts w:ascii="宋体" w:hAnsi="宋体"/>
                <w:szCs w:val="21"/>
              </w:rPr>
            </w:pPr>
            <w:r>
              <w:rPr>
                <w:rFonts w:hint="eastAsia" w:ascii="宋体" w:hAnsi="宋体"/>
                <w:szCs w:val="21"/>
              </w:rPr>
              <w:t>1）型式：模块化长延时电池系统</w:t>
            </w:r>
          </w:p>
          <w:p>
            <w:pPr>
              <w:widowControl/>
              <w:snapToGrid w:val="0"/>
              <w:spacing w:line="360" w:lineRule="auto"/>
              <w:rPr>
                <w:rFonts w:ascii="宋体" w:hAnsi="宋体"/>
                <w:szCs w:val="21"/>
              </w:rPr>
            </w:pPr>
            <w:r>
              <w:rPr>
                <w:rFonts w:hint="eastAsia" w:ascii="宋体" w:hAnsi="宋体"/>
                <w:szCs w:val="21"/>
              </w:rPr>
              <w:t>2）外观： 钢架支撑的模块化箱体设计，可任意组合摆放叠加</w:t>
            </w:r>
          </w:p>
          <w:p>
            <w:pPr>
              <w:widowControl/>
              <w:snapToGrid w:val="0"/>
              <w:spacing w:line="360" w:lineRule="auto"/>
              <w:rPr>
                <w:rFonts w:ascii="宋体" w:hAnsi="宋体"/>
                <w:szCs w:val="21"/>
              </w:rPr>
            </w:pPr>
            <w:r>
              <w:rPr>
                <w:rFonts w:hint="eastAsia" w:ascii="宋体" w:hAnsi="宋体"/>
                <w:szCs w:val="21"/>
              </w:rPr>
              <w:t>3）电池组容量：≥96000WH，满足40KVA后备2小时</w:t>
            </w:r>
          </w:p>
          <w:p>
            <w:pPr>
              <w:widowControl/>
              <w:snapToGrid w:val="0"/>
              <w:spacing w:line="360" w:lineRule="auto"/>
              <w:rPr>
                <w:rFonts w:ascii="宋体" w:hAnsi="宋体"/>
                <w:szCs w:val="21"/>
              </w:rPr>
            </w:pPr>
            <w:r>
              <w:rPr>
                <w:rFonts w:hint="eastAsia" w:ascii="宋体" w:hAnsi="宋体"/>
                <w:szCs w:val="21"/>
              </w:rPr>
              <w:t>4）单体蓄电池：高可靠工业级蓄电池，10HR标准，使用寿命应不低于10年，ABS外壳，体积小，重量轻，能量密度高，输出功率大</w:t>
            </w:r>
          </w:p>
          <w:p>
            <w:pPr>
              <w:widowControl/>
              <w:snapToGrid w:val="0"/>
              <w:spacing w:line="360" w:lineRule="auto"/>
              <w:rPr>
                <w:rFonts w:ascii="宋体" w:hAnsi="宋体"/>
                <w:szCs w:val="21"/>
              </w:rPr>
            </w:pPr>
            <w:r>
              <w:rPr>
                <w:rFonts w:hint="eastAsia" w:ascii="宋体" w:hAnsi="宋体"/>
                <w:szCs w:val="21"/>
              </w:rPr>
              <w:t>单体蓄电池额定电压：12V</w:t>
            </w:r>
          </w:p>
          <w:p>
            <w:pPr>
              <w:widowControl/>
              <w:snapToGrid w:val="0"/>
              <w:spacing w:line="360" w:lineRule="auto"/>
              <w:rPr>
                <w:rFonts w:ascii="宋体" w:hAnsi="宋体"/>
                <w:szCs w:val="21"/>
              </w:rPr>
            </w:pPr>
            <w:r>
              <w:rPr>
                <w:rFonts w:hint="eastAsia" w:ascii="宋体" w:hAnsi="宋体"/>
                <w:szCs w:val="21"/>
              </w:rPr>
              <w:t>单体蓄电池浮充电电压：13.5±0.12V</w:t>
            </w:r>
          </w:p>
          <w:p>
            <w:pPr>
              <w:widowControl/>
              <w:snapToGrid w:val="0"/>
              <w:spacing w:line="360" w:lineRule="auto"/>
              <w:rPr>
                <w:rFonts w:ascii="宋体" w:hAnsi="宋体"/>
                <w:szCs w:val="21"/>
              </w:rPr>
            </w:pPr>
            <w:r>
              <w:rPr>
                <w:rFonts w:hint="eastAsia" w:ascii="宋体" w:hAnsi="宋体"/>
                <w:szCs w:val="21"/>
              </w:rPr>
              <w:t>单体蓄电池均衡充电电压：13.8V～14.1V</w:t>
            </w:r>
          </w:p>
          <w:p>
            <w:pPr>
              <w:widowControl/>
              <w:snapToGrid w:val="0"/>
              <w:spacing w:line="360" w:lineRule="auto"/>
              <w:rPr>
                <w:rFonts w:ascii="宋体" w:hAnsi="宋体"/>
                <w:szCs w:val="21"/>
              </w:rPr>
            </w:pPr>
            <w:r>
              <w:rPr>
                <w:rFonts w:hint="eastAsia" w:ascii="宋体" w:hAnsi="宋体"/>
                <w:szCs w:val="21"/>
              </w:rPr>
              <w:t>5)电池系统电压: ±240V</w:t>
            </w:r>
          </w:p>
          <w:p>
            <w:pPr>
              <w:widowControl/>
              <w:snapToGrid w:val="0"/>
              <w:spacing w:line="360" w:lineRule="auto"/>
              <w:rPr>
                <w:rFonts w:ascii="宋体" w:hAnsi="宋体"/>
                <w:szCs w:val="21"/>
              </w:rPr>
            </w:pPr>
            <w:r>
              <w:rPr>
                <w:rFonts w:hint="eastAsia" w:ascii="宋体" w:hAnsi="宋体"/>
                <w:szCs w:val="21"/>
              </w:rPr>
              <w:t>6) 组合方式：2组冗余，每组容量48000VAH，具备抗震性</w:t>
            </w:r>
          </w:p>
          <w:p>
            <w:pPr>
              <w:widowControl/>
              <w:snapToGrid w:val="0"/>
              <w:spacing w:line="360" w:lineRule="auto"/>
              <w:rPr>
                <w:rFonts w:ascii="宋体" w:hAnsi="宋体"/>
                <w:szCs w:val="21"/>
              </w:rPr>
            </w:pPr>
            <w:r>
              <w:rPr>
                <w:rFonts w:hint="eastAsia" w:ascii="宋体" w:hAnsi="宋体"/>
                <w:szCs w:val="21"/>
              </w:rPr>
              <w:t>7）单体电池之间的连接采用高标准国标阻燃软线缆，线缆两端端子液压紧固连接，并具有防短路端子保护套，连接后端子不外露。</w:t>
            </w:r>
          </w:p>
          <w:p>
            <w:pPr>
              <w:widowControl/>
              <w:snapToGrid w:val="0"/>
              <w:spacing w:line="360" w:lineRule="auto"/>
              <w:rPr>
                <w:rFonts w:ascii="宋体" w:hAnsi="宋体"/>
                <w:szCs w:val="21"/>
              </w:rPr>
            </w:pPr>
            <w:r>
              <w:rPr>
                <w:rFonts w:hint="eastAsia" w:ascii="宋体" w:hAnsi="宋体"/>
                <w:szCs w:val="21"/>
              </w:rPr>
              <w:t>8） 系统内置电池组直流保护套件。</w:t>
            </w:r>
          </w:p>
          <w:p>
            <w:pPr>
              <w:widowControl/>
              <w:snapToGrid w:val="0"/>
              <w:spacing w:line="360" w:lineRule="auto"/>
              <w:rPr>
                <w:rFonts w:ascii="宋体" w:hAnsi="宋体"/>
                <w:szCs w:val="21"/>
              </w:rPr>
            </w:pPr>
            <w:r>
              <w:rPr>
                <w:rFonts w:hint="eastAsia" w:ascii="宋体" w:hAnsi="宋体"/>
                <w:szCs w:val="21"/>
              </w:rPr>
              <w:t>9） 可扩展电池组在线巡检模块，通过触摸屏实时在线监测每只电池电压、内阻等数据，不需放电即可准确测量内阻和估算容量，提前发现落后电池，确保电池组供电系统安全运行。</w:t>
            </w:r>
          </w:p>
          <w:p>
            <w:pPr>
              <w:widowControl/>
              <w:snapToGrid w:val="0"/>
              <w:spacing w:line="360" w:lineRule="auto"/>
              <w:rPr>
                <w:rFonts w:ascii="宋体" w:hAnsi="宋体"/>
                <w:szCs w:val="21"/>
              </w:rPr>
            </w:pPr>
            <w:r>
              <w:rPr>
                <w:rFonts w:hint="eastAsia" w:ascii="宋体" w:hAnsi="宋体"/>
                <w:szCs w:val="21"/>
              </w:rPr>
              <w:t>10）系统提供原厂专业级安装调试服务。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23</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政策性要求</w:t>
            </w:r>
          </w:p>
        </w:tc>
        <w:tc>
          <w:tcPr>
            <w:tcW w:w="4303" w:type="dxa"/>
          </w:tcPr>
          <w:p>
            <w:pPr>
              <w:widowControl/>
              <w:snapToGrid w:val="0"/>
              <w:spacing w:line="360" w:lineRule="auto"/>
              <w:rPr>
                <w:rFonts w:ascii="宋体" w:hAnsi="宋体"/>
                <w:szCs w:val="21"/>
              </w:rPr>
            </w:pPr>
            <w:r>
              <w:rPr>
                <w:rFonts w:hint="eastAsia" w:ascii="宋体" w:hAnsi="宋体"/>
                <w:szCs w:val="21"/>
                <w:highlight w:val="none"/>
              </w:rPr>
              <w:t>UPS产品为节能产品，提供中国节能产品认证证书，并附第三方</w:t>
            </w:r>
            <w:r>
              <w:rPr>
                <w:rFonts w:ascii="宋体" w:hAnsi="宋体"/>
                <w:szCs w:val="21"/>
                <w:highlight w:val="none"/>
              </w:rPr>
              <w:t>检测机构的</w:t>
            </w:r>
            <w:r>
              <w:rPr>
                <w:rFonts w:hint="eastAsia" w:ascii="宋体" w:hAnsi="宋体"/>
                <w:szCs w:val="21"/>
                <w:highlight w:val="none"/>
              </w:rPr>
              <w:t>测试报告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24</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线路输出</w:t>
            </w:r>
          </w:p>
        </w:tc>
        <w:tc>
          <w:tcPr>
            <w:tcW w:w="4303" w:type="dxa"/>
          </w:tcPr>
          <w:p>
            <w:pPr>
              <w:widowControl/>
              <w:snapToGrid w:val="0"/>
              <w:spacing w:line="360" w:lineRule="auto"/>
              <w:rPr>
                <w:rFonts w:ascii="宋体" w:hAnsi="宋体"/>
                <w:szCs w:val="21"/>
              </w:rPr>
            </w:pPr>
            <w:r>
              <w:rPr>
                <w:rFonts w:hint="eastAsia" w:ascii="宋体" w:hAnsi="宋体"/>
                <w:szCs w:val="21"/>
              </w:rPr>
              <w:t>经UPS配电系统后电路分出8路32A 电路。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663" w:type="dxa"/>
          </w:tcPr>
          <w:p>
            <w:pPr>
              <w:spacing w:line="360" w:lineRule="auto"/>
              <w:rPr>
                <w:rFonts w:ascii="Calibri" w:hAnsi="Calibri" w:cs="Arial"/>
                <w:szCs w:val="22"/>
              </w:rPr>
            </w:pPr>
            <w:r>
              <w:rPr>
                <w:rFonts w:hint="eastAsia" w:ascii="Calibri" w:hAnsi="Calibri" w:cs="Arial"/>
                <w:szCs w:val="22"/>
              </w:rPr>
              <w:t>25</w:t>
            </w:r>
          </w:p>
        </w:tc>
        <w:tc>
          <w:tcPr>
            <w:tcW w:w="1430" w:type="dxa"/>
          </w:tcPr>
          <w:p>
            <w:pPr>
              <w:spacing w:line="360" w:lineRule="auto"/>
              <w:rPr>
                <w:rFonts w:ascii="宋体" w:hAnsi="宋体" w:cs="宋体"/>
                <w:bCs/>
                <w:szCs w:val="21"/>
              </w:rPr>
            </w:pPr>
            <w:r>
              <w:rPr>
                <w:rFonts w:hint="eastAsia" w:ascii="宋体" w:hAnsi="宋体" w:cs="宋体"/>
                <w:bCs/>
                <w:szCs w:val="21"/>
              </w:rPr>
              <w:t>★</w:t>
            </w:r>
          </w:p>
        </w:tc>
        <w:tc>
          <w:tcPr>
            <w:tcW w:w="2126" w:type="dxa"/>
          </w:tcPr>
          <w:p>
            <w:pPr>
              <w:spacing w:line="360" w:lineRule="auto"/>
              <w:rPr>
                <w:rFonts w:ascii="宋体" w:hAnsi="宋体" w:cs="宋体"/>
                <w:bCs/>
                <w:szCs w:val="21"/>
              </w:rPr>
            </w:pPr>
            <w:r>
              <w:rPr>
                <w:rFonts w:hint="eastAsia" w:ascii="宋体" w:hAnsi="宋体" w:cs="宋体"/>
                <w:bCs/>
                <w:szCs w:val="21"/>
              </w:rPr>
              <w:t>授权</w:t>
            </w:r>
          </w:p>
        </w:tc>
        <w:tc>
          <w:tcPr>
            <w:tcW w:w="4303" w:type="dxa"/>
          </w:tcPr>
          <w:p>
            <w:pPr>
              <w:widowControl/>
              <w:snapToGrid w:val="0"/>
              <w:spacing w:line="360" w:lineRule="auto"/>
              <w:rPr>
                <w:rFonts w:ascii="宋体" w:hAnsi="宋体"/>
                <w:szCs w:val="21"/>
              </w:rPr>
            </w:pPr>
            <w:r>
              <w:rPr>
                <w:rFonts w:hint="eastAsia" w:ascii="宋体" w:hAnsi="宋体"/>
                <w:szCs w:val="21"/>
              </w:rPr>
              <w:t>UPS电池要求厂家唯一授权，其他产品不要求唯一授权。</w:t>
            </w:r>
          </w:p>
        </w:tc>
      </w:tr>
    </w:tbl>
    <w:p>
      <w:pPr>
        <w:ind w:firstLine="420" w:firstLineChars="200"/>
        <w:rPr>
          <w:rFonts w:ascii="宋体" w:hAnsi="宋体" w:cs="宋体"/>
          <w:szCs w:val="21"/>
        </w:rPr>
      </w:pPr>
    </w:p>
    <w:p>
      <w:pPr>
        <w:ind w:firstLine="420" w:firstLineChars="200"/>
        <w:rPr>
          <w:rFonts w:ascii="宋体" w:hAnsi="宋体" w:cs="宋体"/>
          <w:szCs w:val="21"/>
        </w:rPr>
      </w:pPr>
    </w:p>
    <w:p>
      <w:pPr>
        <w:rPr>
          <w:rFonts w:ascii="宋体" w:hAnsi="宋体" w:cs="Arial"/>
          <w:b/>
          <w:bCs/>
          <w:sz w:val="24"/>
        </w:rPr>
      </w:pPr>
    </w:p>
    <w:tbl>
      <w:tblPr>
        <w:tblStyle w:val="17"/>
        <w:tblW w:w="89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80"/>
        <w:gridCol w:w="1021"/>
        <w:gridCol w:w="1021"/>
        <w:gridCol w:w="59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8930" w:type="dxa"/>
            <w:gridSpan w:val="4"/>
            <w:tcBorders>
              <w:top w:val="single" w:color="auto" w:sz="4" w:space="0"/>
              <w:left w:val="single" w:color="auto" w:sz="4" w:space="0"/>
              <w:bottom w:val="single" w:color="auto" w:sz="4" w:space="0"/>
              <w:right w:val="single" w:color="auto" w:sz="4" w:space="0"/>
            </w:tcBorders>
          </w:tcPr>
          <w:p>
            <w:pPr>
              <w:spacing w:line="360" w:lineRule="auto"/>
              <w:rPr>
                <w:rFonts w:ascii="宋体" w:hAnsi="宋体"/>
                <w:b/>
                <w:szCs w:val="21"/>
              </w:rPr>
            </w:pPr>
            <w:r>
              <w:rPr>
                <w:rFonts w:hint="eastAsia" w:ascii="宋体" w:hAnsi="宋体"/>
                <w:b/>
                <w:szCs w:val="21"/>
              </w:rPr>
              <w:t>机房环境监控系统及防静电地板</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b/>
                <w:szCs w:val="21"/>
              </w:rPr>
            </w:pPr>
            <w:r>
              <w:rPr>
                <w:rFonts w:hint="eastAsia" w:ascii="宋体" w:hAnsi="宋体"/>
                <w:b/>
                <w:szCs w:val="21"/>
              </w:rPr>
              <w:t>序号</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b/>
                <w:szCs w:val="21"/>
              </w:rPr>
            </w:pPr>
            <w:r>
              <w:rPr>
                <w:rFonts w:hint="eastAsia" w:ascii="宋体" w:hAnsi="宋体"/>
                <w:b/>
                <w:szCs w:val="21"/>
              </w:rPr>
              <w:t>重要性</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名称</w:t>
            </w:r>
          </w:p>
        </w:tc>
        <w:tc>
          <w:tcPr>
            <w:tcW w:w="5908"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b/>
                <w:szCs w:val="21"/>
              </w:rPr>
            </w:pPr>
            <w:r>
              <w:rPr>
                <w:rFonts w:hint="eastAsia" w:ascii="宋体" w:hAnsi="宋体"/>
                <w:b/>
                <w:szCs w:val="21"/>
              </w:rPr>
              <w:t>技术参数及要求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highlight w:val="yellow"/>
              </w:rPr>
            </w:pPr>
            <w:r>
              <w:rPr>
                <w:rFonts w:hint="eastAsia" w:ascii="宋体" w:hAnsi="宋体"/>
                <w:szCs w:val="21"/>
              </w:rPr>
              <w:t>配电监控模块</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监测机房供电参数及18路开关状态；</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监测三相电压、电流、有功、无功、视在功率、频率、功率因素等电量参数；</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具有RS485接口；</w:t>
            </w:r>
          </w:p>
          <w:p>
            <w:pPr>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支持MODBUS通信协议；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2</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00" w:lineRule="auto"/>
              <w:rPr>
                <w:rFonts w:ascii="宋体" w:hAnsi="宋体" w:cs="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cs="宋体"/>
                <w:szCs w:val="21"/>
              </w:rPr>
            </w:pPr>
            <w:r>
              <w:rPr>
                <w:rFonts w:hint="eastAsia" w:ascii="宋体" w:hAnsi="宋体" w:cs="宋体"/>
                <w:szCs w:val="21"/>
              </w:rPr>
              <w:t>UPS监控</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tabs>
                <w:tab w:val="left" w:pos="175"/>
              </w:tabs>
              <w:spacing w:line="460" w:lineRule="exact"/>
              <w:ind w:firstLine="34"/>
              <w:rPr>
                <w:rFonts w:ascii="宋体" w:hAnsi="宋体" w:cs="宋体"/>
                <w:szCs w:val="21"/>
              </w:rPr>
            </w:pPr>
            <w:r>
              <w:rPr>
                <w:rFonts w:hint="eastAsia" w:ascii="宋体" w:hAnsi="宋体" w:cs="宋体"/>
                <w:szCs w:val="21"/>
              </w:rPr>
              <w:t>监测UPS整流器、逆变器、充电器、电池、旁路、负载等部件的运行状态和参数，包括输入/输出电压、输入/输出电流、频率、功率、负载率、电池电压、电池温度、电池后备时间等参数。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3</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cs="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szCs w:val="21"/>
              </w:rPr>
            </w:pPr>
            <w:r>
              <w:rPr>
                <w:rFonts w:hint="eastAsia" w:ascii="宋体" w:hAnsi="宋体" w:cs="宋体"/>
                <w:szCs w:val="21"/>
              </w:rPr>
              <w:t>精密空调监控</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cs="宋体"/>
                <w:szCs w:val="21"/>
              </w:rPr>
            </w:pPr>
            <w:r>
              <w:rPr>
                <w:rFonts w:hint="eastAsia" w:ascii="宋体" w:hAnsi="宋体" w:cs="宋体"/>
                <w:szCs w:val="21"/>
              </w:rPr>
              <w:t>监测空调压缩机、风机、加热器、加湿器、除湿器等部件的状态；监测回风温度、回风湿度、送风温度、送风湿度等工作参数；远程设定空调运行参数，控制空调启停。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4</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cs="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cs="宋体"/>
                <w:szCs w:val="21"/>
              </w:rPr>
            </w:pPr>
            <w:r>
              <w:rPr>
                <w:rFonts w:hint="eastAsia" w:ascii="宋体" w:hAnsi="宋体" w:cs="宋体"/>
                <w:szCs w:val="21"/>
              </w:rPr>
              <w:t>漏水检测</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00" w:lineRule="auto"/>
              <w:rPr>
                <w:rFonts w:ascii="宋体" w:hAnsi="宋体"/>
                <w:szCs w:val="21"/>
              </w:rPr>
            </w:pPr>
            <w:r>
              <w:rPr>
                <w:rFonts w:hint="eastAsia" w:ascii="宋体" w:hAnsi="宋体"/>
                <w:szCs w:val="21"/>
              </w:rPr>
              <w:t>监测机房空调、水管、窗户等水源泄漏情况，可以定位监测到感应线上任何点位的泄露情况，精确显示泄漏位置和距离。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5</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机房温湿度传感器</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温度湿度一体化监测，液晶显示、RS485通讯接口、MODBUS通讯协议,12VDC供电 。测量范围：温度：-20℃~+70℃；湿度：0~100%RH。准确度： 温度：±0.5℃；湿度：±3%RH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6</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烟雾传感器</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光电烟雾探测，继电器常开/常闭报警输出，吸顶安装、监测面积20平方米，探测灵敏度Ⅱ、Ⅲ级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hint="eastAsia" w:ascii="宋体" w:hAnsi="宋体" w:cs="宋体"/>
                <w:szCs w:val="21"/>
              </w:rPr>
              <w:t>7</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机房环境监控采集主机</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1.</w:t>
            </w:r>
            <w:r>
              <w:rPr>
                <w:rFonts w:hint="eastAsia" w:ascii="宋体" w:hAnsi="宋体"/>
                <w:szCs w:val="21"/>
              </w:rPr>
              <w:tab/>
            </w:r>
            <w:r>
              <w:rPr>
                <w:rFonts w:hint="eastAsia" w:ascii="宋体" w:hAnsi="宋体"/>
                <w:szCs w:val="21"/>
              </w:rPr>
              <w:t>2U机架式嵌入式主机；</w:t>
            </w:r>
          </w:p>
          <w:p>
            <w:pPr>
              <w:rPr>
                <w:rFonts w:ascii="宋体" w:hAnsi="宋体"/>
                <w:szCs w:val="21"/>
              </w:rPr>
            </w:pPr>
            <w:r>
              <w:rPr>
                <w:rFonts w:hint="eastAsia" w:ascii="宋体" w:hAnsi="宋体"/>
                <w:szCs w:val="21"/>
              </w:rPr>
              <w:t>2.</w:t>
            </w:r>
            <w:r>
              <w:rPr>
                <w:rFonts w:hint="eastAsia" w:ascii="宋体" w:hAnsi="宋体"/>
                <w:szCs w:val="21"/>
              </w:rPr>
              <w:tab/>
            </w:r>
            <w:r>
              <w:rPr>
                <w:rFonts w:hint="eastAsia" w:ascii="宋体" w:hAnsi="宋体"/>
                <w:szCs w:val="21"/>
              </w:rPr>
              <w:t>不少于10路RS232/RS422/RS485自适应串口；</w:t>
            </w:r>
          </w:p>
          <w:p>
            <w:pPr>
              <w:rPr>
                <w:rFonts w:ascii="宋体" w:hAnsi="宋体"/>
                <w:szCs w:val="21"/>
              </w:rPr>
            </w:pPr>
            <w:r>
              <w:rPr>
                <w:rFonts w:hint="eastAsia" w:ascii="宋体" w:hAnsi="宋体"/>
                <w:szCs w:val="21"/>
              </w:rPr>
              <w:t>3.</w:t>
            </w:r>
            <w:r>
              <w:rPr>
                <w:rFonts w:hint="eastAsia" w:ascii="宋体" w:hAnsi="宋体"/>
                <w:szCs w:val="21"/>
              </w:rPr>
              <w:tab/>
            </w:r>
            <w:r>
              <w:rPr>
                <w:rFonts w:hint="eastAsia" w:ascii="宋体" w:hAnsi="宋体"/>
                <w:szCs w:val="21"/>
              </w:rPr>
              <w:t>串口通信状态LED显示，双网口，双电源，无风扇设计，带VGA/USB/键盘/鼠标接口，自带看门狗功能，可配置电话、短信、声光、电子邮件报警功能。</w:t>
            </w:r>
          </w:p>
          <w:p>
            <w:pPr>
              <w:rPr>
                <w:rFonts w:ascii="宋体" w:hAnsi="宋体"/>
                <w:szCs w:val="21"/>
              </w:rPr>
            </w:pPr>
            <w:r>
              <w:rPr>
                <w:rFonts w:hint="eastAsia" w:ascii="宋体" w:hAnsi="宋体"/>
                <w:szCs w:val="21"/>
              </w:rPr>
              <w:t>4.</w:t>
            </w:r>
            <w:r>
              <w:rPr>
                <w:rFonts w:hint="eastAsia" w:ascii="宋体" w:hAnsi="宋体"/>
                <w:szCs w:val="21"/>
              </w:rPr>
              <w:tab/>
            </w:r>
            <w:r>
              <w:rPr>
                <w:rFonts w:hint="eastAsia" w:ascii="宋体" w:hAnsi="宋体"/>
                <w:szCs w:val="21"/>
              </w:rPr>
              <w:t>基于XPE/WIN7E/Linux等嵌入式操作系统，集信号采集、分析、报警、控制、传输于一体，通过TCP/IP网络将数据上传至监控管理主机。</w:t>
            </w:r>
          </w:p>
          <w:p>
            <w:pPr>
              <w:spacing w:line="360" w:lineRule="auto"/>
              <w:rPr>
                <w:rFonts w:ascii="宋体" w:hAnsi="宋体"/>
                <w:szCs w:val="21"/>
              </w:rPr>
            </w:pPr>
            <w:r>
              <w:rPr>
                <w:rFonts w:hint="eastAsia" w:ascii="宋体" w:hAnsi="宋体"/>
                <w:szCs w:val="21"/>
              </w:rPr>
              <w:t>5.</w:t>
            </w:r>
            <w:r>
              <w:rPr>
                <w:rFonts w:hint="eastAsia" w:ascii="宋体" w:hAnsi="宋体"/>
                <w:szCs w:val="21"/>
              </w:rPr>
              <w:tab/>
            </w:r>
            <w:r>
              <w:rPr>
                <w:rFonts w:hint="eastAsia" w:ascii="宋体" w:hAnsi="宋体"/>
                <w:szCs w:val="21"/>
              </w:rPr>
              <w:t>提供相关检测报告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cs="宋体"/>
                <w:szCs w:val="21"/>
              </w:rPr>
            </w:pPr>
            <w:r>
              <w:rPr>
                <w:rFonts w:ascii="宋体" w:hAnsi="宋体"/>
                <w:szCs w:val="21"/>
              </w:rPr>
              <w:t>8</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cs="宋体"/>
                <w:bCs/>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兼容性要求</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hint="eastAsia" w:ascii="宋体" w:hAnsi="宋体"/>
                <w:szCs w:val="21"/>
              </w:rPr>
              <w:t>综合监控平台软件需与沙河学院5号楼215机房使用的BDTK3000机房监控系统兼容，所有监控模块可添加到BDTK3000机房监控系统中。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9</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综合监控平台软件功能要求</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rPr>
                <w:rFonts w:ascii="宋体" w:hAnsi="宋体"/>
                <w:szCs w:val="21"/>
              </w:rPr>
            </w:pPr>
            <w:r>
              <w:rPr>
                <w:rFonts w:ascii="宋体" w:hAnsi="宋体"/>
                <w:szCs w:val="21"/>
              </w:rPr>
              <w:t>1.</w:t>
            </w:r>
            <w:r>
              <w:rPr>
                <w:rFonts w:ascii="宋体" w:hAnsi="宋体"/>
                <w:szCs w:val="21"/>
              </w:rPr>
              <w:tab/>
            </w:r>
            <w:r>
              <w:rPr>
                <w:rFonts w:hint="eastAsia" w:ascii="宋体" w:hAnsi="宋体"/>
                <w:szCs w:val="21"/>
              </w:rPr>
              <w:t>支持</w:t>
            </w:r>
            <w:r>
              <w:rPr>
                <w:rFonts w:ascii="宋体" w:hAnsi="宋体"/>
                <w:szCs w:val="21"/>
              </w:rPr>
              <w:t>Windows XPE\Win7E\Linux</w:t>
            </w:r>
            <w:r>
              <w:rPr>
                <w:rFonts w:hint="eastAsia" w:ascii="宋体" w:hAnsi="宋体"/>
                <w:szCs w:val="21"/>
              </w:rPr>
              <w:t>等操作系统，全中文界面，图形化设计，电子地图，多种显示效果。</w:t>
            </w:r>
          </w:p>
          <w:p>
            <w:pPr>
              <w:rPr>
                <w:rFonts w:ascii="宋体" w:hAnsi="宋体"/>
                <w:szCs w:val="21"/>
              </w:rPr>
            </w:pPr>
            <w:r>
              <w:rPr>
                <w:rFonts w:ascii="宋体" w:hAnsi="宋体"/>
                <w:szCs w:val="21"/>
              </w:rPr>
              <w:t>2.</w:t>
            </w:r>
            <w:r>
              <w:rPr>
                <w:rFonts w:ascii="宋体" w:hAnsi="宋体"/>
                <w:szCs w:val="21"/>
              </w:rPr>
              <w:tab/>
            </w:r>
            <w:r>
              <w:rPr>
                <w:rFonts w:hint="eastAsia" w:ascii="宋体" w:hAnsi="宋体"/>
                <w:szCs w:val="21"/>
              </w:rPr>
              <w:t>支持多种灵活报警策略报警方式，标准的第三方通信接口和自定义的通信规约。</w:t>
            </w:r>
          </w:p>
          <w:p>
            <w:pPr>
              <w:rPr>
                <w:rFonts w:ascii="宋体" w:hAnsi="宋体"/>
                <w:szCs w:val="21"/>
              </w:rPr>
            </w:pPr>
            <w:r>
              <w:rPr>
                <w:rFonts w:ascii="宋体" w:hAnsi="宋体"/>
                <w:szCs w:val="21"/>
              </w:rPr>
              <w:t>3.</w:t>
            </w:r>
            <w:r>
              <w:rPr>
                <w:rFonts w:ascii="宋体" w:hAnsi="宋体"/>
                <w:szCs w:val="21"/>
              </w:rPr>
              <w:tab/>
            </w:r>
            <w:r>
              <w:rPr>
                <w:rFonts w:hint="eastAsia" w:ascii="宋体" w:hAnsi="宋体"/>
                <w:szCs w:val="21"/>
              </w:rPr>
              <w:t>支持数据管理、查询、分析功能。</w:t>
            </w:r>
          </w:p>
          <w:p>
            <w:pPr>
              <w:rPr>
                <w:rFonts w:ascii="宋体" w:hAnsi="宋体"/>
                <w:szCs w:val="21"/>
              </w:rPr>
            </w:pPr>
            <w:r>
              <w:rPr>
                <w:rFonts w:ascii="宋体" w:hAnsi="宋体"/>
                <w:szCs w:val="21"/>
              </w:rPr>
              <w:t>4.</w:t>
            </w:r>
            <w:r>
              <w:rPr>
                <w:rFonts w:ascii="宋体" w:hAnsi="宋体"/>
                <w:szCs w:val="21"/>
              </w:rPr>
              <w:tab/>
            </w:r>
            <w:r>
              <w:rPr>
                <w:rFonts w:hint="eastAsia" w:ascii="宋体" w:hAnsi="宋体"/>
                <w:szCs w:val="21"/>
                <w:highlight w:val="none"/>
              </w:rPr>
              <w:t>远程监控管理功能，可与沙河校区统一管理</w:t>
            </w:r>
            <w:r>
              <w:rPr>
                <w:rFonts w:hint="eastAsia" w:ascii="宋体" w:hAnsi="宋体"/>
                <w:szCs w:val="21"/>
              </w:rPr>
              <w:t>。</w:t>
            </w:r>
          </w:p>
          <w:p>
            <w:pPr>
              <w:rPr>
                <w:rFonts w:ascii="宋体" w:hAnsi="宋体"/>
                <w:szCs w:val="21"/>
              </w:rPr>
            </w:pPr>
            <w:r>
              <w:rPr>
                <w:rFonts w:ascii="宋体" w:hAnsi="宋体"/>
                <w:szCs w:val="21"/>
              </w:rPr>
              <w:t>5.</w:t>
            </w:r>
            <w:r>
              <w:rPr>
                <w:rFonts w:ascii="宋体" w:hAnsi="宋体"/>
                <w:szCs w:val="21"/>
              </w:rPr>
              <w:tab/>
            </w:r>
            <w:r>
              <w:rPr>
                <w:rFonts w:hint="eastAsia" w:ascii="宋体" w:hAnsi="宋体"/>
                <w:szCs w:val="21"/>
              </w:rPr>
              <w:t>专业嵌入式监控组态平台软件，自主版权，具备国家版权局软件著作权登记证书、双软登记证书、第三方测试</w:t>
            </w:r>
            <w:r>
              <w:rPr>
                <w:rFonts w:ascii="宋体" w:hAnsi="宋体"/>
                <w:szCs w:val="21"/>
              </w:rPr>
              <w:t>机构的</w:t>
            </w:r>
            <w:r>
              <w:rPr>
                <w:rFonts w:hint="eastAsia" w:ascii="宋体" w:hAnsi="宋体"/>
                <w:szCs w:val="21"/>
              </w:rPr>
              <w:t>软件测试报告。</w:t>
            </w:r>
          </w:p>
          <w:p>
            <w:pPr>
              <w:rPr>
                <w:rFonts w:ascii="宋体" w:hAnsi="宋体"/>
                <w:szCs w:val="21"/>
              </w:rPr>
            </w:pPr>
            <w:r>
              <w:rPr>
                <w:rFonts w:ascii="宋体" w:hAnsi="宋体"/>
                <w:szCs w:val="21"/>
              </w:rPr>
              <w:t>6.</w:t>
            </w:r>
            <w:r>
              <w:rPr>
                <w:rFonts w:ascii="宋体" w:hAnsi="宋体"/>
                <w:szCs w:val="21"/>
              </w:rPr>
              <w:tab/>
            </w:r>
            <w:r>
              <w:rPr>
                <w:rFonts w:hint="eastAsia" w:ascii="宋体" w:hAnsi="宋体"/>
                <w:szCs w:val="21"/>
              </w:rPr>
              <w:t>自主实时数据库，不依赖第三方商用数据库，大型联网型构架。</w:t>
            </w:r>
          </w:p>
          <w:p>
            <w:pPr>
              <w:spacing w:line="360" w:lineRule="auto"/>
              <w:rPr>
                <w:rFonts w:ascii="宋体" w:hAnsi="宋体"/>
                <w:szCs w:val="21"/>
              </w:rPr>
            </w:pPr>
            <w:r>
              <w:rPr>
                <w:rFonts w:ascii="宋体" w:hAnsi="宋体"/>
                <w:szCs w:val="21"/>
              </w:rPr>
              <w:t>7.</w:t>
            </w:r>
            <w:r>
              <w:rPr>
                <w:rFonts w:ascii="宋体" w:hAnsi="宋体"/>
                <w:szCs w:val="21"/>
              </w:rPr>
              <w:tab/>
            </w:r>
            <w:r>
              <w:rPr>
                <w:rFonts w:hint="eastAsia" w:ascii="宋体" w:hAnsi="宋体"/>
                <w:szCs w:val="21"/>
              </w:rPr>
              <w:t>与嵌入式监控主机为同一品牌，长时间工作稳定。</w:t>
            </w:r>
          </w:p>
          <w:p>
            <w:pPr>
              <w:spacing w:line="360" w:lineRule="auto"/>
              <w:rPr>
                <w:rFonts w:ascii="宋体" w:hAnsi="宋体"/>
                <w:szCs w:val="21"/>
              </w:rPr>
            </w:pPr>
            <w:r>
              <w:rPr>
                <w:rFonts w:hint="eastAsia" w:ascii="宋体" w:hAnsi="宋体"/>
                <w:szCs w:val="21"/>
              </w:rPr>
              <w:t>8.提供原厂商授权与售后服务承诺函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10</w:t>
            </w:r>
          </w:p>
        </w:tc>
        <w:tc>
          <w:tcPr>
            <w:tcW w:w="1021" w:type="dxa"/>
            <w:tcBorders>
              <w:top w:val="single" w:color="auto" w:sz="4" w:space="0"/>
              <w:left w:val="single" w:color="auto" w:sz="4" w:space="0"/>
              <w:bottom w:val="single" w:color="auto" w:sz="4" w:space="0"/>
              <w:right w:val="single" w:color="auto" w:sz="4" w:space="0"/>
            </w:tcBorders>
            <w:shd w:val="clear" w:color="auto" w:fill="FFFFFF"/>
          </w:tcPr>
          <w:p>
            <w:pPr>
              <w:spacing w:line="360" w:lineRule="auto"/>
              <w:rPr>
                <w:rFonts w:ascii="宋体" w:hAnsi="宋体"/>
                <w:szCs w:val="21"/>
              </w:rPr>
            </w:pPr>
          </w:p>
        </w:tc>
        <w:tc>
          <w:tcPr>
            <w:tcW w:w="1021"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jc w:val="center"/>
              <w:rPr>
                <w:rFonts w:ascii="宋体" w:hAnsi="宋体"/>
                <w:szCs w:val="21"/>
              </w:rPr>
            </w:pPr>
            <w:r>
              <w:rPr>
                <w:rFonts w:hint="eastAsia" w:ascii="宋体" w:hAnsi="宋体"/>
                <w:szCs w:val="21"/>
              </w:rPr>
              <w:t>电话语音报警系统</w:t>
            </w:r>
          </w:p>
        </w:tc>
        <w:tc>
          <w:tcPr>
            <w:tcW w:w="5908" w:type="dxa"/>
            <w:tcBorders>
              <w:top w:val="single" w:color="auto" w:sz="4" w:space="0"/>
              <w:left w:val="single" w:color="auto" w:sz="4" w:space="0"/>
              <w:bottom w:val="single" w:color="auto" w:sz="4" w:space="0"/>
              <w:right w:val="single" w:color="auto" w:sz="4" w:space="0"/>
            </w:tcBorders>
            <w:shd w:val="clear" w:color="auto" w:fill="FFFFFF"/>
            <w:vAlign w:val="center"/>
          </w:tcPr>
          <w:p>
            <w:pPr>
              <w:spacing w:line="360" w:lineRule="auto"/>
              <w:rPr>
                <w:rFonts w:ascii="宋体" w:hAnsi="宋体"/>
                <w:szCs w:val="21"/>
              </w:rPr>
            </w:pPr>
            <w:r>
              <w:rPr>
                <w:rFonts w:hint="eastAsia" w:ascii="宋体" w:hAnsi="宋体"/>
                <w:szCs w:val="21"/>
              </w:rPr>
              <w:t>支持电话语音报警；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11</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短消息报警及查询系统</w:t>
            </w:r>
          </w:p>
        </w:tc>
        <w:tc>
          <w:tcPr>
            <w:tcW w:w="5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短信报警及查询，包含短信模块：双频GSM MODEM设计及开发符合ETSI GSM Phase2+标准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12</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Cs w:val="21"/>
              </w:rPr>
            </w:pP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邮件报警</w:t>
            </w:r>
          </w:p>
        </w:tc>
        <w:tc>
          <w:tcPr>
            <w:tcW w:w="5908"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自主设置需要的报警人员邮箱地址。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13</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信号采集箱</w:t>
            </w:r>
          </w:p>
        </w:tc>
        <w:tc>
          <w:tcPr>
            <w:tcW w:w="590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440*500*120 机架、壁装、地装三种安装方式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14</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工业电源</w:t>
            </w:r>
          </w:p>
        </w:tc>
        <w:tc>
          <w:tcPr>
            <w:tcW w:w="590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AC220V输入、DC12V输出、10A；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80" w:type="dxa"/>
            <w:tcBorders>
              <w:top w:val="single" w:color="auto" w:sz="4" w:space="0"/>
              <w:left w:val="single" w:color="auto" w:sz="4" w:space="0"/>
              <w:bottom w:val="single" w:color="auto" w:sz="4" w:space="0"/>
              <w:right w:val="single" w:color="auto" w:sz="4" w:space="0"/>
            </w:tcBorders>
            <w:vAlign w:val="center"/>
          </w:tcPr>
          <w:p>
            <w:pPr>
              <w:spacing w:line="360" w:lineRule="auto"/>
              <w:rPr>
                <w:rFonts w:ascii="宋体" w:hAnsi="宋体"/>
                <w:szCs w:val="21"/>
              </w:rPr>
            </w:pPr>
            <w:r>
              <w:rPr>
                <w:rFonts w:hint="eastAsia" w:ascii="宋体" w:hAnsi="宋体"/>
                <w:szCs w:val="21"/>
              </w:rPr>
              <w:t>15</w:t>
            </w:r>
          </w:p>
        </w:tc>
        <w:tc>
          <w:tcPr>
            <w:tcW w:w="1021" w:type="dxa"/>
            <w:tcBorders>
              <w:top w:val="single" w:color="auto" w:sz="4" w:space="0"/>
              <w:left w:val="single" w:color="auto" w:sz="4" w:space="0"/>
              <w:bottom w:val="single" w:color="auto" w:sz="4" w:space="0"/>
              <w:right w:val="single" w:color="auto" w:sz="4" w:space="0"/>
            </w:tcBorders>
          </w:tcPr>
          <w:p>
            <w:pPr>
              <w:spacing w:line="360" w:lineRule="auto"/>
              <w:rPr>
                <w:rFonts w:ascii="宋体" w:hAnsi="宋体" w:cs="宋体"/>
                <w:bCs/>
                <w:szCs w:val="21"/>
              </w:rPr>
            </w:pPr>
          </w:p>
          <w:p>
            <w:pPr>
              <w:spacing w:line="360" w:lineRule="auto"/>
              <w:rPr>
                <w:rFonts w:ascii="宋体" w:hAnsi="宋体" w:cs="宋体"/>
                <w:bCs/>
                <w:szCs w:val="21"/>
              </w:rPr>
            </w:pPr>
            <w:r>
              <w:rPr>
                <w:rFonts w:hint="eastAsia" w:ascii="宋体" w:hAnsi="宋体" w:cs="宋体"/>
                <w:bCs/>
                <w:szCs w:val="21"/>
              </w:rPr>
              <w:t>#</w:t>
            </w:r>
          </w:p>
        </w:tc>
        <w:tc>
          <w:tcPr>
            <w:tcW w:w="1021" w:type="dxa"/>
            <w:tcBorders>
              <w:top w:val="single" w:color="auto" w:sz="4" w:space="0"/>
              <w:left w:val="single" w:color="auto" w:sz="4" w:space="0"/>
              <w:bottom w:val="single" w:color="auto" w:sz="4" w:space="0"/>
              <w:right w:val="single" w:color="auto" w:sz="4" w:space="0"/>
            </w:tcBorders>
            <w:vAlign w:val="center"/>
          </w:tcPr>
          <w:p>
            <w:pPr>
              <w:spacing w:line="360" w:lineRule="auto"/>
              <w:jc w:val="center"/>
              <w:rPr>
                <w:rFonts w:ascii="宋体" w:hAnsi="宋体"/>
                <w:szCs w:val="21"/>
              </w:rPr>
            </w:pPr>
            <w:r>
              <w:rPr>
                <w:rFonts w:hint="eastAsia" w:ascii="宋体" w:hAnsi="宋体"/>
                <w:szCs w:val="21"/>
              </w:rPr>
              <w:t>地板</w:t>
            </w:r>
          </w:p>
        </w:tc>
        <w:tc>
          <w:tcPr>
            <w:tcW w:w="5908" w:type="dxa"/>
            <w:tcBorders>
              <w:top w:val="single" w:color="auto" w:sz="4" w:space="0"/>
              <w:left w:val="single" w:color="auto" w:sz="4" w:space="0"/>
              <w:bottom w:val="single" w:color="auto" w:sz="4" w:space="0"/>
              <w:right w:val="single" w:color="auto" w:sz="4" w:space="0"/>
            </w:tcBorders>
            <w:vAlign w:val="center"/>
          </w:tcPr>
          <w:p>
            <w:pPr>
              <w:spacing w:line="276" w:lineRule="auto"/>
              <w:rPr>
                <w:rFonts w:ascii="宋体" w:hAnsi="宋体"/>
                <w:szCs w:val="21"/>
              </w:rPr>
            </w:pPr>
            <w:r>
              <w:rPr>
                <w:rFonts w:hint="eastAsia" w:ascii="宋体" w:hAnsi="宋体"/>
                <w:szCs w:val="21"/>
              </w:rPr>
              <w:t>地板应采用具有可拆卸性的抗静电活动地板，防火性能为国家A级，风口地板要求通风率达22%。</w:t>
            </w:r>
          </w:p>
          <w:p>
            <w:pPr>
              <w:spacing w:line="276" w:lineRule="auto"/>
              <w:rPr>
                <w:rFonts w:ascii="宋体" w:hAnsi="宋体"/>
                <w:szCs w:val="21"/>
              </w:rPr>
            </w:pPr>
            <w:r>
              <w:rPr>
                <w:rFonts w:hint="eastAsia" w:ascii="宋体" w:hAnsi="宋体"/>
                <w:szCs w:val="21"/>
              </w:rPr>
              <w:t>地板载荷：按照机房承重B级标准，能满足机柜的承重压力，弯曲度应小于2毫米，并无永久变形。</w:t>
            </w:r>
          </w:p>
        </w:tc>
      </w:tr>
    </w:tbl>
    <w:p>
      <w:pPr>
        <w:rPr>
          <w:rFonts w:ascii="宋体" w:hAnsi="宋体" w:cs="Arial"/>
          <w:b/>
          <w:bCs/>
          <w:sz w:val="24"/>
        </w:rPr>
      </w:pPr>
    </w:p>
    <w:p>
      <w:pPr>
        <w:pStyle w:val="2"/>
        <w:spacing w:before="0" w:after="0" w:line="240" w:lineRule="auto"/>
        <w:rPr>
          <w:rFonts w:ascii="黑体" w:hAnsi="黑体" w:eastAsia="黑体"/>
          <w:sz w:val="32"/>
          <w:szCs w:val="32"/>
          <w:lang w:bidi="ar"/>
        </w:rPr>
      </w:pPr>
      <w:r>
        <w:rPr>
          <w:rFonts w:hint="eastAsia" w:ascii="黑体" w:hAnsi="黑体" w:eastAsia="黑体"/>
          <w:sz w:val="32"/>
          <w:szCs w:val="32"/>
          <w:lang w:bidi="ar"/>
        </w:rPr>
        <w:t>六、服务及验收</w:t>
      </w:r>
    </w:p>
    <w:p>
      <w:pPr>
        <w:ind w:firstLine="420" w:firstLineChars="200"/>
        <w:rPr>
          <w:rFonts w:ascii="宋体" w:hAnsi="宋体" w:cs="宋体"/>
          <w:szCs w:val="21"/>
        </w:rPr>
      </w:pPr>
      <w:r>
        <w:rPr>
          <w:rFonts w:hint="eastAsia" w:ascii="宋体" w:hAnsi="宋体" w:cs="宋体"/>
          <w:szCs w:val="21"/>
        </w:rPr>
        <w:t>重要性是指该指标项的重要程度，与评分细则的扣分项应相对应。★代表最关键指标，不满足该指标项将导致废标，#代表重要指标，3个均不满足将导致废标。</w:t>
      </w:r>
    </w:p>
    <w:tbl>
      <w:tblPr>
        <w:tblStyle w:val="17"/>
        <w:tblW w:w="737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47"/>
        <w:gridCol w:w="54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D9D9D9"/>
          </w:tcPr>
          <w:p>
            <w:pPr>
              <w:snapToGrid w:val="0"/>
              <w:rPr>
                <w:szCs w:val="21"/>
              </w:rPr>
            </w:pPr>
            <w:r>
              <w:rPr>
                <w:rFonts w:hint="eastAsia"/>
                <w:szCs w:val="21"/>
              </w:rPr>
              <w:t>序号</w:t>
            </w:r>
          </w:p>
        </w:tc>
        <w:tc>
          <w:tcPr>
            <w:tcW w:w="1247" w:type="dxa"/>
            <w:shd w:val="clear" w:color="auto" w:fill="D9D9D9"/>
          </w:tcPr>
          <w:p>
            <w:pPr>
              <w:snapToGrid w:val="0"/>
              <w:rPr>
                <w:szCs w:val="21"/>
              </w:rPr>
            </w:pPr>
            <w:r>
              <w:rPr>
                <w:rFonts w:hint="eastAsia"/>
                <w:szCs w:val="21"/>
              </w:rPr>
              <w:t>服务要求项目</w:t>
            </w:r>
          </w:p>
        </w:tc>
        <w:tc>
          <w:tcPr>
            <w:tcW w:w="5416" w:type="dxa"/>
            <w:shd w:val="clear" w:color="auto" w:fill="D9D9D9"/>
          </w:tcPr>
          <w:p>
            <w:pPr>
              <w:snapToGrid w:val="0"/>
              <w:rPr>
                <w:szCs w:val="21"/>
              </w:rPr>
            </w:pPr>
            <w:r>
              <w:rPr>
                <w:rFonts w:hint="eastAsia"/>
                <w:szCs w:val="21"/>
              </w:rPr>
              <w:t>服务要求标准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ind w:left="36" w:leftChars="17"/>
              <w:rPr>
                <w:szCs w:val="21"/>
              </w:rPr>
            </w:pPr>
            <w:r>
              <w:rPr>
                <w:szCs w:val="21"/>
              </w:rPr>
              <w:t>1</w:t>
            </w:r>
          </w:p>
        </w:tc>
        <w:tc>
          <w:tcPr>
            <w:tcW w:w="1247" w:type="dxa"/>
          </w:tcPr>
          <w:p>
            <w:pPr>
              <w:snapToGrid w:val="0"/>
              <w:rPr>
                <w:szCs w:val="21"/>
              </w:rPr>
            </w:pPr>
            <w:r>
              <w:rPr>
                <w:rFonts w:hint="eastAsia" w:ascii="宋体" w:hAnsi="宋体" w:cs="宋体"/>
                <w:szCs w:val="21"/>
              </w:rPr>
              <w:t>★UPS</w:t>
            </w:r>
            <w:r>
              <w:rPr>
                <w:rFonts w:hint="eastAsia"/>
                <w:szCs w:val="21"/>
              </w:rPr>
              <w:t>原厂售后服务承诺函</w:t>
            </w:r>
          </w:p>
        </w:tc>
        <w:tc>
          <w:tcPr>
            <w:tcW w:w="5416" w:type="dxa"/>
          </w:tcPr>
          <w:p>
            <w:pPr>
              <w:snapToGrid w:val="0"/>
              <w:rPr>
                <w:color w:val="000000"/>
                <w:szCs w:val="21"/>
              </w:rPr>
            </w:pPr>
            <w:r>
              <w:rPr>
                <w:rFonts w:hint="eastAsia" w:ascii="宋体" w:hAnsi="宋体"/>
                <w:szCs w:val="21"/>
              </w:rPr>
              <w:t>签</w:t>
            </w:r>
            <w:r>
              <w:rPr>
                <w:rFonts w:hint="eastAsia"/>
                <w:color w:val="000000"/>
                <w:szCs w:val="21"/>
              </w:rPr>
              <w:t>订合同时，必须承诺并提供五年7*24小时软、硬件免费保修服务，</w:t>
            </w:r>
            <w:r>
              <w:rPr>
                <w:color w:val="000000"/>
                <w:szCs w:val="21"/>
              </w:rPr>
              <w:t>4</w:t>
            </w:r>
            <w:r>
              <w:rPr>
                <w:rFonts w:hint="eastAsia"/>
                <w:color w:val="000000"/>
                <w:szCs w:val="21"/>
              </w:rPr>
              <w:t xml:space="preserve">小时响应，包含机房布线、标准安装、上架和调试等服务；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szCs w:val="21"/>
              </w:rPr>
              <w:t>2</w:t>
            </w:r>
          </w:p>
        </w:tc>
        <w:tc>
          <w:tcPr>
            <w:tcW w:w="1247" w:type="dxa"/>
          </w:tcPr>
          <w:p>
            <w:pPr>
              <w:snapToGrid w:val="0"/>
              <w:rPr>
                <w:szCs w:val="21"/>
              </w:rPr>
            </w:pPr>
            <w:r>
              <w:rPr>
                <w:rFonts w:hint="eastAsia"/>
                <w:szCs w:val="21"/>
              </w:rPr>
              <w:t>#</w:t>
            </w:r>
            <w:r>
              <w:rPr>
                <w:rFonts w:hint="eastAsia"/>
                <w:color w:val="000000"/>
                <w:szCs w:val="21"/>
              </w:rPr>
              <w:t>定期</w:t>
            </w:r>
            <w:r>
              <w:rPr>
                <w:rFonts w:hint="eastAsia"/>
                <w:szCs w:val="21"/>
              </w:rPr>
              <w:t>巡检</w:t>
            </w:r>
          </w:p>
        </w:tc>
        <w:tc>
          <w:tcPr>
            <w:tcW w:w="5416" w:type="dxa"/>
          </w:tcPr>
          <w:p>
            <w:pPr>
              <w:snapToGrid w:val="0"/>
              <w:rPr>
                <w:rFonts w:ascii="宋体" w:hAnsi="宋体"/>
                <w:szCs w:val="21"/>
              </w:rPr>
            </w:pPr>
            <w:r>
              <w:rPr>
                <w:rFonts w:hint="eastAsia"/>
                <w:color w:val="000000"/>
                <w:szCs w:val="21"/>
              </w:rPr>
              <w:t>保修期内每半年提供一次巡检服务，并协助用户做电池放电测试。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szCs w:val="21"/>
              </w:rPr>
              <w:t>3</w:t>
            </w:r>
          </w:p>
        </w:tc>
        <w:tc>
          <w:tcPr>
            <w:tcW w:w="1247" w:type="dxa"/>
          </w:tcPr>
          <w:p>
            <w:pPr>
              <w:snapToGrid w:val="0"/>
              <w:rPr>
                <w:szCs w:val="21"/>
              </w:rPr>
            </w:pPr>
            <w:r>
              <w:rPr>
                <w:rFonts w:hint="eastAsia"/>
                <w:szCs w:val="21"/>
              </w:rPr>
              <w:t>#保修期维护小组</w:t>
            </w:r>
          </w:p>
        </w:tc>
        <w:tc>
          <w:tcPr>
            <w:tcW w:w="5416" w:type="dxa"/>
          </w:tcPr>
          <w:p>
            <w:pPr>
              <w:snapToGrid w:val="0"/>
              <w:rPr>
                <w:rFonts w:ascii="宋体" w:hAnsi="宋体"/>
                <w:szCs w:val="21"/>
              </w:rPr>
            </w:pPr>
            <w:r>
              <w:rPr>
                <w:rFonts w:hint="eastAsia"/>
                <w:color w:val="000000"/>
                <w:szCs w:val="21"/>
              </w:rPr>
              <w:t>在保修期内，必须指定通过原厂培训认证的技术人员和固定的维护小组，技术人员不少于</w:t>
            </w:r>
            <w:r>
              <w:rPr>
                <w:color w:val="000000"/>
                <w:szCs w:val="21"/>
              </w:rPr>
              <w:t>1</w:t>
            </w:r>
            <w:r>
              <w:rPr>
                <w:rFonts w:hint="eastAsia"/>
                <w:color w:val="000000"/>
                <w:szCs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szCs w:val="21"/>
              </w:rPr>
              <w:t>4</w:t>
            </w:r>
          </w:p>
        </w:tc>
        <w:tc>
          <w:tcPr>
            <w:tcW w:w="1247" w:type="dxa"/>
          </w:tcPr>
          <w:p>
            <w:pPr>
              <w:snapToGrid w:val="0"/>
              <w:rPr>
                <w:szCs w:val="21"/>
              </w:rPr>
            </w:pPr>
            <w:r>
              <w:rPr>
                <w:rFonts w:hint="eastAsia"/>
                <w:szCs w:val="21"/>
              </w:rPr>
              <w:t>#节假日值班</w:t>
            </w:r>
          </w:p>
        </w:tc>
        <w:tc>
          <w:tcPr>
            <w:tcW w:w="5416" w:type="dxa"/>
          </w:tcPr>
          <w:p>
            <w:pPr>
              <w:snapToGrid w:val="0"/>
              <w:rPr>
                <w:rFonts w:ascii="宋体" w:hAnsi="宋体"/>
                <w:szCs w:val="21"/>
              </w:rPr>
            </w:pPr>
            <w:r>
              <w:rPr>
                <w:rFonts w:hint="eastAsia"/>
                <w:color w:val="000000"/>
                <w:szCs w:val="21"/>
              </w:rPr>
              <w:t>节假日提供1名技术人员24小时值班。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szCs w:val="21"/>
              </w:rPr>
              <w:t>5</w:t>
            </w:r>
          </w:p>
        </w:tc>
        <w:tc>
          <w:tcPr>
            <w:tcW w:w="1247" w:type="dxa"/>
          </w:tcPr>
          <w:p>
            <w:pPr>
              <w:snapToGrid w:val="0"/>
              <w:rPr>
                <w:szCs w:val="21"/>
              </w:rPr>
            </w:pPr>
            <w:r>
              <w:rPr>
                <w:rFonts w:hint="eastAsia" w:ascii="宋体" w:hAnsi="宋体" w:cs="宋体"/>
                <w:szCs w:val="21"/>
              </w:rPr>
              <w:t>★</w:t>
            </w:r>
            <w:r>
              <w:rPr>
                <w:rFonts w:hint="eastAsia"/>
                <w:szCs w:val="21"/>
              </w:rPr>
              <w:t>投标人服务标准</w:t>
            </w:r>
          </w:p>
        </w:tc>
        <w:tc>
          <w:tcPr>
            <w:tcW w:w="5416" w:type="dxa"/>
          </w:tcPr>
          <w:p>
            <w:pPr>
              <w:snapToGrid w:val="0"/>
              <w:rPr>
                <w:szCs w:val="21"/>
              </w:rPr>
            </w:pPr>
            <w:r>
              <w:rPr>
                <w:rFonts w:hint="eastAsia"/>
                <w:szCs w:val="21"/>
              </w:rPr>
              <w:t>投标人承诺所有硬件三年免费保修、所有软件三年免费保修升级、电话报修后4小时响应并提出解决方案、24小时内排除故障。</w:t>
            </w:r>
          </w:p>
          <w:p>
            <w:pPr>
              <w:snapToGrid w:val="0"/>
              <w:rPr>
                <w:szCs w:val="21"/>
              </w:rPr>
            </w:pPr>
            <w:r>
              <w:rPr>
                <w:rFonts w:hint="eastAsia"/>
                <w:szCs w:val="21"/>
              </w:rPr>
              <w:t>投标人承诺所有硬件过三年免费保修期后按原价维修（按投标货物价格数量表所列价格，更换零部件的按合同签订时的零部件价格）、所有软件过三年免费保修升级期内按按原价的10%进行维修升级，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709" w:type="dxa"/>
          </w:tcPr>
          <w:p>
            <w:pPr>
              <w:snapToGrid w:val="0"/>
              <w:rPr>
                <w:szCs w:val="21"/>
              </w:rPr>
            </w:pPr>
            <w:r>
              <w:rPr>
                <w:szCs w:val="21"/>
              </w:rPr>
              <w:t>6</w:t>
            </w:r>
          </w:p>
        </w:tc>
        <w:tc>
          <w:tcPr>
            <w:tcW w:w="1247" w:type="dxa"/>
          </w:tcPr>
          <w:p>
            <w:pPr>
              <w:snapToGrid w:val="0"/>
              <w:rPr>
                <w:szCs w:val="21"/>
              </w:rPr>
            </w:pPr>
            <w:r>
              <w:rPr>
                <w:rFonts w:hint="eastAsia" w:ascii="宋体" w:hAnsi="宋体" w:cs="宋体"/>
                <w:szCs w:val="21"/>
              </w:rPr>
              <w:t>★</w:t>
            </w:r>
            <w:r>
              <w:rPr>
                <w:rFonts w:hint="eastAsia"/>
                <w:szCs w:val="21"/>
              </w:rPr>
              <w:t>硬件、软件制造商服务标准</w:t>
            </w:r>
          </w:p>
        </w:tc>
        <w:tc>
          <w:tcPr>
            <w:tcW w:w="5416" w:type="dxa"/>
          </w:tcPr>
          <w:p>
            <w:pPr>
              <w:snapToGrid w:val="0"/>
              <w:rPr>
                <w:szCs w:val="21"/>
              </w:rPr>
            </w:pPr>
            <w:r>
              <w:rPr>
                <w:rFonts w:hint="eastAsia"/>
                <w:szCs w:val="21"/>
              </w:rPr>
              <w:t>电话报修后4小时响应并提出解决方案、24小时内排除故障。硬件制造商承诺所有硬件过五年免费保修期后按原价维修（按投标货物价格数量表所列价格，更换零部件的按合同签订时的零部件价格）过三年免费保修升级期内按按原价的10%进行维修升级，响应速度同保修期响应速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rFonts w:hint="eastAsia"/>
                <w:szCs w:val="21"/>
              </w:rPr>
              <w:t>7</w:t>
            </w:r>
          </w:p>
        </w:tc>
        <w:tc>
          <w:tcPr>
            <w:tcW w:w="1247" w:type="dxa"/>
          </w:tcPr>
          <w:p>
            <w:pPr>
              <w:snapToGrid w:val="0"/>
              <w:rPr>
                <w:szCs w:val="21"/>
              </w:rPr>
            </w:pPr>
            <w:r>
              <w:rPr>
                <w:rFonts w:hint="eastAsia"/>
                <w:szCs w:val="21"/>
              </w:rPr>
              <w:t>所投主要产品制造商服务网络</w:t>
            </w:r>
          </w:p>
        </w:tc>
        <w:tc>
          <w:tcPr>
            <w:tcW w:w="5416" w:type="dxa"/>
          </w:tcPr>
          <w:p>
            <w:pPr>
              <w:snapToGrid w:val="0"/>
              <w:rPr>
                <w:szCs w:val="21"/>
              </w:rPr>
            </w:pPr>
            <w:r>
              <w:rPr>
                <w:rFonts w:hint="eastAsia"/>
                <w:szCs w:val="21"/>
              </w:rPr>
              <w:t>在项目运行地点有服务网点，该服务网点需存在2年以上，服务人员需有5人以上，每个服务人员至少在该网点工作3个月以上，并提供相应的证明材料。</w:t>
            </w:r>
            <w:r>
              <w:rPr>
                <w:rFonts w:hint="eastAsia"/>
                <w:szCs w:val="21"/>
                <w:lang w:eastAsia="zh-CN"/>
              </w:rPr>
              <w:t>如项目运行地没有服务网点，响应人需承诺在成交后设立服务网点。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rFonts w:hint="eastAsia"/>
                <w:szCs w:val="21"/>
              </w:rPr>
              <w:t>8</w:t>
            </w:r>
          </w:p>
        </w:tc>
        <w:tc>
          <w:tcPr>
            <w:tcW w:w="1247" w:type="dxa"/>
          </w:tcPr>
          <w:p>
            <w:pPr>
              <w:snapToGrid w:val="0"/>
              <w:rPr>
                <w:szCs w:val="21"/>
              </w:rPr>
            </w:pPr>
            <w:r>
              <w:rPr>
                <w:rFonts w:hint="eastAsia"/>
                <w:szCs w:val="21"/>
              </w:rPr>
              <w:t>★验收标准</w:t>
            </w:r>
          </w:p>
        </w:tc>
        <w:tc>
          <w:tcPr>
            <w:tcW w:w="5416" w:type="dxa"/>
          </w:tcPr>
          <w:p>
            <w:pPr>
              <w:snapToGrid w:val="0"/>
              <w:rPr>
                <w:szCs w:val="21"/>
              </w:rPr>
            </w:pPr>
            <w:r>
              <w:rPr>
                <w:rFonts w:hint="eastAsia"/>
                <w:szCs w:val="21"/>
              </w:rPr>
              <w:t>机房场地环境及其设施、设备的设计、施工、验收必需遵循下列标准及下列标准中引用的其他标准，以及工程涉及的其他技术条件和要求、相关材料的技术标准和要求等。以下所列的主要技术标准和规范，如低于最近公布的国际或国内最新标准时，应按最新标准进行设计、施工、选材，并提供与之相应的技术标准。</w:t>
            </w:r>
          </w:p>
          <w:p>
            <w:pPr>
              <w:snapToGrid w:val="0"/>
              <w:rPr>
                <w:szCs w:val="21"/>
              </w:rPr>
            </w:pPr>
            <w:r>
              <w:rPr>
                <w:rFonts w:hint="eastAsia"/>
                <w:szCs w:val="21"/>
              </w:rPr>
              <w:t>《电子信息系统机房设计规范》GB50174-2008</w:t>
            </w:r>
          </w:p>
          <w:p>
            <w:pPr>
              <w:snapToGrid w:val="0"/>
              <w:rPr>
                <w:szCs w:val="21"/>
              </w:rPr>
            </w:pPr>
            <w:r>
              <w:rPr>
                <w:rFonts w:hint="eastAsia"/>
                <w:szCs w:val="21"/>
              </w:rPr>
              <w:t>《电子计算机场地通用规范》  GB/T2887-2000</w:t>
            </w:r>
          </w:p>
          <w:p>
            <w:pPr>
              <w:snapToGrid w:val="0"/>
              <w:rPr>
                <w:szCs w:val="21"/>
              </w:rPr>
            </w:pPr>
            <w:r>
              <w:rPr>
                <w:rFonts w:hint="eastAsia"/>
                <w:szCs w:val="21"/>
              </w:rPr>
              <w:t>《建筑内部装修设计防火规范》GB50222-95</w:t>
            </w:r>
          </w:p>
          <w:p>
            <w:pPr>
              <w:snapToGrid w:val="0"/>
              <w:rPr>
                <w:szCs w:val="21"/>
              </w:rPr>
            </w:pPr>
            <w:r>
              <w:rPr>
                <w:rFonts w:hint="eastAsia"/>
                <w:szCs w:val="21"/>
              </w:rPr>
              <w:t>《气体灭火系统施工及验收规范》GB 50263—97</w:t>
            </w:r>
          </w:p>
          <w:p>
            <w:pPr>
              <w:snapToGrid w:val="0"/>
              <w:rPr>
                <w:szCs w:val="21"/>
              </w:rPr>
            </w:pPr>
            <w:r>
              <w:rPr>
                <w:rFonts w:hint="eastAsia"/>
                <w:szCs w:val="21"/>
              </w:rPr>
              <w:t>《低压配电设计规范》GB 50054—95</w:t>
            </w:r>
          </w:p>
          <w:p>
            <w:pPr>
              <w:snapToGrid w:val="0"/>
              <w:rPr>
                <w:szCs w:val="21"/>
              </w:rPr>
            </w:pPr>
            <w:r>
              <w:rPr>
                <w:rFonts w:hint="eastAsia"/>
                <w:szCs w:val="21"/>
              </w:rPr>
              <w:t>《通信机房静电防护通则》YD/T754-95</w:t>
            </w:r>
          </w:p>
          <w:p>
            <w:pPr>
              <w:snapToGrid w:val="0"/>
              <w:rPr>
                <w:szCs w:val="21"/>
              </w:rPr>
            </w:pPr>
            <w:r>
              <w:rPr>
                <w:rFonts w:hint="eastAsia"/>
                <w:szCs w:val="21"/>
              </w:rPr>
              <w:t>《建筑物防雷设计规范》GB 50057—94（2000年版）</w:t>
            </w:r>
          </w:p>
          <w:p>
            <w:pPr>
              <w:snapToGrid w:val="0"/>
              <w:rPr>
                <w:szCs w:val="21"/>
              </w:rPr>
            </w:pPr>
            <w:r>
              <w:rPr>
                <w:rFonts w:hint="eastAsia"/>
                <w:szCs w:val="21"/>
              </w:rPr>
              <w:t>《建筑物电子信息系统防雷技术规范》GB50343-2004</w:t>
            </w:r>
          </w:p>
          <w:p>
            <w:pPr>
              <w:snapToGrid w:val="0"/>
              <w:rPr>
                <w:szCs w:val="21"/>
              </w:rPr>
            </w:pPr>
            <w:r>
              <w:rPr>
                <w:rFonts w:hint="eastAsia"/>
                <w:szCs w:val="21"/>
              </w:rPr>
              <w:t>《智能建筑设计标准》GB/T 50314—2000</w:t>
            </w:r>
          </w:p>
          <w:p>
            <w:pPr>
              <w:snapToGrid w:val="0"/>
              <w:rPr>
                <w:szCs w:val="21"/>
              </w:rPr>
            </w:pPr>
            <w:r>
              <w:rPr>
                <w:rFonts w:hint="eastAsia"/>
                <w:szCs w:val="21"/>
              </w:rPr>
              <w:t>《供配电系统设计规范》国家规范GB50052-95</w:t>
            </w:r>
          </w:p>
          <w:p>
            <w:pPr>
              <w:snapToGrid w:val="0"/>
              <w:rPr>
                <w:szCs w:val="21"/>
              </w:rPr>
            </w:pPr>
            <w:r>
              <w:rPr>
                <w:rFonts w:hint="eastAsia"/>
                <w:szCs w:val="21"/>
              </w:rPr>
              <w:t>《民用建筑电气设计规范》行业标准JGJ/16-92</w:t>
            </w:r>
          </w:p>
          <w:p>
            <w:pPr>
              <w:snapToGrid w:val="0"/>
              <w:rPr>
                <w:szCs w:val="21"/>
              </w:rPr>
            </w:pPr>
            <w:r>
              <w:rPr>
                <w:rFonts w:hint="eastAsia"/>
                <w:szCs w:val="21"/>
              </w:rPr>
              <w:t>《低压开关设备和控制设备多功能电器第1篇:自动转换开关电器》</w:t>
            </w:r>
            <w:r>
              <w:rPr>
                <w:szCs w:val="21"/>
              </w:rPr>
              <w:t>GB/T 14048.11-2008</w:t>
            </w:r>
          </w:p>
          <w:p>
            <w:pPr>
              <w:snapToGrid w:val="0"/>
              <w:rPr>
                <w:szCs w:val="21"/>
              </w:rPr>
            </w:pPr>
            <w:r>
              <w:rPr>
                <w:rFonts w:hint="eastAsia"/>
                <w:szCs w:val="21"/>
              </w:rPr>
              <w:t>《防静电活动地板通用规范》（SJ/T 10796-2001）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napToGrid w:val="0"/>
              <w:rPr>
                <w:szCs w:val="21"/>
              </w:rPr>
            </w:pPr>
            <w:r>
              <w:rPr>
                <w:rFonts w:hint="eastAsia"/>
                <w:szCs w:val="21"/>
              </w:rPr>
              <w:t>9</w:t>
            </w:r>
          </w:p>
        </w:tc>
        <w:tc>
          <w:tcPr>
            <w:tcW w:w="1247" w:type="dxa"/>
          </w:tcPr>
          <w:p>
            <w:pPr>
              <w:snapToGrid w:val="0"/>
              <w:rPr>
                <w:szCs w:val="21"/>
              </w:rPr>
            </w:pPr>
            <w:r>
              <w:rPr>
                <w:rFonts w:hint="eastAsia"/>
                <w:szCs w:val="21"/>
              </w:rPr>
              <w:t>#验收资料</w:t>
            </w:r>
          </w:p>
        </w:tc>
        <w:tc>
          <w:tcPr>
            <w:tcW w:w="5416" w:type="dxa"/>
          </w:tcPr>
          <w:p>
            <w:pPr>
              <w:snapToGrid w:val="0"/>
              <w:rPr>
                <w:szCs w:val="21"/>
              </w:rPr>
            </w:pPr>
            <w:r>
              <w:rPr>
                <w:rFonts w:hint="eastAsia"/>
                <w:szCs w:val="21"/>
              </w:rPr>
              <w:t>包括但不限于：</w:t>
            </w:r>
          </w:p>
          <w:p>
            <w:pPr>
              <w:snapToGrid w:val="0"/>
              <w:rPr>
                <w:szCs w:val="21"/>
              </w:rPr>
            </w:pPr>
            <w:r>
              <w:rPr>
                <w:rFonts w:hint="eastAsia"/>
                <w:szCs w:val="21"/>
              </w:rPr>
              <w:t>UPS供电系统验收报告</w:t>
            </w:r>
          </w:p>
          <w:p>
            <w:pPr>
              <w:snapToGrid w:val="0"/>
              <w:rPr>
                <w:szCs w:val="21"/>
              </w:rPr>
            </w:pPr>
            <w:r>
              <w:rPr>
                <w:rFonts w:hint="eastAsia"/>
                <w:szCs w:val="21"/>
              </w:rPr>
              <w:t>两机房配电系统验收报告</w:t>
            </w:r>
          </w:p>
          <w:p>
            <w:pPr>
              <w:snapToGrid w:val="0"/>
              <w:rPr>
                <w:szCs w:val="21"/>
              </w:rPr>
            </w:pPr>
            <w:r>
              <w:rPr>
                <w:rFonts w:hint="eastAsia"/>
                <w:szCs w:val="21"/>
              </w:rPr>
              <w:t>机房配电系统强电接线图</w:t>
            </w:r>
          </w:p>
          <w:p>
            <w:pPr>
              <w:snapToGrid w:val="0"/>
              <w:rPr>
                <w:szCs w:val="21"/>
              </w:rPr>
            </w:pPr>
            <w:r>
              <w:rPr>
                <w:rFonts w:hint="eastAsia"/>
                <w:szCs w:val="21"/>
              </w:rPr>
              <w:t>设备出厂合格证（包括UPS主机电池、电气元件及电线电缆等）</w:t>
            </w:r>
          </w:p>
          <w:p>
            <w:pPr>
              <w:snapToGrid w:val="0"/>
              <w:rPr>
                <w:szCs w:val="21"/>
              </w:rPr>
            </w:pPr>
            <w:r>
              <w:rPr>
                <w:rFonts w:hint="eastAsia"/>
                <w:szCs w:val="21"/>
              </w:rPr>
              <w:t>工程竣工图纸一式三份</w:t>
            </w:r>
          </w:p>
        </w:tc>
      </w:tr>
    </w:tbl>
    <w:p>
      <w:pPr>
        <w:pStyle w:val="2"/>
        <w:rPr>
          <w:rFonts w:ascii="黑体" w:hAnsi="黑体" w:eastAsia="黑体"/>
          <w:sz w:val="32"/>
          <w:szCs w:val="32"/>
          <w:lang w:bidi="ar"/>
        </w:rPr>
      </w:pPr>
      <w:r>
        <w:rPr>
          <w:rFonts w:ascii="黑体" w:hAnsi="黑体" w:eastAsia="黑体"/>
          <w:sz w:val="32"/>
          <w:szCs w:val="32"/>
          <w:lang w:bidi="ar"/>
        </w:rPr>
        <w:t>七</w:t>
      </w:r>
      <w:r>
        <w:rPr>
          <w:rFonts w:hint="eastAsia" w:ascii="黑体" w:hAnsi="黑体" w:eastAsia="黑体"/>
          <w:sz w:val="32"/>
          <w:szCs w:val="32"/>
          <w:lang w:bidi="ar"/>
        </w:rPr>
        <w:t>、付款方式</w:t>
      </w:r>
    </w:p>
    <w:tbl>
      <w:tblPr>
        <w:tblStyle w:val="17"/>
        <w:tblW w:w="8505"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276"/>
        <w:gridCol w:w="3118"/>
        <w:gridCol w:w="2410"/>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序号</w:t>
            </w:r>
          </w:p>
        </w:tc>
        <w:tc>
          <w:tcPr>
            <w:tcW w:w="1276"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付款节点</w:t>
            </w:r>
          </w:p>
        </w:tc>
        <w:tc>
          <w:tcPr>
            <w:tcW w:w="3118"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付款条件</w:t>
            </w:r>
          </w:p>
        </w:tc>
        <w:tc>
          <w:tcPr>
            <w:tcW w:w="2410"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付款比例（或金额）</w:t>
            </w:r>
          </w:p>
        </w:tc>
        <w:tc>
          <w:tcPr>
            <w:tcW w:w="992" w:type="dxa"/>
            <w:shd w:val="clear" w:color="auto" w:fill="F2F2F2"/>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1</w:t>
            </w:r>
          </w:p>
        </w:tc>
        <w:tc>
          <w:tcPr>
            <w:tcW w:w="1276"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首付款</w:t>
            </w:r>
          </w:p>
        </w:tc>
        <w:tc>
          <w:tcPr>
            <w:tcW w:w="3118"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签订合同15日内，</w:t>
            </w:r>
            <w:r>
              <w:rPr>
                <w:rFonts w:asciiTheme="minorEastAsia" w:hAnsiTheme="minorEastAsia" w:eastAsiaTheme="minorEastAsia"/>
                <w:szCs w:val="21"/>
              </w:rPr>
              <w:t>在收到乙方提供</w:t>
            </w:r>
            <w:r>
              <w:rPr>
                <w:rFonts w:hint="eastAsia" w:asciiTheme="minorEastAsia" w:hAnsiTheme="minorEastAsia" w:eastAsiaTheme="minorEastAsia"/>
                <w:szCs w:val="21"/>
              </w:rPr>
              <w:t>增值税专用发票，</w:t>
            </w:r>
            <w:r>
              <w:rPr>
                <w:rFonts w:asciiTheme="minorEastAsia" w:hAnsiTheme="minorEastAsia" w:eastAsiaTheme="minorEastAsia"/>
                <w:szCs w:val="21"/>
              </w:rPr>
              <w:t>以银行汇款方式向乙方支付。</w:t>
            </w:r>
          </w:p>
        </w:tc>
        <w:tc>
          <w:tcPr>
            <w:tcW w:w="2410"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付款至总合同金额</w:t>
            </w:r>
            <w:r>
              <w:rPr>
                <w:rFonts w:asciiTheme="minorEastAsia" w:hAnsiTheme="minorEastAsia" w:eastAsiaTheme="minorEastAsia"/>
                <w:szCs w:val="21"/>
              </w:rPr>
              <w:t>10</w:t>
            </w:r>
            <w:r>
              <w:rPr>
                <w:rFonts w:hint="eastAsia" w:asciiTheme="minorEastAsia" w:hAnsiTheme="minorEastAsia" w:eastAsiaTheme="minorEastAsia"/>
                <w:szCs w:val="21"/>
              </w:rPr>
              <w:t>%</w:t>
            </w:r>
          </w:p>
        </w:tc>
        <w:tc>
          <w:tcPr>
            <w:tcW w:w="99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2</w:t>
            </w:r>
          </w:p>
        </w:tc>
        <w:tc>
          <w:tcPr>
            <w:tcW w:w="1276"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第二次付款</w:t>
            </w:r>
          </w:p>
        </w:tc>
        <w:tc>
          <w:tcPr>
            <w:tcW w:w="3118"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甲方在</w:t>
            </w:r>
            <w:r>
              <w:rPr>
                <w:rFonts w:hint="eastAsia" w:asciiTheme="minorEastAsia" w:hAnsiTheme="minorEastAsia" w:eastAsiaTheme="minorEastAsia"/>
                <w:szCs w:val="21"/>
              </w:rPr>
              <w:t>全部货物到项目现场</w:t>
            </w:r>
            <w:r>
              <w:rPr>
                <w:rFonts w:asciiTheme="minorEastAsia" w:hAnsiTheme="minorEastAsia" w:eastAsiaTheme="minorEastAsia"/>
                <w:szCs w:val="21"/>
              </w:rPr>
              <w:t>后，在收到乙方提供</w:t>
            </w:r>
            <w:r>
              <w:rPr>
                <w:rFonts w:hint="eastAsia" w:asciiTheme="minorEastAsia" w:hAnsiTheme="minorEastAsia" w:eastAsiaTheme="minorEastAsia"/>
                <w:szCs w:val="21"/>
              </w:rPr>
              <w:t>增值税专用发票以及合同总价5％质量保证金后，30</w:t>
            </w:r>
            <w:r>
              <w:rPr>
                <w:rFonts w:asciiTheme="minorEastAsia" w:hAnsiTheme="minorEastAsia" w:eastAsiaTheme="minorEastAsia"/>
                <w:szCs w:val="21"/>
              </w:rPr>
              <w:t>个工作日内，以银行汇款方式向乙方支付。</w:t>
            </w:r>
          </w:p>
        </w:tc>
        <w:tc>
          <w:tcPr>
            <w:tcW w:w="2410"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付款至</w:t>
            </w:r>
            <w:r>
              <w:rPr>
                <w:rFonts w:asciiTheme="minorEastAsia" w:hAnsiTheme="minorEastAsia" w:eastAsiaTheme="minorEastAsia"/>
                <w:szCs w:val="21"/>
              </w:rPr>
              <w:t>合同总价的40%</w:t>
            </w:r>
          </w:p>
        </w:tc>
        <w:tc>
          <w:tcPr>
            <w:tcW w:w="99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3</w:t>
            </w:r>
          </w:p>
        </w:tc>
        <w:tc>
          <w:tcPr>
            <w:tcW w:w="1276"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第三次付款</w:t>
            </w:r>
          </w:p>
        </w:tc>
        <w:tc>
          <w:tcPr>
            <w:tcW w:w="3118"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甲方在系统</w:t>
            </w:r>
            <w:r>
              <w:rPr>
                <w:rFonts w:hint="eastAsia" w:asciiTheme="minorEastAsia" w:hAnsiTheme="minorEastAsia" w:eastAsiaTheme="minorEastAsia"/>
                <w:szCs w:val="21"/>
              </w:rPr>
              <w:t>最终</w:t>
            </w:r>
            <w:r>
              <w:rPr>
                <w:rFonts w:asciiTheme="minorEastAsia" w:hAnsiTheme="minorEastAsia" w:eastAsiaTheme="minorEastAsia"/>
                <w:szCs w:val="21"/>
              </w:rPr>
              <w:t>验收合格</w:t>
            </w:r>
            <w:r>
              <w:rPr>
                <w:rFonts w:hint="eastAsia" w:asciiTheme="minorEastAsia" w:hAnsiTheme="minorEastAsia" w:eastAsiaTheme="minorEastAsia"/>
                <w:szCs w:val="21"/>
              </w:rPr>
              <w:t>，</w:t>
            </w:r>
            <w:r>
              <w:rPr>
                <w:rFonts w:asciiTheme="minorEastAsia" w:hAnsiTheme="minorEastAsia" w:eastAsiaTheme="minorEastAsia"/>
                <w:szCs w:val="21"/>
              </w:rPr>
              <w:t>并在收到乙方提供的</w:t>
            </w:r>
            <w:r>
              <w:rPr>
                <w:rFonts w:hint="eastAsia" w:asciiTheme="minorEastAsia" w:hAnsiTheme="minorEastAsia" w:eastAsiaTheme="minorEastAsia"/>
                <w:szCs w:val="21"/>
              </w:rPr>
              <w:t>增值税专用发票30</w:t>
            </w:r>
            <w:r>
              <w:rPr>
                <w:rFonts w:asciiTheme="minorEastAsia" w:hAnsiTheme="minorEastAsia" w:eastAsiaTheme="minorEastAsia"/>
                <w:szCs w:val="21"/>
              </w:rPr>
              <w:t>个工作日内，以银行汇款方式向乙方支付</w:t>
            </w:r>
            <w:r>
              <w:rPr>
                <w:rFonts w:hint="eastAsia" w:asciiTheme="minorEastAsia" w:hAnsiTheme="minorEastAsia" w:eastAsiaTheme="minorEastAsia"/>
                <w:szCs w:val="21"/>
              </w:rPr>
              <w:t>。</w:t>
            </w:r>
          </w:p>
        </w:tc>
        <w:tc>
          <w:tcPr>
            <w:tcW w:w="2410"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付款至</w:t>
            </w:r>
            <w:r>
              <w:rPr>
                <w:rFonts w:asciiTheme="minorEastAsia" w:hAnsiTheme="minorEastAsia" w:eastAsiaTheme="minorEastAsia"/>
                <w:szCs w:val="21"/>
              </w:rPr>
              <w:t>合同总价的</w:t>
            </w:r>
            <w:r>
              <w:rPr>
                <w:rFonts w:hint="eastAsia" w:asciiTheme="minorEastAsia" w:hAnsiTheme="minorEastAsia" w:eastAsiaTheme="minorEastAsia"/>
                <w:szCs w:val="21"/>
              </w:rPr>
              <w:t>100</w:t>
            </w:r>
            <w:r>
              <w:rPr>
                <w:rFonts w:asciiTheme="minorEastAsia" w:hAnsiTheme="minorEastAsia" w:eastAsiaTheme="minorEastAsia"/>
                <w:szCs w:val="21"/>
              </w:rPr>
              <w:t>%</w:t>
            </w:r>
          </w:p>
        </w:tc>
        <w:tc>
          <w:tcPr>
            <w:tcW w:w="992" w:type="dxa"/>
          </w:tcPr>
          <w:p>
            <w:pPr>
              <w:spacing w:line="400" w:lineRule="exact"/>
              <w:rPr>
                <w:rFonts w:asciiTheme="minorEastAsia" w:hAnsiTheme="minorEastAsia"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709"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4、</w:t>
            </w:r>
          </w:p>
        </w:tc>
        <w:tc>
          <w:tcPr>
            <w:tcW w:w="1276" w:type="dxa"/>
          </w:tcPr>
          <w:p>
            <w:pPr>
              <w:spacing w:line="400" w:lineRule="exact"/>
              <w:rPr>
                <w:rFonts w:asciiTheme="minorEastAsia" w:hAnsiTheme="minorEastAsia" w:eastAsiaTheme="minorEastAsia"/>
                <w:szCs w:val="21"/>
              </w:rPr>
            </w:pPr>
            <w:r>
              <w:rPr>
                <w:rFonts w:asciiTheme="minorEastAsia" w:hAnsiTheme="minorEastAsia" w:eastAsiaTheme="minorEastAsia"/>
                <w:szCs w:val="21"/>
              </w:rPr>
              <w:t>返还质保金</w:t>
            </w:r>
          </w:p>
        </w:tc>
        <w:tc>
          <w:tcPr>
            <w:tcW w:w="3118" w:type="dxa"/>
          </w:tcPr>
          <w:p>
            <w:pPr>
              <w:spacing w:line="400" w:lineRule="exact"/>
              <w:rPr>
                <w:rFonts w:asciiTheme="minorEastAsia" w:hAnsiTheme="minorEastAsia" w:eastAsiaTheme="minorEastAsia"/>
                <w:szCs w:val="21"/>
              </w:rPr>
            </w:pPr>
            <w:r>
              <w:rPr>
                <w:rFonts w:hint="eastAsia" w:asciiTheme="minorEastAsia" w:hAnsiTheme="minorEastAsia" w:eastAsiaTheme="minorEastAsia"/>
                <w:szCs w:val="21"/>
              </w:rPr>
              <w:t>验收合格满一年后，甲方返还乙方合同总价</w:t>
            </w:r>
            <w:r>
              <w:rPr>
                <w:rFonts w:asciiTheme="minorEastAsia" w:hAnsiTheme="minorEastAsia" w:eastAsiaTheme="minorEastAsia"/>
                <w:szCs w:val="21"/>
              </w:rPr>
              <w:t>5</w:t>
            </w:r>
            <w:r>
              <w:rPr>
                <w:rFonts w:hint="eastAsia" w:asciiTheme="minorEastAsia" w:hAnsiTheme="minorEastAsia" w:eastAsiaTheme="minorEastAsia"/>
                <w:szCs w:val="21"/>
              </w:rPr>
              <w:t>％的质量保证金。</w:t>
            </w:r>
          </w:p>
        </w:tc>
        <w:tc>
          <w:tcPr>
            <w:tcW w:w="2410" w:type="dxa"/>
          </w:tcPr>
          <w:p>
            <w:pPr>
              <w:spacing w:line="400" w:lineRule="exact"/>
              <w:rPr>
                <w:rFonts w:asciiTheme="minorEastAsia" w:hAnsiTheme="minorEastAsia" w:eastAsiaTheme="minorEastAsia"/>
                <w:szCs w:val="21"/>
              </w:rPr>
            </w:pPr>
          </w:p>
        </w:tc>
        <w:tc>
          <w:tcPr>
            <w:tcW w:w="992" w:type="dxa"/>
          </w:tcPr>
          <w:p>
            <w:pPr>
              <w:spacing w:line="400" w:lineRule="exact"/>
              <w:rPr>
                <w:rFonts w:asciiTheme="minorEastAsia" w:hAnsiTheme="minorEastAsia" w:eastAsiaTheme="minorEastAsia"/>
                <w:szCs w:val="21"/>
              </w:rPr>
            </w:pPr>
          </w:p>
        </w:tc>
      </w:tr>
    </w:tbl>
    <w:p>
      <w:pPr>
        <w:spacing w:line="400" w:lineRule="exact"/>
        <w:rPr>
          <w:rFonts w:asciiTheme="minorEastAsia" w:hAnsiTheme="minorEastAsia" w:eastAsiaTheme="minorEastAsia"/>
          <w:szCs w:val="21"/>
        </w:rPr>
      </w:pPr>
    </w:p>
    <w:p>
      <w:pPr>
        <w:pStyle w:val="2"/>
        <w:spacing w:before="0" w:after="0" w:line="240" w:lineRule="auto"/>
        <w:rPr>
          <w:rFonts w:ascii="黑体" w:hAnsi="黑体" w:eastAsia="黑体"/>
          <w:sz w:val="32"/>
          <w:szCs w:val="32"/>
        </w:rPr>
      </w:pPr>
      <w:r>
        <w:rPr>
          <w:rFonts w:hint="eastAsia" w:ascii="黑体" w:hAnsi="黑体" w:eastAsia="黑体"/>
          <w:sz w:val="32"/>
          <w:szCs w:val="32"/>
        </w:rPr>
        <w:t>八、投标人资质要求</w:t>
      </w:r>
    </w:p>
    <w:p>
      <w:pPr>
        <w:ind w:left="283" w:hanging="283" w:hangingChars="135"/>
        <w:rPr>
          <w:rFonts w:ascii="宋体" w:hAnsi="宋体"/>
          <w:szCs w:val="21"/>
        </w:rPr>
      </w:pPr>
      <w:r>
        <w:rPr>
          <w:rFonts w:hint="eastAsia" w:ascii="宋体" w:hAnsi="宋体"/>
          <w:szCs w:val="21"/>
        </w:rPr>
        <w:t>1、投标商必须具有工信部颁发的信息系统集成三级资质。蓄电池需提供全国工业生产许可证。</w:t>
      </w:r>
    </w:p>
    <w:p>
      <w:pPr>
        <w:ind w:left="283" w:hanging="283" w:hangingChars="135"/>
        <w:rPr>
          <w:rFonts w:ascii="宋体" w:hAnsi="宋体"/>
          <w:szCs w:val="21"/>
        </w:rPr>
      </w:pPr>
      <w:r>
        <w:rPr>
          <w:rFonts w:hint="eastAsia" w:ascii="宋体" w:hAnsi="宋体"/>
          <w:szCs w:val="21"/>
        </w:rPr>
        <w:t>2、投标商需要提供UPS设备原厂商针对此项目的授权；所有报价设备的生产、制造、安装等，各项技术标准应当符合国家（强制性）标准、各项规范要求。</w:t>
      </w:r>
    </w:p>
    <w:p>
      <w:pPr>
        <w:ind w:left="283" w:hanging="283" w:hangingChars="135"/>
        <w:rPr>
          <w:rFonts w:ascii="宋体" w:hAnsi="宋体"/>
          <w:szCs w:val="21"/>
        </w:rPr>
      </w:pPr>
      <w:r>
        <w:rPr>
          <w:rFonts w:hint="eastAsia" w:ascii="宋体" w:hAnsi="宋体"/>
          <w:szCs w:val="21"/>
        </w:rPr>
        <w:t>3、投标商应指定专门的技术支持人员与用户保持联系，以减少交流的中间环节，提高服务效率。该技术支持人员须为用户提供24小时电话服务，如电话沟通无法解决，需及时到客户现场实施技术支持，响应时间不超过2小时。</w:t>
      </w:r>
    </w:p>
    <w:p>
      <w:pPr>
        <w:ind w:left="283" w:hanging="283" w:hangingChars="135"/>
        <w:rPr>
          <w:rFonts w:ascii="宋体" w:hAnsi="宋体"/>
          <w:szCs w:val="21"/>
        </w:rPr>
      </w:pPr>
      <w:r>
        <w:rPr>
          <w:rFonts w:hint="eastAsia" w:ascii="宋体" w:hAnsi="宋体"/>
          <w:szCs w:val="21"/>
        </w:rPr>
        <w:t>4、质保期内定期上门系统巡检，质保期内前18个月要求每半年上门巡检一次，质保期内后18个月要求每季度上门巡检一次。</w:t>
      </w:r>
    </w:p>
    <w:p>
      <w:pPr>
        <w:ind w:left="283" w:hanging="283" w:hangingChars="135"/>
        <w:rPr>
          <w:rFonts w:ascii="宋体" w:hAnsi="宋体"/>
          <w:szCs w:val="21"/>
        </w:rPr>
      </w:pPr>
      <w:r>
        <w:rPr>
          <w:rFonts w:hint="eastAsia" w:ascii="宋体" w:hAnsi="宋体"/>
          <w:szCs w:val="21"/>
        </w:rPr>
        <w:t>5、投标商应明确给出各项单价，报价应包含机房布线价格、安装调试、运费、售后服务等为完成本项目发生的所有费用。</w:t>
      </w:r>
    </w:p>
    <w:p>
      <w:pPr>
        <w:spacing w:line="400" w:lineRule="exact"/>
        <w:rPr>
          <w:rFonts w:eastAsiaTheme="minorEastAsia"/>
          <w:szCs w:val="21"/>
        </w:rPr>
      </w:pPr>
    </w:p>
    <w:p>
      <w:pPr>
        <w:spacing w:line="400" w:lineRule="exact"/>
        <w:ind w:firstLine="420" w:firstLineChars="200"/>
        <w:rPr>
          <w:rFonts w:eastAsiaTheme="minorEastAsia"/>
          <w:szCs w:val="21"/>
        </w:rPr>
      </w:pPr>
    </w:p>
    <w:p>
      <w:pPr>
        <w:widowControl/>
        <w:jc w:val="left"/>
        <w:rPr>
          <w:rFonts w:eastAsiaTheme="minorEastAsia"/>
          <w:szCs w:val="21"/>
        </w:rPr>
      </w:pPr>
      <w:r>
        <w:rPr>
          <w:rFonts w:eastAsiaTheme="minorEastAsia"/>
          <w:szCs w:val="21"/>
        </w:rPr>
        <w:br w:type="page"/>
      </w:r>
    </w:p>
    <w:p>
      <w:pPr>
        <w:pStyle w:val="3"/>
        <w:spacing w:line="415" w:lineRule="auto"/>
        <w:ind w:left="420" w:hanging="420"/>
        <w:jc w:val="center"/>
        <w:rPr>
          <w:rFonts w:ascii="Times New Roman" w:hAnsi="Times New Roman" w:eastAsiaTheme="majorEastAsia"/>
        </w:rPr>
      </w:pPr>
      <w:bookmarkStart w:id="55" w:name="_Ref477961953"/>
      <w:bookmarkStart w:id="56" w:name="_Toc477981723"/>
      <w:r>
        <w:rPr>
          <w:rFonts w:ascii="Times New Roman" w:hAnsi="Times New Roman" w:eastAsiaTheme="majorEastAsia"/>
        </w:rPr>
        <w:t>第六部分  谈判响应文件格式</w:t>
      </w:r>
      <w:bookmarkEnd w:id="55"/>
      <w:bookmarkEnd w:id="56"/>
    </w:p>
    <w:p>
      <w:pPr>
        <w:pStyle w:val="4"/>
        <w:keepNext/>
        <w:keepLines/>
        <w:numPr>
          <w:ilvl w:val="0"/>
          <w:numId w:val="39"/>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57" w:name="_Toc477981724"/>
      <w:r>
        <w:rPr>
          <w:rFonts w:ascii="Times New Roman" w:hAnsi="Times New Roman" w:eastAsiaTheme="minorEastAsia"/>
          <w:bCs/>
          <w:kern w:val="2"/>
          <w:sz w:val="32"/>
          <w:szCs w:val="32"/>
        </w:rPr>
        <w:t>谈判供应商提交文件须知</w:t>
      </w:r>
      <w:bookmarkEnd w:id="57"/>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谈判供应商应严格按照以下顺序填写和提交下述规定的全部格式文件以及其他有关资料，</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混乱的编排以致谈判响应文件被误读或采购中心查找不到有效文件，后果由谈判供应商承担。</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所附表格中要求回答的全部问题和信息都必须正面回答。</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本资格声明的签字人保证全部声明和问题的回答是真实的和准确的。</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采购中心将应用谈判供应商提交的资料并根据自己的判断，决定谈判供应商履行合同的合格性及能力。</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谈判供应商提交的材料将被保密保存，但不退还。</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全部文件应按谈判供应商须知中规定的语言和份数提交。</w:t>
      </w:r>
    </w:p>
    <w:p>
      <w:pPr>
        <w:pStyle w:val="46"/>
        <w:widowControl/>
        <w:numPr>
          <w:ilvl w:val="0"/>
          <w:numId w:val="40"/>
        </w:numPr>
        <w:snapToGrid w:val="0"/>
        <w:spacing w:line="400" w:lineRule="exact"/>
        <w:ind w:firstLineChars="0"/>
        <w:rPr>
          <w:rFonts w:eastAsiaTheme="minorEastAsia"/>
          <w:kern w:val="0"/>
          <w:szCs w:val="21"/>
        </w:rPr>
      </w:pPr>
      <w:r>
        <w:rPr>
          <w:rFonts w:eastAsiaTheme="minorEastAsia"/>
          <w:kern w:val="0"/>
          <w:szCs w:val="21"/>
        </w:rPr>
        <w:t>采购人或采购中心将保留对谈判供应商提供的全部资料进行核实的权利，一旦发现供应商存在弄虚作假、捏造事实等情况，不仅该供应商的谈判将被拒绝，而且将被提请有关部门按照政府采购相关规定进行处理。</w:t>
      </w:r>
    </w:p>
    <w:p>
      <w:pPr>
        <w:pStyle w:val="4"/>
        <w:keepNext/>
        <w:keepLines/>
        <w:numPr>
          <w:ilvl w:val="0"/>
          <w:numId w:val="39"/>
        </w:numPr>
        <w:spacing w:before="260" w:beforeAutospacing="0" w:after="260" w:afterAutospacing="0" w:line="415" w:lineRule="auto"/>
        <w:jc w:val="both"/>
        <w:rPr>
          <w:rFonts w:hint="default" w:ascii="Times New Roman" w:hAnsi="Times New Roman" w:eastAsiaTheme="minorEastAsia"/>
          <w:bCs/>
          <w:kern w:val="2"/>
          <w:sz w:val="32"/>
          <w:szCs w:val="32"/>
        </w:rPr>
      </w:pPr>
      <w:r>
        <w:rPr>
          <w:rFonts w:eastAsiaTheme="minorEastAsia"/>
          <w:b w:val="0"/>
          <w:szCs w:val="21"/>
        </w:rPr>
        <w:br w:type="page"/>
      </w:r>
      <w:bookmarkStart w:id="58" w:name="_Toc477459654"/>
      <w:bookmarkStart w:id="59" w:name="_Toc477981725"/>
      <w:r>
        <w:rPr>
          <w:rFonts w:ascii="Times New Roman" w:hAnsi="Times New Roman" w:eastAsiaTheme="minorEastAsia"/>
          <w:bCs/>
          <w:kern w:val="2"/>
          <w:sz w:val="32"/>
          <w:szCs w:val="32"/>
        </w:rPr>
        <w:t>响应文件顺序</w:t>
      </w:r>
      <w:bookmarkEnd w:id="58"/>
      <w:bookmarkEnd w:id="59"/>
    </w:p>
    <w:p>
      <w:pPr>
        <w:pStyle w:val="40"/>
      </w:pPr>
      <w:r>
        <w:t>响应人应严格按照本部分约定的顺序填写和提交规定的全部格式文件以及其他有关资料，混乱的编排导致谈判文件被误读或查找不到，后果由响应人承担。</w:t>
      </w:r>
    </w:p>
    <w:p>
      <w:pPr>
        <w:pStyle w:val="40"/>
        <w:numPr>
          <w:ilvl w:val="0"/>
          <w:numId w:val="41"/>
        </w:numPr>
        <w:ind w:firstLineChars="0"/>
      </w:pPr>
      <w:r>
        <w:fldChar w:fldCharType="begin"/>
      </w:r>
      <w:r>
        <w:instrText xml:space="preserve"> REF _Ref477980358 \h  \* MERGEFORMAT </w:instrText>
      </w:r>
      <w:r>
        <w:fldChar w:fldCharType="separate"/>
      </w:r>
      <w:r>
        <w:t>供应商参与谈判确认函</w:t>
      </w:r>
      <w:r>
        <w:fldChar w:fldCharType="end"/>
      </w:r>
      <w:r>
        <w:rPr>
          <w:rFonts w:hint="eastAsia"/>
        </w:rPr>
        <w:t>：</w:t>
      </w:r>
      <w:r>
        <w:t>见</w:t>
      </w:r>
      <w:r>
        <w:fldChar w:fldCharType="begin"/>
      </w:r>
      <w:r>
        <w:instrText xml:space="preserve"> REF _Ref477980380 \r \h  \* MERGEFORMAT </w:instrText>
      </w:r>
      <w:r>
        <w:fldChar w:fldCharType="separate"/>
      </w:r>
      <w:r>
        <w:rPr>
          <w:rFonts w:hint="eastAsia"/>
        </w:rPr>
        <w:t>附件1</w:t>
      </w:r>
      <w:r>
        <w:fldChar w:fldCharType="end"/>
      </w:r>
      <w:r>
        <w:rPr>
          <w:rFonts w:hint="eastAsia"/>
        </w:rPr>
        <w:t>；</w:t>
      </w:r>
    </w:p>
    <w:p>
      <w:pPr>
        <w:pStyle w:val="40"/>
        <w:numPr>
          <w:ilvl w:val="0"/>
          <w:numId w:val="41"/>
        </w:numPr>
        <w:ind w:firstLineChars="0"/>
      </w:pPr>
      <w:r>
        <w:fldChar w:fldCharType="begin"/>
      </w:r>
      <w:r>
        <w:instrText xml:space="preserve"> REF _Ref477980366 \h  \* MERGEFORMAT </w:instrText>
      </w:r>
      <w:r>
        <w:fldChar w:fldCharType="separate"/>
      </w:r>
      <w:r>
        <w:t>承诺函</w:t>
      </w:r>
      <w:r>
        <w:fldChar w:fldCharType="end"/>
      </w:r>
      <w:r>
        <w:rPr>
          <w:rFonts w:hint="eastAsia"/>
        </w:rPr>
        <w:t>：</w:t>
      </w:r>
      <w:r>
        <w:t>见</w:t>
      </w:r>
      <w:r>
        <w:fldChar w:fldCharType="begin"/>
      </w:r>
      <w:r>
        <w:instrText xml:space="preserve"> REF _Ref477980388 \r \h  \* MERGEFORMAT </w:instrText>
      </w:r>
      <w:r>
        <w:fldChar w:fldCharType="separate"/>
      </w:r>
      <w:r>
        <w:rPr>
          <w:rFonts w:hint="eastAsia"/>
        </w:rPr>
        <w:t>附件2</w:t>
      </w:r>
      <w:r>
        <w:fldChar w:fldCharType="end"/>
      </w:r>
      <w:r>
        <w:rPr>
          <w:rFonts w:hint="eastAsia"/>
        </w:rPr>
        <w:t>；</w:t>
      </w:r>
    </w:p>
    <w:p>
      <w:pPr>
        <w:pStyle w:val="40"/>
        <w:numPr>
          <w:ilvl w:val="0"/>
          <w:numId w:val="41"/>
        </w:numPr>
        <w:ind w:firstLineChars="0"/>
      </w:pPr>
      <w:r>
        <w:fldChar w:fldCharType="begin"/>
      </w:r>
      <w:r>
        <w:instrText xml:space="preserve"> REF _Ref477980367 \h  \* MERGEFORMAT </w:instrText>
      </w:r>
      <w:r>
        <w:fldChar w:fldCharType="separate"/>
      </w:r>
      <w:r>
        <w:t>法定代表人授权委托书</w:t>
      </w:r>
      <w:r>
        <w:fldChar w:fldCharType="end"/>
      </w:r>
      <w:r>
        <w:rPr>
          <w:rFonts w:hint="eastAsia"/>
        </w:rPr>
        <w:t>：</w:t>
      </w:r>
      <w:r>
        <w:t>见</w:t>
      </w:r>
      <w:r>
        <w:fldChar w:fldCharType="begin"/>
      </w:r>
      <w:r>
        <w:instrText xml:space="preserve"> REF _Ref477980389 \r \h  \* MERGEFORMAT </w:instrText>
      </w:r>
      <w:r>
        <w:fldChar w:fldCharType="separate"/>
      </w:r>
      <w:r>
        <w:rPr>
          <w:rFonts w:hint="eastAsia"/>
        </w:rPr>
        <w:t>附件3</w:t>
      </w:r>
      <w:r>
        <w:fldChar w:fldCharType="end"/>
      </w:r>
      <w:r>
        <w:rPr>
          <w:rFonts w:hint="eastAsia"/>
        </w:rPr>
        <w:t>；</w:t>
      </w:r>
    </w:p>
    <w:p>
      <w:pPr>
        <w:pStyle w:val="40"/>
        <w:numPr>
          <w:ilvl w:val="0"/>
          <w:numId w:val="41"/>
        </w:numPr>
        <w:ind w:firstLineChars="0"/>
      </w:pPr>
      <w:r>
        <w:rPr>
          <w:rFonts w:hint="eastAsia"/>
        </w:rPr>
        <w:t>营业执照或相关材料：</w:t>
      </w:r>
    </w:p>
    <w:p>
      <w:pPr>
        <w:pStyle w:val="40"/>
      </w:pPr>
      <w:r>
        <w:rPr>
          <w:rFonts w:hint="eastAsia"/>
        </w:rPr>
        <w:t>提交有效的企业法人营业执照副本复印件，并加盖供应商公章（按照工商企字[2014]30号《工商总局关于启用新版营业执照有关问题的通知》执行）；</w:t>
      </w:r>
    </w:p>
    <w:p>
      <w:pPr>
        <w:pStyle w:val="40"/>
        <w:numPr>
          <w:ilvl w:val="0"/>
          <w:numId w:val="41"/>
        </w:numPr>
        <w:ind w:firstLineChars="0"/>
      </w:pPr>
      <w:r>
        <w:fldChar w:fldCharType="begin"/>
      </w:r>
      <w:r>
        <w:instrText xml:space="preserve"> REF _Ref477980368 \h  \* MERGEFORMAT </w:instrText>
      </w:r>
      <w:r>
        <w:fldChar w:fldCharType="separate"/>
      </w:r>
      <w:r>
        <w:t>制造厂家授权委托书</w:t>
      </w:r>
      <w:r>
        <w:fldChar w:fldCharType="end"/>
      </w:r>
      <w:r>
        <w:rPr>
          <w:rFonts w:hint="eastAsia"/>
        </w:rPr>
        <w:t>：</w:t>
      </w:r>
      <w:r>
        <w:t>见</w:t>
      </w:r>
      <w:r>
        <w:fldChar w:fldCharType="begin"/>
      </w:r>
      <w:r>
        <w:instrText xml:space="preserve"> REF _Ref477980390 \r \h  \* MERGEFORMAT </w:instrText>
      </w:r>
      <w:r>
        <w:fldChar w:fldCharType="separate"/>
      </w:r>
      <w:r>
        <w:rPr>
          <w:rFonts w:hint="eastAsia"/>
        </w:rPr>
        <w:t>附件4</w:t>
      </w:r>
      <w:r>
        <w:fldChar w:fldCharType="end"/>
      </w:r>
      <w:r>
        <w:rPr>
          <w:rFonts w:hint="eastAsia"/>
        </w:rPr>
        <w:t>；</w:t>
      </w:r>
    </w:p>
    <w:p>
      <w:pPr>
        <w:pStyle w:val="40"/>
        <w:numPr>
          <w:ilvl w:val="0"/>
          <w:numId w:val="41"/>
        </w:numPr>
        <w:ind w:firstLineChars="0"/>
      </w:pPr>
      <w:r>
        <w:rPr>
          <w:rFonts w:hint="eastAsia"/>
        </w:rPr>
        <w:t>财务报告等相关材料</w:t>
      </w:r>
    </w:p>
    <w:p>
      <w:pPr>
        <w:pStyle w:val="40"/>
      </w:pPr>
      <w:r>
        <w:rPr>
          <w:rFonts w:hint="eastAsia"/>
        </w:rPr>
        <w:t>（1）开标日期为上半年的，提供近两个年度任一年度经第三方会计师事务所审计的企业财务报告及其附件复印件或其基本开户银行出具的资信证明原件或扫描件。</w:t>
      </w:r>
    </w:p>
    <w:p>
      <w:pPr>
        <w:pStyle w:val="40"/>
      </w:pPr>
      <w:r>
        <w:rPr>
          <w:rFonts w:hint="eastAsia"/>
        </w:rPr>
        <w:t>（2）开标日期为下半年的，提供上年度经第三方会计师事务所审计的企业财务报告及其附件复印件或其基本开户银行出具的资信证明原件或扫描件。</w:t>
      </w:r>
    </w:p>
    <w:p>
      <w:pPr>
        <w:pStyle w:val="40"/>
        <w:numPr>
          <w:ilvl w:val="0"/>
          <w:numId w:val="41"/>
        </w:numPr>
        <w:ind w:firstLineChars="0"/>
      </w:pPr>
      <w:r>
        <w:rPr>
          <w:rFonts w:hint="eastAsia"/>
        </w:rPr>
        <w:t>纳税和社保费用相关证明材料：</w:t>
      </w:r>
    </w:p>
    <w:p>
      <w:pPr>
        <w:pStyle w:val="40"/>
      </w:pPr>
      <w:r>
        <w:rPr>
          <w:rFonts w:hint="eastAsia"/>
        </w:rPr>
        <w:t>报价供应商应提交自谈判响应文件截止之日起前半年内连续三个月份依法缴纳税收和社会保险费的相关证明材料；</w:t>
      </w:r>
    </w:p>
    <w:p>
      <w:pPr>
        <w:pStyle w:val="40"/>
        <w:numPr>
          <w:ilvl w:val="0"/>
          <w:numId w:val="41"/>
        </w:numPr>
        <w:ind w:firstLineChars="0"/>
      </w:pPr>
      <w:r>
        <w:rPr>
          <w:rFonts w:hint="eastAsia"/>
        </w:rPr>
        <w:t>纳税和社保费用相关证明材料：</w:t>
      </w:r>
    </w:p>
    <w:p>
      <w:pPr>
        <w:pStyle w:val="40"/>
      </w:pPr>
      <w:r>
        <w:rPr>
          <w:rFonts w:hint="eastAsia"/>
        </w:rPr>
        <w:t>报价供应商应提交自谈判响应文件截止之日起前半年内连续三个月份依法缴纳税收和社会保险费的相关证明材料；</w:t>
      </w:r>
    </w:p>
    <w:p>
      <w:pPr>
        <w:pStyle w:val="40"/>
        <w:numPr>
          <w:ilvl w:val="0"/>
          <w:numId w:val="41"/>
        </w:numPr>
        <w:ind w:firstLineChars="0"/>
      </w:pPr>
      <w:r>
        <w:rPr>
          <w:rFonts w:hint="eastAsia"/>
        </w:rPr>
        <w:t>提交参与采购活动前三年内在经营活动中没有重大违法记录的书面声明函；</w:t>
      </w:r>
    </w:p>
    <w:p>
      <w:pPr>
        <w:pStyle w:val="40"/>
        <w:numPr>
          <w:ilvl w:val="0"/>
          <w:numId w:val="41"/>
        </w:numPr>
        <w:ind w:firstLineChars="0"/>
      </w:pPr>
      <w:r>
        <w:fldChar w:fldCharType="begin"/>
      </w:r>
      <w:r>
        <w:instrText xml:space="preserve"> REF _Ref477980369 \h  \* MERGEFORMAT </w:instrText>
      </w:r>
      <w:r>
        <w:fldChar w:fldCharType="separate"/>
      </w:r>
      <w:r>
        <w:t>商务文件偏离表</w:t>
      </w:r>
      <w:r>
        <w:fldChar w:fldCharType="end"/>
      </w:r>
      <w:r>
        <w:rPr>
          <w:rFonts w:hint="eastAsia"/>
        </w:rPr>
        <w:t>：</w:t>
      </w:r>
      <w:r>
        <w:t>见</w:t>
      </w:r>
      <w:r>
        <w:fldChar w:fldCharType="begin"/>
      </w:r>
      <w:r>
        <w:instrText xml:space="preserve"> REF _Ref477980392 \r \h  \* MERGEFORMAT </w:instrText>
      </w:r>
      <w:r>
        <w:fldChar w:fldCharType="separate"/>
      </w:r>
      <w:r>
        <w:rPr>
          <w:rFonts w:hint="eastAsia"/>
        </w:rPr>
        <w:t>附件5</w:t>
      </w:r>
      <w:r>
        <w:fldChar w:fldCharType="end"/>
      </w:r>
    </w:p>
    <w:p>
      <w:pPr>
        <w:pStyle w:val="40"/>
        <w:numPr>
          <w:ilvl w:val="0"/>
          <w:numId w:val="41"/>
        </w:numPr>
        <w:ind w:firstLineChars="0"/>
      </w:pPr>
      <w:r>
        <w:rPr>
          <w:rFonts w:hint="eastAsia"/>
        </w:rPr>
        <w:t>谈判供应商认为需要提供的其他商务资料。</w:t>
      </w:r>
    </w:p>
    <w:p>
      <w:pPr>
        <w:pStyle w:val="40"/>
        <w:numPr>
          <w:ilvl w:val="0"/>
          <w:numId w:val="41"/>
        </w:numPr>
        <w:ind w:firstLineChars="0"/>
      </w:pPr>
      <w:r>
        <w:fldChar w:fldCharType="begin"/>
      </w:r>
      <w:r>
        <w:instrText xml:space="preserve"> REF _Ref477978168 \h  \* MERGEFORMAT </w:instrText>
      </w:r>
      <w:r>
        <w:fldChar w:fldCharType="separate"/>
      </w:r>
      <w:r>
        <w:t>报价一览表</w:t>
      </w:r>
      <w:r>
        <w:fldChar w:fldCharType="end"/>
      </w:r>
      <w:r>
        <w:rPr>
          <w:rFonts w:hint="eastAsia"/>
        </w:rPr>
        <w:t>：</w:t>
      </w:r>
      <w:r>
        <w:t>见</w:t>
      </w:r>
      <w:r>
        <w:fldChar w:fldCharType="begin"/>
      </w:r>
      <w:r>
        <w:instrText xml:space="preserve"> REF _Ref477978168 \r \h  \* MERGEFORMAT </w:instrText>
      </w:r>
      <w:r>
        <w:fldChar w:fldCharType="separate"/>
      </w:r>
      <w:r>
        <w:rPr>
          <w:rFonts w:hint="eastAsia"/>
        </w:rPr>
        <w:t>附件6</w:t>
      </w:r>
      <w:r>
        <w:fldChar w:fldCharType="end"/>
      </w:r>
      <w:r>
        <w:rPr>
          <w:rFonts w:hint="eastAsia"/>
        </w:rPr>
        <w:t>；</w:t>
      </w:r>
    </w:p>
    <w:p>
      <w:pPr>
        <w:pStyle w:val="40"/>
        <w:numPr>
          <w:ilvl w:val="0"/>
          <w:numId w:val="41"/>
        </w:numPr>
        <w:ind w:firstLineChars="0"/>
      </w:pPr>
      <w:r>
        <w:fldChar w:fldCharType="begin"/>
      </w:r>
      <w:r>
        <w:instrText xml:space="preserve"> REF _Ref477978171 \h  \* MERGEFORMAT </w:instrText>
      </w:r>
      <w:r>
        <w:fldChar w:fldCharType="separate"/>
      </w:r>
      <w:r>
        <w:t>技术规范偏离表</w:t>
      </w:r>
      <w:r>
        <w:fldChar w:fldCharType="end"/>
      </w:r>
      <w:r>
        <w:rPr>
          <w:rFonts w:hint="eastAsia"/>
        </w:rPr>
        <w:t>：</w:t>
      </w:r>
      <w:r>
        <w:t>见</w:t>
      </w:r>
      <w:r>
        <w:fldChar w:fldCharType="begin"/>
      </w:r>
      <w:r>
        <w:instrText xml:space="preserve"> REF _Ref477978171 \r \h  \* MERGEFORMAT </w:instrText>
      </w:r>
      <w:r>
        <w:fldChar w:fldCharType="separate"/>
      </w:r>
      <w:r>
        <w:rPr>
          <w:rFonts w:hint="eastAsia"/>
        </w:rPr>
        <w:t>附件7</w:t>
      </w:r>
      <w:r>
        <w:fldChar w:fldCharType="end"/>
      </w:r>
      <w:r>
        <w:rPr>
          <w:rFonts w:hint="eastAsia"/>
        </w:rPr>
        <w:t>；</w:t>
      </w:r>
    </w:p>
    <w:p>
      <w:pPr>
        <w:pStyle w:val="40"/>
        <w:numPr>
          <w:ilvl w:val="0"/>
          <w:numId w:val="41"/>
        </w:numPr>
        <w:ind w:firstLineChars="0"/>
      </w:pPr>
      <w:r>
        <w:rPr>
          <w:rFonts w:hint="eastAsia"/>
        </w:rPr>
        <w:t>投标人自行编写的技术文件：</w:t>
      </w:r>
    </w:p>
    <w:p>
      <w:pPr>
        <w:pStyle w:val="40"/>
      </w:pPr>
      <w:r>
        <w:rPr>
          <w:rFonts w:hint="eastAsia"/>
        </w:rPr>
        <w:t>自拟，可包括关键部件明细表（包括品牌、制造厂家名称和国别）、标的物安装及验收标准（须提供验证投标产品是原装正品的方法或凭证）等与本项目要求有关的内容，且无须与前述要求重复。</w:t>
      </w:r>
    </w:p>
    <w:p>
      <w:pPr>
        <w:pStyle w:val="40"/>
        <w:numPr>
          <w:ilvl w:val="0"/>
          <w:numId w:val="41"/>
        </w:numPr>
        <w:ind w:firstLineChars="0"/>
      </w:pPr>
      <w:r>
        <w:rPr>
          <w:rFonts w:hint="eastAsia"/>
        </w:rPr>
        <w:t>技术说明书</w:t>
      </w:r>
    </w:p>
    <w:p>
      <w:pPr>
        <w:pStyle w:val="40"/>
      </w:pPr>
      <w:r>
        <w:rPr>
          <w:rFonts w:hint="eastAsia"/>
        </w:rPr>
        <w:t>包括标的物主要技术指标和运行性能的详细描述；投标人应当提供国家相关部门出具的设备检测报告、国家相关部门认证或公开宣传的印刷资料，并与投标文件共同装订成册，未提供相关资料或未装订成册的，不作为评审依据；</w:t>
      </w:r>
    </w:p>
    <w:p>
      <w:pPr>
        <w:pStyle w:val="40"/>
        <w:numPr>
          <w:ilvl w:val="0"/>
          <w:numId w:val="41"/>
        </w:numPr>
        <w:ind w:firstLineChars="0"/>
      </w:pPr>
      <w:r>
        <w:rPr>
          <w:rFonts w:hint="eastAsia"/>
        </w:rPr>
        <w:t>项目实施方案</w:t>
      </w:r>
    </w:p>
    <w:p>
      <w:pPr>
        <w:pStyle w:val="40"/>
      </w:pPr>
      <w:r>
        <w:rPr>
          <w:rFonts w:hint="eastAsia"/>
        </w:rPr>
        <w:t>应当包括开发进度计划，集成方案、测试调试方案、安全方案、应急措施以及投标人认为需要采取的其他有利措施方案；</w:t>
      </w:r>
    </w:p>
    <w:p>
      <w:pPr>
        <w:pStyle w:val="40"/>
      </w:pPr>
      <w:r>
        <w:rPr>
          <w:rFonts w:hint="eastAsia"/>
        </w:rPr>
        <w:t>售后培训、维修和服务计划表：</w:t>
      </w:r>
    </w:p>
    <w:p>
      <w:pPr>
        <w:pStyle w:val="40"/>
      </w:pPr>
      <w:r>
        <w:rPr>
          <w:rFonts w:hint="eastAsia"/>
        </w:rPr>
        <w:t>标的物技术支持和售后服务的程序、内容及措施。</w:t>
      </w:r>
    </w:p>
    <w:p>
      <w:pPr>
        <w:pStyle w:val="40"/>
      </w:pPr>
      <w:r>
        <w:rPr>
          <w:rFonts w:hint="eastAsia"/>
        </w:rPr>
        <w:t>售后服务网点明细表</w:t>
      </w:r>
    </w:p>
    <w:p>
      <w:pPr>
        <w:pStyle w:val="40"/>
        <w:numPr>
          <w:ilvl w:val="0"/>
          <w:numId w:val="41"/>
        </w:numPr>
        <w:ind w:firstLineChars="0"/>
      </w:pPr>
      <w:r>
        <w:rPr>
          <w:rFonts w:hint="eastAsia"/>
        </w:rPr>
        <w:t>生产设备厂家在用户所在地售后服务网点明细表，包括：</w:t>
      </w:r>
    </w:p>
    <w:p>
      <w:pPr>
        <w:pStyle w:val="40"/>
        <w:numPr>
          <w:ilvl w:val="0"/>
          <w:numId w:val="42"/>
        </w:numPr>
        <w:ind w:firstLineChars="0"/>
      </w:pPr>
      <w:r>
        <w:rPr>
          <w:rFonts w:hint="eastAsia"/>
        </w:rPr>
        <w:t>响应供应商指定的成交后本项目总负责人&lt;即项目经理&gt;姓名、职务和详细联系方法；总负责人全权负责有关的咨询查询、签定执行合同、无条件履行售后服务承诺等事务；</w:t>
      </w:r>
    </w:p>
    <w:p>
      <w:pPr>
        <w:pStyle w:val="40"/>
        <w:numPr>
          <w:ilvl w:val="0"/>
          <w:numId w:val="42"/>
        </w:numPr>
        <w:ind w:firstLineChars="0"/>
      </w:pPr>
      <w:r>
        <w:rPr>
          <w:rFonts w:hint="eastAsia"/>
        </w:rPr>
        <w:t>统一销售热线；</w:t>
      </w:r>
    </w:p>
    <w:p>
      <w:pPr>
        <w:pStyle w:val="40"/>
        <w:numPr>
          <w:ilvl w:val="0"/>
          <w:numId w:val="42"/>
        </w:numPr>
        <w:ind w:firstLineChars="0"/>
      </w:pPr>
      <w:r>
        <w:rPr>
          <w:rFonts w:hint="eastAsia"/>
        </w:rPr>
        <w:t>销售及售后服务代理网点的详细地址、电话、传真。</w:t>
      </w:r>
    </w:p>
    <w:p>
      <w:pPr>
        <w:pStyle w:val="40"/>
        <w:numPr>
          <w:ilvl w:val="0"/>
          <w:numId w:val="41"/>
        </w:numPr>
        <w:ind w:firstLineChars="0"/>
      </w:pPr>
      <w:r>
        <w:fldChar w:fldCharType="begin"/>
      </w:r>
      <w:r>
        <w:instrText xml:space="preserve"> REF _Ref477978174 \h  \* MERGEFORMAT </w:instrText>
      </w:r>
      <w:r>
        <w:fldChar w:fldCharType="separate"/>
      </w:r>
      <w:r>
        <w:t>响应供应商服务项目偏离表</w:t>
      </w:r>
      <w:r>
        <w:fldChar w:fldCharType="end"/>
      </w:r>
      <w:r>
        <w:rPr>
          <w:rFonts w:hint="eastAsia"/>
        </w:rPr>
        <w:t>：</w:t>
      </w:r>
      <w:r>
        <w:t>见</w:t>
      </w:r>
      <w:r>
        <w:fldChar w:fldCharType="begin"/>
      </w:r>
      <w:r>
        <w:instrText xml:space="preserve"> REF _Ref477978174 \r \h  \* MERGEFORMAT </w:instrText>
      </w:r>
      <w:r>
        <w:fldChar w:fldCharType="separate"/>
      </w:r>
      <w:r>
        <w:rPr>
          <w:rFonts w:hint="eastAsia"/>
        </w:rPr>
        <w:t>附件9</w:t>
      </w:r>
      <w:r>
        <w:fldChar w:fldCharType="end"/>
      </w:r>
    </w:p>
    <w:p>
      <w:pPr>
        <w:pStyle w:val="40"/>
        <w:numPr>
          <w:ilvl w:val="0"/>
          <w:numId w:val="41"/>
        </w:numPr>
        <w:ind w:firstLineChars="0"/>
      </w:pPr>
      <w:r>
        <w:rPr>
          <w:rFonts w:hint="eastAsia"/>
        </w:rPr>
        <w:t>谈判供应商认为需要提供的其它说明和资料</w:t>
      </w:r>
    </w:p>
    <w:p>
      <w:pPr>
        <w:pStyle w:val="40"/>
        <w:numPr>
          <w:ilvl w:val="0"/>
          <w:numId w:val="41"/>
        </w:numPr>
        <w:ind w:firstLineChars="0"/>
      </w:pPr>
      <w:r>
        <w:br w:type="page"/>
      </w:r>
    </w:p>
    <w:p/>
    <w:p>
      <w:pPr>
        <w:widowControl/>
        <w:jc w:val="left"/>
        <w:rPr>
          <w:rFonts w:eastAsiaTheme="minorEastAsia"/>
          <w:b/>
          <w:szCs w:val="21"/>
        </w:rPr>
      </w:pP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60" w:name="_Ref477980380"/>
      <w:bookmarkStart w:id="61" w:name="_Ref477980358"/>
      <w:bookmarkStart w:id="62" w:name="_Toc477981726"/>
      <w:r>
        <w:rPr>
          <w:rFonts w:ascii="Times New Roman" w:hAnsi="Times New Roman" w:eastAsiaTheme="minorEastAsia"/>
          <w:bCs/>
          <w:kern w:val="2"/>
          <w:sz w:val="32"/>
          <w:szCs w:val="32"/>
        </w:rPr>
        <w:t>供应商参与谈判确认函</w:t>
      </w:r>
      <w:bookmarkEnd w:id="60"/>
      <w:bookmarkEnd w:id="61"/>
      <w:bookmarkEnd w:id="62"/>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after="312" w:afterLines="100" w:line="400" w:lineRule="exact"/>
        <w:jc w:val="left"/>
        <w:textAlignment w:val="baseline"/>
        <w:rPr>
          <w:kern w:val="0"/>
          <w:szCs w:val="21"/>
        </w:rPr>
      </w:pPr>
      <w:r>
        <w:rPr>
          <w:kern w:val="0"/>
          <w:szCs w:val="21"/>
        </w:rPr>
        <w:t>中央财经大学招标与采购事务中心：</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本单位在认真阅读、全面理解谈判文件所有内容与要求的基础上，确定将于    年    月     日</w:t>
      </w:r>
      <w:r>
        <w:rPr>
          <w:rFonts w:hint="eastAsia"/>
          <w:kern w:val="0"/>
          <w:szCs w:val="21"/>
          <w:lang w:eastAsia="zh-CN"/>
        </w:rPr>
        <w:t>下</w:t>
      </w:r>
      <w:r>
        <w:rPr>
          <w:kern w:val="0"/>
          <w:szCs w:val="21"/>
        </w:rPr>
        <w:t>午</w:t>
      </w:r>
      <w:r>
        <w:rPr>
          <w:rFonts w:hint="eastAsia"/>
          <w:kern w:val="0"/>
          <w:szCs w:val="21"/>
          <w:lang w:val="en-US" w:eastAsia="zh-CN"/>
        </w:rPr>
        <w:t>14</w:t>
      </w:r>
      <w:r>
        <w:rPr>
          <w:kern w:val="0"/>
          <w:szCs w:val="21"/>
        </w:rPr>
        <w:t>点</w:t>
      </w:r>
      <w:r>
        <w:rPr>
          <w:rFonts w:hint="eastAsia"/>
          <w:kern w:val="0"/>
          <w:szCs w:val="21"/>
          <w:lang w:val="en-US" w:eastAsia="zh-CN"/>
        </w:rPr>
        <w:t>2</w:t>
      </w:r>
      <w:r>
        <w:rPr>
          <w:kern w:val="0"/>
          <w:szCs w:val="21"/>
        </w:rPr>
        <w:t>0分，在中央财经大学行政楼</w:t>
      </w:r>
      <w:r>
        <w:rPr>
          <w:rFonts w:hint="eastAsia"/>
          <w:kern w:val="0"/>
          <w:szCs w:val="21"/>
        </w:rPr>
        <w:t>309</w:t>
      </w:r>
      <w:r>
        <w:rPr>
          <w:kern w:val="0"/>
          <w:szCs w:val="21"/>
        </w:rPr>
        <w:t>室，参与</w:t>
      </w:r>
      <w:r>
        <w:rPr>
          <w:kern w:val="0"/>
          <w:szCs w:val="21"/>
        </w:rPr>
        <w:fldChar w:fldCharType="begin"/>
      </w:r>
      <w:r>
        <w:rPr>
          <w:kern w:val="0"/>
          <w:szCs w:val="21"/>
        </w:rPr>
        <w:instrText xml:space="preserve"> REF 项目名称 \h </w:instrText>
      </w:r>
      <w:r>
        <w:rPr>
          <w:kern w:val="0"/>
          <w:szCs w:val="21"/>
        </w:rPr>
        <w:fldChar w:fldCharType="separate"/>
      </w:r>
      <w:r>
        <w:t>中央财经大学                          采购项目</w:t>
      </w:r>
      <w:r>
        <w:rPr>
          <w:kern w:val="0"/>
          <w:szCs w:val="21"/>
        </w:rPr>
        <w:fldChar w:fldCharType="end"/>
      </w:r>
      <w:r>
        <w:rPr>
          <w:kern w:val="0"/>
          <w:szCs w:val="21"/>
        </w:rPr>
        <w:t>的谈判，</w:t>
      </w:r>
      <w:r>
        <w:rPr>
          <w:szCs w:val="21"/>
        </w:rPr>
        <w:t xml:space="preserve">项目编号：JT-          </w:t>
      </w:r>
      <w:r>
        <w:rPr>
          <w:kern w:val="0"/>
          <w:szCs w:val="21"/>
        </w:rPr>
        <w:t>特发函确认。</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单位名称：</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法人授权代表（响应人代表）：</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联系电话（手机）：</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（单位公章）：＿＿＿＿</w:t>
      </w:r>
    </w:p>
    <w:p>
      <w:pPr>
        <w:pBdr>
          <w:top w:val="dashed" w:color="auto" w:sz="4" w:space="1"/>
          <w:left w:val="dashed" w:color="auto" w:sz="4" w:space="4"/>
          <w:bottom w:val="dashed" w:color="auto" w:sz="4" w:space="1"/>
          <w:right w:val="dashed" w:color="auto" w:sz="4" w:space="4"/>
        </w:pBdr>
        <w:adjustRightInd w:val="0"/>
        <w:spacing w:line="400" w:lineRule="exact"/>
        <w:jc w:val="right"/>
        <w:textAlignment w:val="baseline"/>
        <w:rPr>
          <w:kern w:val="0"/>
          <w:szCs w:val="21"/>
        </w:rPr>
      </w:pPr>
      <w:r>
        <w:rPr>
          <w:kern w:val="0"/>
          <w:szCs w:val="21"/>
        </w:rPr>
        <w:t xml:space="preserve">      年    月    日</w:t>
      </w:r>
    </w:p>
    <w:p>
      <w:pPr>
        <w:pStyle w:val="40"/>
        <w:ind w:firstLine="422"/>
        <w:rPr>
          <w:color w:val="000000"/>
          <w:szCs w:val="21"/>
        </w:rPr>
      </w:pPr>
      <w:r>
        <w:rPr>
          <w:b/>
          <w:szCs w:val="21"/>
        </w:rPr>
        <w:fldChar w:fldCharType="begin"/>
      </w:r>
      <w:r>
        <w:rPr>
          <w:b/>
          <w:szCs w:val="21"/>
        </w:rPr>
        <w:instrText xml:space="preserve"> REF 确认函说明 \h  \* MERGEFORMAT </w:instrText>
      </w:r>
      <w:r>
        <w:rPr>
          <w:b/>
          <w:szCs w:val="21"/>
        </w:rPr>
        <w:fldChar w:fldCharType="separate"/>
      </w:r>
      <w:r>
        <w:t>请确认参加谈判的供应商于</w:t>
      </w:r>
      <w:r>
        <w:rPr>
          <w:rFonts w:hint="eastAsia"/>
          <w:highlight w:val="none"/>
          <w:lang w:val="en-US" w:eastAsia="zh-CN"/>
        </w:rPr>
        <w:t>2017</w:t>
      </w:r>
      <w:r>
        <w:rPr>
          <w:highlight w:val="none"/>
        </w:rPr>
        <w:t>年</w:t>
      </w:r>
      <w:r>
        <w:rPr>
          <w:rFonts w:hint="eastAsia"/>
          <w:highlight w:val="none"/>
          <w:lang w:val="en-US" w:eastAsia="zh-CN"/>
        </w:rPr>
        <w:t>7</w:t>
      </w:r>
      <w:r>
        <w:rPr>
          <w:highlight w:val="none"/>
        </w:rPr>
        <w:t>月</w:t>
      </w:r>
      <w:r>
        <w:rPr>
          <w:rFonts w:hint="eastAsia"/>
          <w:highlight w:val="none"/>
          <w:lang w:val="en-US" w:eastAsia="zh-CN"/>
        </w:rPr>
        <w:t>4</w:t>
      </w:r>
      <w:r>
        <w:rPr>
          <w:highlight w:val="none"/>
        </w:rPr>
        <w:t>日15</w:t>
      </w:r>
      <w:r>
        <w:t>:00前传真至我单位，同时将盖章扫描件发送至邮箱：cgzx@cufe.edu.cn，邮件主题为“谈判确认函+公司简称+项目名称+项目编号”。</w:t>
      </w:r>
    </w:p>
    <w:p>
      <w:pPr>
        <w:pStyle w:val="42"/>
        <w:spacing w:before="0" w:after="0" w:line="400" w:lineRule="exact"/>
        <w:ind w:left="0" w:leftChars="0" w:firstLine="482"/>
        <w:rPr>
          <w:rFonts w:eastAsiaTheme="minorEastAsia"/>
          <w:color w:val="000000"/>
          <w:sz w:val="21"/>
          <w:szCs w:val="21"/>
        </w:rPr>
      </w:pPr>
      <w:r>
        <w:rPr>
          <w:rFonts w:eastAsiaTheme="minorEastAsia"/>
          <w:b/>
          <w:szCs w:val="21"/>
        </w:rPr>
        <w:fldChar w:fldCharType="end"/>
      </w:r>
      <w:r>
        <w:rPr>
          <w:rFonts w:eastAsiaTheme="minorEastAsia"/>
          <w:b/>
          <w:szCs w:val="21"/>
        </w:rPr>
        <w:fldChar w:fldCharType="begin"/>
      </w:r>
      <w:r>
        <w:rPr>
          <w:rFonts w:eastAsiaTheme="minorEastAsia"/>
          <w:b/>
          <w:szCs w:val="21"/>
        </w:rPr>
        <w:instrText xml:space="preserve"> REF 项目联系信息 \h </w:instrText>
      </w:r>
      <w:r>
        <w:rPr>
          <w:rFonts w:eastAsiaTheme="minorEastAsia"/>
          <w:b/>
          <w:szCs w:val="21"/>
        </w:rPr>
        <w:fldChar w:fldCharType="separate"/>
      </w:r>
      <w:r>
        <w:rPr>
          <w:rFonts w:eastAsiaTheme="minorEastAsia"/>
          <w:color w:val="000000"/>
          <w:sz w:val="21"/>
          <w:szCs w:val="21"/>
        </w:rPr>
        <w:t>联系人：闫老师，王老师</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联系电话：010-62289113，010-62288705</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传真电话：010-62288705（可自动接收传真）</w:t>
      </w:r>
    </w:p>
    <w:p>
      <w:pPr>
        <w:pStyle w:val="42"/>
        <w:spacing w:before="0" w:after="0" w:line="400" w:lineRule="exact"/>
        <w:ind w:left="0" w:leftChars="0" w:firstLine="420"/>
        <w:rPr>
          <w:rFonts w:eastAsiaTheme="minorEastAsia"/>
          <w:color w:val="000000"/>
          <w:sz w:val="21"/>
          <w:szCs w:val="21"/>
        </w:rPr>
      </w:pPr>
      <w:r>
        <w:rPr>
          <w:rFonts w:eastAsiaTheme="minorEastAsia"/>
          <w:color w:val="000000"/>
          <w:sz w:val="21"/>
          <w:szCs w:val="21"/>
        </w:rPr>
        <w:t>联系邮箱：</w:t>
      </w:r>
      <w:r>
        <w:t>cgzx@cufe.edu.cn</w:t>
      </w:r>
      <w:r>
        <w:rPr>
          <w:rFonts w:eastAsiaTheme="minorEastAsia"/>
          <w:color w:val="000000"/>
          <w:sz w:val="21"/>
          <w:szCs w:val="21"/>
        </w:rPr>
        <w:t xml:space="preserve"> </w:t>
      </w:r>
    </w:p>
    <w:p>
      <w:pPr>
        <w:pStyle w:val="42"/>
        <w:spacing w:before="0" w:after="0" w:line="400" w:lineRule="exact"/>
        <w:ind w:left="0" w:leftChars="0" w:firstLine="482"/>
        <w:rPr>
          <w:rFonts w:eastAsiaTheme="minorEastAsia"/>
          <w:kern w:val="0"/>
          <w:szCs w:val="21"/>
        </w:rPr>
      </w:pPr>
      <w:r>
        <w:rPr>
          <w:rFonts w:eastAsiaTheme="minorEastAsia"/>
          <w:b/>
          <w:szCs w:val="21"/>
        </w:rPr>
        <w:fldChar w:fldCharType="end"/>
      </w: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hint="default" w:ascii="Times New Roman" w:hAnsi="Times New Roman" w:eastAsiaTheme="minorEastAsia"/>
          <w:bCs/>
          <w:kern w:val="2"/>
          <w:sz w:val="32"/>
          <w:szCs w:val="32"/>
        </w:rPr>
        <w:t xml:space="preserve">  </w:t>
      </w:r>
      <w:bookmarkStart w:id="63" w:name="_Ref477980366"/>
      <w:bookmarkStart w:id="64" w:name="_Ref477980388"/>
      <w:bookmarkStart w:id="65" w:name="_Toc477981727"/>
      <w:r>
        <w:rPr>
          <w:rFonts w:ascii="Times New Roman" w:hAnsi="Times New Roman" w:eastAsiaTheme="minorEastAsia"/>
          <w:bCs/>
          <w:kern w:val="2"/>
          <w:sz w:val="32"/>
          <w:szCs w:val="32"/>
        </w:rPr>
        <w:t>承诺函</w:t>
      </w:r>
      <w:bookmarkEnd w:id="63"/>
      <w:bookmarkEnd w:id="64"/>
      <w:bookmarkEnd w:id="65"/>
    </w:p>
    <w:p>
      <w:pPr>
        <w:widowControl/>
        <w:snapToGrid w:val="0"/>
        <w:spacing w:line="400" w:lineRule="exact"/>
        <w:ind w:firstLine="420" w:firstLineChars="200"/>
        <w:rPr>
          <w:rFonts w:eastAsiaTheme="minorEastAsia"/>
          <w:kern w:val="0"/>
          <w:szCs w:val="21"/>
        </w:rPr>
      </w:pPr>
      <w:r>
        <w:rPr>
          <w:rFonts w:hint="eastAsia" w:eastAsiaTheme="minorEastAsia"/>
          <w:kern w:val="0"/>
          <w:szCs w:val="21"/>
        </w:rPr>
        <w:t>致</w:t>
      </w:r>
      <w:r>
        <w:rPr>
          <w:rFonts w:eastAsiaTheme="minorEastAsia"/>
          <w:kern w:val="0"/>
          <w:szCs w:val="21"/>
        </w:rPr>
        <w:t>中央财经大学：</w:t>
      </w:r>
    </w:p>
    <w:p>
      <w:pPr>
        <w:spacing w:line="400" w:lineRule="exact"/>
        <w:ind w:firstLine="420" w:firstLineChars="200"/>
        <w:rPr>
          <w:rFonts w:eastAsiaTheme="minorEastAsia"/>
          <w:szCs w:val="21"/>
        </w:rPr>
      </w:pPr>
      <w:r>
        <w:rPr>
          <w:rFonts w:eastAsiaTheme="minorEastAsia"/>
          <w:szCs w:val="21"/>
        </w:rPr>
        <w:t>（响应人全称）授权（响应人代表姓名）（职务、职称）为我方代表，参加贵方组织的（项目名称、项目编号、包号）谈判的有关活动，并对此项目进行响应。为此：</w:t>
      </w:r>
    </w:p>
    <w:p>
      <w:pPr>
        <w:widowControl/>
        <w:snapToGrid w:val="0"/>
        <w:spacing w:line="400" w:lineRule="exact"/>
        <w:ind w:firstLine="420" w:firstLineChars="200"/>
        <w:rPr>
          <w:rFonts w:eastAsiaTheme="minorEastAsia"/>
          <w:kern w:val="0"/>
          <w:szCs w:val="21"/>
        </w:rPr>
      </w:pPr>
      <w:r>
        <w:rPr>
          <w:rFonts w:eastAsiaTheme="minorEastAsia"/>
          <w:kern w:val="0"/>
          <w:szCs w:val="21"/>
        </w:rPr>
        <w:t>（一）我方同意在本项目竞争性谈判文件中规定的接受谈判响应文件截止日起</w:t>
      </w:r>
      <w:r>
        <w:rPr>
          <w:rFonts w:eastAsiaTheme="minorEastAsia"/>
          <w:kern w:val="0"/>
          <w:szCs w:val="21"/>
          <w:u w:val="single"/>
        </w:rPr>
        <w:t>120日内</w:t>
      </w:r>
      <w:r>
        <w:rPr>
          <w:rFonts w:eastAsiaTheme="minorEastAsia"/>
          <w:kern w:val="0"/>
          <w:szCs w:val="21"/>
        </w:rPr>
        <w:t>遵守本文中的承诺且在此期限期满之前均具有约束力。</w:t>
      </w:r>
    </w:p>
    <w:p>
      <w:pPr>
        <w:widowControl/>
        <w:snapToGrid w:val="0"/>
        <w:spacing w:line="400" w:lineRule="exact"/>
        <w:ind w:firstLine="420" w:firstLineChars="200"/>
        <w:rPr>
          <w:rFonts w:eastAsiaTheme="minorEastAsia"/>
          <w:kern w:val="0"/>
          <w:szCs w:val="21"/>
        </w:rPr>
      </w:pPr>
      <w:r>
        <w:rPr>
          <w:rFonts w:eastAsiaTheme="minorEastAsia"/>
          <w:kern w:val="0"/>
          <w:szCs w:val="21"/>
        </w:rPr>
        <w:t>（二）我方承诺已经具备《中华人民共和国政府采购法》中规定的参加政府采购活动的供应商应当具备的条件：</w:t>
      </w:r>
    </w:p>
    <w:p>
      <w:pPr>
        <w:pStyle w:val="46"/>
        <w:widowControl/>
        <w:numPr>
          <w:ilvl w:val="0"/>
          <w:numId w:val="44"/>
        </w:numPr>
        <w:snapToGrid w:val="0"/>
        <w:spacing w:line="400" w:lineRule="exact"/>
        <w:ind w:firstLineChars="0"/>
        <w:rPr>
          <w:rFonts w:eastAsiaTheme="minorEastAsia"/>
          <w:kern w:val="0"/>
          <w:szCs w:val="21"/>
        </w:rPr>
      </w:pPr>
      <w:r>
        <w:rPr>
          <w:rFonts w:eastAsiaTheme="minorEastAsia"/>
          <w:kern w:val="0"/>
          <w:szCs w:val="21"/>
        </w:rPr>
        <w:t>具有独立承担民事责任的能力；</w:t>
      </w:r>
    </w:p>
    <w:p>
      <w:pPr>
        <w:pStyle w:val="46"/>
        <w:widowControl/>
        <w:numPr>
          <w:ilvl w:val="0"/>
          <w:numId w:val="44"/>
        </w:numPr>
        <w:snapToGrid w:val="0"/>
        <w:spacing w:line="400" w:lineRule="exact"/>
        <w:ind w:firstLineChars="0"/>
        <w:rPr>
          <w:rFonts w:eastAsiaTheme="minorEastAsia"/>
          <w:kern w:val="0"/>
          <w:szCs w:val="21"/>
        </w:rPr>
      </w:pPr>
      <w:r>
        <w:rPr>
          <w:rFonts w:eastAsiaTheme="minorEastAsia"/>
          <w:kern w:val="0"/>
          <w:szCs w:val="21"/>
        </w:rPr>
        <w:t>具有良好的商业信誉和健全的财务会计制度；</w:t>
      </w:r>
    </w:p>
    <w:p>
      <w:pPr>
        <w:pStyle w:val="46"/>
        <w:widowControl/>
        <w:numPr>
          <w:ilvl w:val="0"/>
          <w:numId w:val="44"/>
        </w:numPr>
        <w:snapToGrid w:val="0"/>
        <w:spacing w:line="400" w:lineRule="exact"/>
        <w:ind w:firstLineChars="0"/>
        <w:rPr>
          <w:rFonts w:eastAsiaTheme="minorEastAsia"/>
          <w:kern w:val="0"/>
          <w:szCs w:val="21"/>
        </w:rPr>
      </w:pPr>
      <w:r>
        <w:rPr>
          <w:rFonts w:eastAsiaTheme="minorEastAsia"/>
          <w:kern w:val="0"/>
          <w:szCs w:val="21"/>
        </w:rPr>
        <w:t>具有履行合同所必需的设备和专业技术能力；</w:t>
      </w:r>
    </w:p>
    <w:p>
      <w:pPr>
        <w:pStyle w:val="46"/>
        <w:widowControl/>
        <w:numPr>
          <w:ilvl w:val="0"/>
          <w:numId w:val="44"/>
        </w:numPr>
        <w:snapToGrid w:val="0"/>
        <w:spacing w:line="400" w:lineRule="exact"/>
        <w:ind w:firstLineChars="0"/>
        <w:rPr>
          <w:rFonts w:eastAsiaTheme="minorEastAsia"/>
          <w:kern w:val="0"/>
          <w:szCs w:val="21"/>
        </w:rPr>
      </w:pPr>
      <w:r>
        <w:rPr>
          <w:rFonts w:eastAsiaTheme="minorEastAsia"/>
          <w:kern w:val="0"/>
          <w:szCs w:val="21"/>
        </w:rPr>
        <w:t>有依法缴纳税收和社会保障资金的良好记录；</w:t>
      </w:r>
    </w:p>
    <w:p>
      <w:pPr>
        <w:pStyle w:val="46"/>
        <w:widowControl/>
        <w:numPr>
          <w:ilvl w:val="0"/>
          <w:numId w:val="44"/>
        </w:numPr>
        <w:snapToGrid w:val="0"/>
        <w:spacing w:line="400" w:lineRule="exact"/>
        <w:ind w:firstLineChars="0"/>
        <w:rPr>
          <w:rFonts w:eastAsiaTheme="minorEastAsia"/>
          <w:kern w:val="0"/>
          <w:szCs w:val="21"/>
        </w:rPr>
      </w:pPr>
      <w:r>
        <w:rPr>
          <w:rFonts w:eastAsiaTheme="minorEastAsia"/>
          <w:kern w:val="0"/>
          <w:szCs w:val="21"/>
        </w:rPr>
        <w:t>参加此项采购活动前三年内，在经营活动中没有重大违法记录。</w:t>
      </w:r>
    </w:p>
    <w:p>
      <w:pPr>
        <w:widowControl/>
        <w:snapToGrid w:val="0"/>
        <w:spacing w:line="400" w:lineRule="exact"/>
        <w:ind w:firstLine="420" w:firstLineChars="200"/>
        <w:rPr>
          <w:rFonts w:eastAsiaTheme="minorEastAsia"/>
          <w:kern w:val="0"/>
          <w:szCs w:val="21"/>
        </w:rPr>
      </w:pPr>
      <w:r>
        <w:rPr>
          <w:rFonts w:eastAsiaTheme="minorEastAsia"/>
          <w:kern w:val="0"/>
          <w:szCs w:val="21"/>
        </w:rPr>
        <w:t>（三）提供</w:t>
      </w:r>
      <w:r>
        <w:rPr>
          <w:rFonts w:eastAsiaTheme="minorEastAsia"/>
          <w:kern w:val="0"/>
          <w:szCs w:val="21"/>
        </w:rPr>
        <w:fldChar w:fldCharType="begin"/>
      </w:r>
      <w:r>
        <w:rPr>
          <w:rFonts w:eastAsiaTheme="minorEastAsia"/>
          <w:kern w:val="0"/>
          <w:szCs w:val="21"/>
        </w:rPr>
        <w:instrText xml:space="preserve"> REF 谈判须知前附表 \h </w:instrText>
      </w:r>
      <w:r>
        <w:rPr>
          <w:rFonts w:eastAsiaTheme="minorEastAsia"/>
          <w:kern w:val="0"/>
          <w:szCs w:val="21"/>
        </w:rPr>
        <w:fldChar w:fldCharType="separate"/>
      </w:r>
      <w:r>
        <w:rPr>
          <w:rFonts w:eastAsiaTheme="majorEastAsia"/>
        </w:rPr>
        <w:t>谈判须知前附表</w:t>
      </w:r>
      <w:r>
        <w:rPr>
          <w:rFonts w:eastAsiaTheme="minorEastAsia"/>
          <w:kern w:val="0"/>
          <w:szCs w:val="21"/>
        </w:rPr>
        <w:fldChar w:fldCharType="end"/>
      </w:r>
      <w:r>
        <w:rPr>
          <w:rFonts w:eastAsiaTheme="minorEastAsia"/>
          <w:kern w:val="0"/>
          <w:szCs w:val="21"/>
        </w:rPr>
        <w:t>及谈判须知规定的全部谈判响应文件。</w:t>
      </w:r>
    </w:p>
    <w:p>
      <w:pPr>
        <w:widowControl/>
        <w:snapToGrid w:val="0"/>
        <w:spacing w:line="400" w:lineRule="exact"/>
        <w:ind w:firstLine="420" w:firstLineChars="200"/>
        <w:rPr>
          <w:rFonts w:eastAsiaTheme="minorEastAsia"/>
          <w:kern w:val="0"/>
          <w:szCs w:val="21"/>
        </w:rPr>
      </w:pPr>
      <w:r>
        <w:rPr>
          <w:rFonts w:eastAsiaTheme="minorEastAsia"/>
          <w:kern w:val="0"/>
          <w:szCs w:val="21"/>
        </w:rPr>
        <w:t>（四）按竞争性谈判文件要求提供和交付的货物和服务的报价详见报价一览表。</w:t>
      </w:r>
    </w:p>
    <w:p>
      <w:pPr>
        <w:widowControl/>
        <w:snapToGrid w:val="0"/>
        <w:spacing w:line="400" w:lineRule="exact"/>
        <w:ind w:firstLine="420" w:firstLineChars="200"/>
        <w:rPr>
          <w:rFonts w:eastAsiaTheme="minorEastAsia"/>
          <w:kern w:val="0"/>
          <w:szCs w:val="21"/>
        </w:rPr>
      </w:pPr>
      <w:r>
        <w:rPr>
          <w:rFonts w:eastAsiaTheme="minorEastAsia"/>
          <w:kern w:val="0"/>
          <w:szCs w:val="21"/>
        </w:rPr>
        <w:t>（五）保证忠实地执行双方所签订的合同，并承担合同规定的责任和义务。</w:t>
      </w:r>
    </w:p>
    <w:p>
      <w:pPr>
        <w:widowControl/>
        <w:snapToGrid w:val="0"/>
        <w:spacing w:line="400" w:lineRule="exact"/>
        <w:ind w:firstLine="420" w:firstLineChars="200"/>
        <w:rPr>
          <w:rFonts w:eastAsiaTheme="minorEastAsia"/>
          <w:kern w:val="0"/>
          <w:szCs w:val="21"/>
        </w:rPr>
      </w:pPr>
      <w:r>
        <w:rPr>
          <w:rFonts w:eastAsiaTheme="minorEastAsia"/>
          <w:kern w:val="0"/>
          <w:szCs w:val="21"/>
        </w:rPr>
        <w:t>（六）保证遵守竞争性谈判文件的规定。</w:t>
      </w:r>
    </w:p>
    <w:p>
      <w:pPr>
        <w:widowControl/>
        <w:snapToGrid w:val="0"/>
        <w:spacing w:line="400" w:lineRule="exact"/>
        <w:ind w:firstLine="420" w:firstLineChars="200"/>
        <w:rPr>
          <w:rFonts w:eastAsiaTheme="minorEastAsia"/>
          <w:kern w:val="0"/>
          <w:szCs w:val="21"/>
        </w:rPr>
      </w:pPr>
      <w:r>
        <w:rPr>
          <w:rFonts w:eastAsiaTheme="minorEastAsia"/>
          <w:kern w:val="0"/>
          <w:szCs w:val="21"/>
        </w:rPr>
        <w:t>（七）如果在规定的谈判有效期内撤回响应文件，我方将被列入不良记录名单。</w:t>
      </w:r>
    </w:p>
    <w:p>
      <w:pPr>
        <w:widowControl/>
        <w:snapToGrid w:val="0"/>
        <w:spacing w:line="400" w:lineRule="exact"/>
        <w:ind w:firstLine="420" w:firstLineChars="200"/>
        <w:rPr>
          <w:rFonts w:eastAsiaTheme="minorEastAsia"/>
          <w:kern w:val="0"/>
          <w:szCs w:val="21"/>
        </w:rPr>
      </w:pPr>
      <w:r>
        <w:rPr>
          <w:rFonts w:eastAsiaTheme="minorEastAsia"/>
          <w:kern w:val="0"/>
          <w:szCs w:val="21"/>
        </w:rPr>
        <w:t>（八）我方完全理解贵方不一定接受收到的任何报价。</w:t>
      </w:r>
    </w:p>
    <w:p>
      <w:pPr>
        <w:widowControl/>
        <w:snapToGrid w:val="0"/>
        <w:spacing w:line="400" w:lineRule="exact"/>
        <w:ind w:firstLine="420" w:firstLineChars="200"/>
        <w:rPr>
          <w:rFonts w:eastAsiaTheme="minorEastAsia"/>
          <w:kern w:val="0"/>
          <w:szCs w:val="21"/>
        </w:rPr>
      </w:pPr>
      <w:r>
        <w:rPr>
          <w:rFonts w:eastAsiaTheme="minorEastAsia"/>
          <w:kern w:val="0"/>
          <w:szCs w:val="21"/>
        </w:rPr>
        <w:t>（九）我方愿意向贵方提供任何与本项谈判有关的数据、情况和技术资料。如果贵方需要，我方愿意提供我方做出的一切承诺的证明材料。</w:t>
      </w:r>
    </w:p>
    <w:p>
      <w:pPr>
        <w:widowControl/>
        <w:snapToGrid w:val="0"/>
        <w:spacing w:line="400" w:lineRule="exact"/>
        <w:ind w:firstLine="420" w:firstLineChars="200"/>
        <w:rPr>
          <w:rFonts w:eastAsiaTheme="minorEastAsia"/>
          <w:kern w:val="0"/>
          <w:szCs w:val="21"/>
        </w:rPr>
      </w:pPr>
      <w:r>
        <w:rPr>
          <w:rFonts w:eastAsiaTheme="minorEastAsia"/>
          <w:kern w:val="0"/>
          <w:szCs w:val="21"/>
        </w:rPr>
        <w:t>（十）我方已详细审核全部谈判响应文件，包括谈判响应文件修改书（如果有的话）、参考资料及有关附件，确认无误。</w:t>
      </w:r>
    </w:p>
    <w:p>
      <w:pPr>
        <w:widowControl/>
        <w:snapToGrid w:val="0"/>
        <w:spacing w:line="400" w:lineRule="exact"/>
        <w:ind w:firstLine="420" w:firstLineChars="200"/>
        <w:rPr>
          <w:rFonts w:eastAsiaTheme="minorEastAsia"/>
          <w:kern w:val="0"/>
          <w:szCs w:val="21"/>
        </w:rPr>
      </w:pPr>
      <w:r>
        <w:rPr>
          <w:rFonts w:eastAsiaTheme="minorEastAsia"/>
          <w:kern w:val="0"/>
          <w:szCs w:val="21"/>
        </w:rPr>
        <w:t>（十一）我方承诺：采购中心如果需追加采购本项目竞争性谈判文件所列货物及相关服务的，在不改变合同其他实质性条款的前提下，按相同或更优惠的折扣保证供货。</w:t>
      </w:r>
    </w:p>
    <w:p>
      <w:pPr>
        <w:widowControl/>
        <w:snapToGrid w:val="0"/>
        <w:spacing w:line="400" w:lineRule="exact"/>
        <w:ind w:firstLine="420" w:firstLineChars="200"/>
        <w:rPr>
          <w:rFonts w:eastAsiaTheme="minorEastAsia"/>
          <w:kern w:val="0"/>
          <w:szCs w:val="21"/>
        </w:rPr>
      </w:pPr>
      <w:r>
        <w:rPr>
          <w:rFonts w:eastAsiaTheme="minorEastAsia"/>
          <w:kern w:val="0"/>
          <w:szCs w:val="21"/>
        </w:rPr>
        <w:t>（十二）我方承诺接受竞争性谈判文件中《成交合同》的全部条款且无任何异议。</w:t>
      </w:r>
    </w:p>
    <w:p>
      <w:pPr>
        <w:widowControl/>
        <w:snapToGrid w:val="0"/>
        <w:spacing w:line="400" w:lineRule="exact"/>
        <w:ind w:firstLine="420" w:firstLineChars="200"/>
        <w:rPr>
          <w:rFonts w:eastAsiaTheme="minorEastAsia"/>
          <w:kern w:val="0"/>
          <w:szCs w:val="21"/>
        </w:rPr>
      </w:pPr>
      <w:r>
        <w:rPr>
          <w:rFonts w:eastAsiaTheme="minorEastAsia"/>
          <w:kern w:val="0"/>
          <w:szCs w:val="21"/>
        </w:rPr>
        <w:t>（十三）我方将严格遵守《中华人民共和国政府采购法》的有关规定，如果有下列情形之一的，将被处以采购金额5‰以上10‰以下的罚款，列入不良行为记录名单，在一至三年内禁止参加政府采购活动；有违法所得的，并处没收违法所得；情节严重的，由工商行政管理机关吊销营业执照；构成犯罪的，依法追究刑事责任：</w:t>
      </w:r>
    </w:p>
    <w:p>
      <w:pPr>
        <w:pStyle w:val="46"/>
        <w:widowControl/>
        <w:numPr>
          <w:ilvl w:val="0"/>
          <w:numId w:val="45"/>
        </w:numPr>
        <w:snapToGrid w:val="0"/>
        <w:spacing w:line="400" w:lineRule="exact"/>
        <w:ind w:firstLineChars="0"/>
        <w:rPr>
          <w:rFonts w:eastAsiaTheme="minorEastAsia"/>
          <w:kern w:val="0"/>
          <w:szCs w:val="21"/>
        </w:rPr>
      </w:pPr>
      <w:r>
        <w:rPr>
          <w:rFonts w:eastAsiaTheme="minorEastAsia"/>
          <w:kern w:val="0"/>
          <w:szCs w:val="21"/>
        </w:rPr>
        <w:t>提供虚假材料谋取成交的；</w:t>
      </w:r>
    </w:p>
    <w:p>
      <w:pPr>
        <w:pStyle w:val="46"/>
        <w:widowControl/>
        <w:numPr>
          <w:ilvl w:val="0"/>
          <w:numId w:val="45"/>
        </w:numPr>
        <w:snapToGrid w:val="0"/>
        <w:spacing w:line="400" w:lineRule="exact"/>
        <w:ind w:firstLineChars="0"/>
        <w:rPr>
          <w:rFonts w:eastAsiaTheme="minorEastAsia"/>
          <w:kern w:val="0"/>
          <w:szCs w:val="21"/>
        </w:rPr>
      </w:pPr>
      <w:r>
        <w:rPr>
          <w:rFonts w:eastAsiaTheme="minorEastAsia"/>
          <w:kern w:val="0"/>
          <w:szCs w:val="21"/>
        </w:rPr>
        <w:t>采取不正当手段诋毁、排挤其他供应商的；</w:t>
      </w:r>
    </w:p>
    <w:p>
      <w:pPr>
        <w:pStyle w:val="46"/>
        <w:widowControl/>
        <w:numPr>
          <w:ilvl w:val="0"/>
          <w:numId w:val="45"/>
        </w:numPr>
        <w:snapToGrid w:val="0"/>
        <w:spacing w:line="400" w:lineRule="exact"/>
        <w:ind w:firstLineChars="0"/>
        <w:rPr>
          <w:rFonts w:eastAsiaTheme="minorEastAsia"/>
          <w:kern w:val="0"/>
          <w:szCs w:val="21"/>
        </w:rPr>
      </w:pPr>
      <w:r>
        <w:rPr>
          <w:rFonts w:eastAsiaTheme="minorEastAsia"/>
          <w:kern w:val="0"/>
          <w:szCs w:val="21"/>
        </w:rPr>
        <w:t>与采购人、其它供应商或者采购中心工作人员恶意串通的；</w:t>
      </w:r>
    </w:p>
    <w:p>
      <w:pPr>
        <w:pStyle w:val="46"/>
        <w:widowControl/>
        <w:numPr>
          <w:ilvl w:val="0"/>
          <w:numId w:val="45"/>
        </w:numPr>
        <w:snapToGrid w:val="0"/>
        <w:spacing w:line="400" w:lineRule="exact"/>
        <w:ind w:firstLineChars="0"/>
        <w:rPr>
          <w:rFonts w:eastAsiaTheme="minorEastAsia"/>
          <w:kern w:val="0"/>
          <w:szCs w:val="21"/>
        </w:rPr>
      </w:pPr>
      <w:r>
        <w:rPr>
          <w:rFonts w:eastAsiaTheme="minorEastAsia"/>
          <w:kern w:val="0"/>
          <w:szCs w:val="21"/>
        </w:rPr>
        <w:t>向采购人、采购中心工作人员行贿或者提供其他不正当利益的；</w:t>
      </w:r>
    </w:p>
    <w:p>
      <w:pPr>
        <w:pStyle w:val="46"/>
        <w:widowControl/>
        <w:numPr>
          <w:ilvl w:val="0"/>
          <w:numId w:val="45"/>
        </w:numPr>
        <w:snapToGrid w:val="0"/>
        <w:spacing w:line="400" w:lineRule="exact"/>
        <w:ind w:firstLineChars="0"/>
        <w:rPr>
          <w:rFonts w:eastAsiaTheme="minorEastAsia"/>
          <w:kern w:val="0"/>
          <w:szCs w:val="21"/>
        </w:rPr>
      </w:pPr>
      <w:r>
        <w:rPr>
          <w:rFonts w:eastAsiaTheme="minorEastAsia"/>
          <w:kern w:val="0"/>
          <w:szCs w:val="21"/>
        </w:rPr>
        <w:t>未经采购中心同意，在采购过程中与采购人进行协商谈判的；</w:t>
      </w:r>
    </w:p>
    <w:p>
      <w:pPr>
        <w:pStyle w:val="46"/>
        <w:widowControl/>
        <w:numPr>
          <w:ilvl w:val="0"/>
          <w:numId w:val="45"/>
        </w:numPr>
        <w:snapToGrid w:val="0"/>
        <w:spacing w:line="400" w:lineRule="exact"/>
        <w:ind w:firstLineChars="0"/>
        <w:rPr>
          <w:rFonts w:eastAsiaTheme="minorEastAsia"/>
          <w:kern w:val="0"/>
          <w:szCs w:val="21"/>
        </w:rPr>
      </w:pPr>
      <w:r>
        <w:rPr>
          <w:rFonts w:eastAsiaTheme="minorEastAsia"/>
          <w:kern w:val="0"/>
          <w:szCs w:val="21"/>
        </w:rPr>
        <w:t>拒绝有关部门监督检查或提供虚假情况的。</w:t>
      </w:r>
    </w:p>
    <w:p>
      <w:pPr>
        <w:widowControl/>
        <w:spacing w:line="400" w:lineRule="exact"/>
        <w:ind w:firstLine="420" w:firstLineChars="200"/>
        <w:rPr>
          <w:rFonts w:eastAsiaTheme="minorEastAsia"/>
          <w:kern w:val="0"/>
          <w:szCs w:val="21"/>
        </w:rPr>
      </w:pPr>
      <w:r>
        <w:rPr>
          <w:rFonts w:hint="eastAsia" w:eastAsiaTheme="minorEastAsia"/>
          <w:kern w:val="0"/>
          <w:szCs w:val="21"/>
        </w:rPr>
        <w:t>与本响应有关的一切往来通讯请寄：地址：</w:t>
      </w:r>
    </w:p>
    <w:p>
      <w:pPr>
        <w:widowControl/>
        <w:spacing w:line="400" w:lineRule="exact"/>
        <w:ind w:firstLine="420" w:firstLineChars="200"/>
        <w:rPr>
          <w:rFonts w:eastAsiaTheme="minorEastAsia"/>
          <w:kern w:val="0"/>
          <w:szCs w:val="21"/>
        </w:rPr>
      </w:pPr>
      <w:r>
        <w:rPr>
          <w:rFonts w:hint="eastAsia" w:eastAsiaTheme="minorEastAsia"/>
          <w:kern w:val="0"/>
          <w:szCs w:val="21"/>
        </w:rPr>
        <w:t>邮编：</w:t>
      </w:r>
    </w:p>
    <w:p>
      <w:pPr>
        <w:widowControl/>
        <w:spacing w:line="400" w:lineRule="exact"/>
        <w:ind w:firstLine="420" w:firstLineChars="200"/>
        <w:rPr>
          <w:rFonts w:eastAsiaTheme="minorEastAsia"/>
          <w:kern w:val="0"/>
          <w:szCs w:val="21"/>
        </w:rPr>
      </w:pPr>
      <w:r>
        <w:rPr>
          <w:rFonts w:hint="eastAsia" w:eastAsiaTheme="minorEastAsia"/>
          <w:kern w:val="0"/>
          <w:szCs w:val="21"/>
        </w:rPr>
        <w:t>电话：</w:t>
      </w:r>
    </w:p>
    <w:p>
      <w:pPr>
        <w:widowControl/>
        <w:spacing w:line="400" w:lineRule="exact"/>
        <w:ind w:firstLine="420" w:firstLineChars="200"/>
        <w:rPr>
          <w:rFonts w:eastAsiaTheme="minorEastAsia"/>
          <w:kern w:val="0"/>
          <w:szCs w:val="21"/>
        </w:rPr>
      </w:pPr>
      <w:r>
        <w:rPr>
          <w:rFonts w:hint="eastAsia" w:eastAsiaTheme="minorEastAsia"/>
          <w:kern w:val="0"/>
          <w:szCs w:val="21"/>
        </w:rPr>
        <w:t>传真：</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响应人代表姓名：</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响应人代表联系电话</w:t>
      </w:r>
    </w:p>
    <w:p>
      <w:pPr>
        <w:widowControl/>
        <w:spacing w:line="400" w:lineRule="exact"/>
        <w:ind w:firstLine="420" w:firstLineChars="200"/>
        <w:rPr>
          <w:rFonts w:eastAsiaTheme="minorEastAsia"/>
          <w:kern w:val="0"/>
          <w:szCs w:val="21"/>
        </w:rPr>
      </w:pPr>
      <w:r>
        <w:rPr>
          <w:rFonts w:hint="eastAsia" w:eastAsiaTheme="minorEastAsia"/>
          <w:kern w:val="0"/>
          <w:szCs w:val="21"/>
        </w:rPr>
        <w:t>电子邮箱:</w:t>
      </w:r>
      <w:r>
        <w:rPr>
          <w:rFonts w:hint="eastAsia" w:eastAsiaTheme="minorEastAsia"/>
          <w:kern w:val="0"/>
          <w:szCs w:val="21"/>
        </w:rPr>
        <w:tab/>
      </w:r>
      <w:r>
        <w:rPr>
          <w:rFonts w:hint="eastAsia" w:eastAsiaTheme="minorEastAsia"/>
          <w:kern w:val="0"/>
          <w:szCs w:val="21"/>
        </w:rPr>
        <w:t>响应人名称：（加盖公章）</w:t>
      </w:r>
    </w:p>
    <w:p>
      <w:pPr>
        <w:widowControl/>
        <w:spacing w:line="400" w:lineRule="exact"/>
        <w:ind w:firstLine="420" w:firstLineChars="200"/>
        <w:rPr>
          <w:rFonts w:eastAsiaTheme="minorEastAsia"/>
          <w:kern w:val="0"/>
          <w:szCs w:val="21"/>
        </w:rPr>
      </w:pPr>
      <w:r>
        <w:rPr>
          <w:rFonts w:hint="eastAsia" w:eastAsiaTheme="minorEastAsia"/>
          <w:kern w:val="0"/>
          <w:szCs w:val="21"/>
        </w:rPr>
        <w:t>响应人代表签字：</w:t>
      </w:r>
    </w:p>
    <w:p>
      <w:pPr>
        <w:widowControl/>
        <w:spacing w:line="400" w:lineRule="exact"/>
        <w:ind w:firstLine="420" w:firstLineChars="200"/>
        <w:jc w:val="right"/>
        <w:rPr>
          <w:rFonts w:eastAsiaTheme="minorEastAsia"/>
          <w:kern w:val="0"/>
          <w:szCs w:val="21"/>
        </w:rPr>
      </w:pPr>
      <w:r>
        <w:rPr>
          <w:rFonts w:hint="eastAsia" w:eastAsiaTheme="minorEastAsia"/>
          <w:kern w:val="0"/>
          <w:szCs w:val="21"/>
        </w:rPr>
        <w:t>年  月  日</w:t>
      </w:r>
    </w:p>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eastAsiaTheme="minorEastAsia"/>
          <w:kern w:val="0"/>
          <w:szCs w:val="21"/>
        </w:rPr>
        <w:t>注：除可填报项目外，对本承诺函的任何修改将被视为非实质性响应文件，从而可能导致该供应商被拒绝。</w:t>
      </w:r>
    </w:p>
    <w:p>
      <w:pPr>
        <w:widowControl/>
        <w:jc w:val="left"/>
        <w:rPr>
          <w:rFonts w:eastAsiaTheme="minorEastAsia"/>
          <w:kern w:val="0"/>
          <w:szCs w:val="21"/>
        </w:rPr>
      </w:pPr>
      <w:r>
        <w:rPr>
          <w:rFonts w:eastAsiaTheme="minorEastAsia"/>
          <w:kern w:val="0"/>
          <w:szCs w:val="21"/>
        </w:rPr>
        <w:br w:type="page"/>
      </w:r>
      <w:bookmarkStart w:id="66" w:name="_Toc20642290"/>
      <w:bookmarkEnd w:id="66"/>
      <w:bookmarkStart w:id="67" w:name="_Toc20816120"/>
      <w:bookmarkEnd w:id="67"/>
      <w:bookmarkStart w:id="68" w:name="_Toc20988289"/>
      <w:bookmarkEnd w:id="68"/>
      <w:bookmarkStart w:id="69" w:name="_Toc21001363"/>
      <w:bookmarkEnd w:id="69"/>
      <w:bookmarkStart w:id="70" w:name="_Toc36287943"/>
      <w:bookmarkEnd w:id="70"/>
      <w:bookmarkStart w:id="71" w:name="_Toc21000519"/>
      <w:bookmarkEnd w:id="71"/>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72" w:name="_Ref477980367"/>
      <w:bookmarkStart w:id="73" w:name="_Ref477980389"/>
      <w:bookmarkStart w:id="74" w:name="_Toc477981728"/>
      <w:r>
        <w:rPr>
          <w:rFonts w:ascii="Times New Roman" w:hAnsi="Times New Roman" w:eastAsiaTheme="minorEastAsia"/>
          <w:bCs/>
          <w:kern w:val="2"/>
          <w:sz w:val="32"/>
          <w:szCs w:val="32"/>
        </w:rPr>
        <w:t>法定代表人授权委托书</w:t>
      </w:r>
      <w:bookmarkEnd w:id="72"/>
      <w:bookmarkEnd w:id="73"/>
      <w:bookmarkEnd w:id="74"/>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本授权书声明：注册于（响应人住址）的（响应人名称）法定代表人（法定代表人姓名、职务）代表本公司授权在下面签字的（响应人代表姓名、职务）为本公司的合法代理人，就贵方组织的</w:t>
      </w:r>
      <w:r>
        <w:rPr>
          <w:kern w:val="0"/>
          <w:szCs w:val="21"/>
        </w:rPr>
        <w:fldChar w:fldCharType="begin"/>
      </w:r>
      <w:r>
        <w:rPr>
          <w:kern w:val="0"/>
          <w:szCs w:val="21"/>
        </w:rPr>
        <w:instrText xml:space="preserve"> REF 项目名称 \h  \* MERGEFORMAT </w:instrText>
      </w:r>
      <w:r>
        <w:rPr>
          <w:kern w:val="0"/>
          <w:szCs w:val="21"/>
        </w:rPr>
        <w:fldChar w:fldCharType="separate"/>
      </w:r>
      <w:r>
        <w:rPr>
          <w:kern w:val="0"/>
          <w:szCs w:val="21"/>
        </w:rPr>
        <w:t>中央财经大学                          采购项目</w:t>
      </w:r>
      <w:r>
        <w:rPr>
          <w:kern w:val="0"/>
          <w:szCs w:val="21"/>
        </w:rPr>
        <w:fldChar w:fldCharType="end"/>
      </w:r>
      <w:r>
        <w:rPr>
          <w:kern w:val="0"/>
          <w:szCs w:val="21"/>
        </w:rPr>
        <w:t>，项目编号：          ，以本公司名义处理一切与之有关的事务。</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本授权书于    年  月  日签字生效，特此声明。</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法定代表人签字或盖章：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谈判供应商代表签字或盖章：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谈判供应商公章：                       </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 xml:space="preserve">    年    月    日</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附：谈判供应商代表身份证复印件：</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正面：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反面</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widowControl/>
        <w:snapToGrid w:val="0"/>
        <w:spacing w:line="400" w:lineRule="exact"/>
        <w:ind w:firstLine="420" w:firstLineChars="200"/>
        <w:rPr>
          <w:rFonts w:eastAsiaTheme="minorEastAsia"/>
          <w:kern w:val="0"/>
          <w:szCs w:val="21"/>
        </w:rPr>
      </w:pPr>
      <w:r>
        <w:t>注：除可填报项目外，对本委托书的任何实质性修改将被视为非实质性响应，从而导致该响应被拒绝。</w:t>
      </w:r>
    </w:p>
    <w:p>
      <w:pPr>
        <w:widowControl/>
        <w:jc w:val="left"/>
        <w:rPr>
          <w:rFonts w:eastAsiaTheme="minorEastAsia"/>
          <w:b/>
          <w:bCs/>
          <w:kern w:val="0"/>
          <w:szCs w:val="21"/>
        </w:rPr>
      </w:pPr>
      <w:r>
        <w:rPr>
          <w:rFonts w:eastAsiaTheme="minorEastAsia"/>
          <w:b/>
          <w:bCs/>
          <w:kern w:val="0"/>
          <w:szCs w:val="21"/>
        </w:rPr>
        <w:br w:type="page"/>
      </w: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75" w:name="_Toc477981729"/>
      <w:bookmarkStart w:id="76" w:name="_Ref477980368"/>
      <w:bookmarkStart w:id="77" w:name="_Ref477980390"/>
      <w:r>
        <w:rPr>
          <w:rFonts w:ascii="Times New Roman" w:hAnsi="Times New Roman" w:eastAsiaTheme="minorEastAsia"/>
          <w:bCs/>
          <w:kern w:val="2"/>
          <w:sz w:val="32"/>
          <w:szCs w:val="32"/>
        </w:rPr>
        <w:t>制造厂家授权委托书</w:t>
      </w:r>
      <w:bookmarkEnd w:id="75"/>
      <w:bookmarkEnd w:id="76"/>
      <w:bookmarkEnd w:id="77"/>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中央财经大学：</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作为设在（厂家地址）的制造（投标货物名称和型号）的（制造厂家名称）在此授权（代理公司名称和地址）用我厂制造的上述货物就中央财经大学                 项目，项目编号：        递交响应文件并进行后继的合同谈判和签署合同。</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kern w:val="0"/>
          <w:szCs w:val="21"/>
        </w:rPr>
        <w:t>根据谈判文件和合同条款的规定，我们在此保证为上述公司就此次招标而提交的货物承担全部质量保证责任。</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出具授权书的制造厂家名称：            （加盖公章）</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left"/>
        <w:textAlignment w:val="baseline"/>
        <w:rPr>
          <w:kern w:val="0"/>
          <w:szCs w:val="21"/>
        </w:rPr>
      </w:pPr>
      <w:r>
        <w:rPr>
          <w:rFonts w:hint="eastAsia"/>
          <w:kern w:val="0"/>
          <w:szCs w:val="21"/>
        </w:rPr>
        <w:t>授权人签字：</w:t>
      </w:r>
    </w:p>
    <w:p>
      <w:pPr>
        <w:pBdr>
          <w:top w:val="dashed" w:color="auto" w:sz="4" w:space="1"/>
          <w:left w:val="dashed" w:color="auto" w:sz="4" w:space="4"/>
          <w:bottom w:val="dashed" w:color="auto" w:sz="4" w:space="1"/>
          <w:right w:val="dashed" w:color="auto" w:sz="4" w:space="4"/>
        </w:pBdr>
        <w:adjustRightInd w:val="0"/>
        <w:spacing w:line="400" w:lineRule="exact"/>
        <w:ind w:firstLine="420" w:firstLineChars="200"/>
        <w:jc w:val="right"/>
        <w:textAlignment w:val="baseline"/>
        <w:rPr>
          <w:kern w:val="0"/>
          <w:szCs w:val="21"/>
        </w:rPr>
      </w:pPr>
      <w:r>
        <w:rPr>
          <w:rFonts w:hint="eastAsia"/>
          <w:kern w:val="0"/>
          <w:szCs w:val="21"/>
        </w:rPr>
        <w:t xml:space="preserve">    年  月  日</w:t>
      </w:r>
    </w:p>
    <w:p>
      <w:pPr>
        <w:pStyle w:val="40"/>
      </w:pPr>
    </w:p>
    <w:p>
      <w:pPr>
        <w:widowControl/>
        <w:jc w:val="left"/>
        <w:rPr>
          <w:rFonts w:eastAsiaTheme="minorEastAsia"/>
          <w:szCs w:val="21"/>
        </w:rPr>
      </w:pPr>
      <w:r>
        <w:rPr>
          <w:rFonts w:eastAsiaTheme="minorEastAsia"/>
          <w:szCs w:val="21"/>
        </w:rPr>
        <w:br w:type="page"/>
      </w: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78" w:name="_Toc477981730"/>
      <w:bookmarkStart w:id="79" w:name="_Ref477980369"/>
      <w:bookmarkStart w:id="80" w:name="_Ref477980392"/>
      <w:r>
        <w:rPr>
          <w:rFonts w:ascii="Times New Roman" w:hAnsi="Times New Roman" w:eastAsiaTheme="minorEastAsia"/>
          <w:bCs/>
          <w:kern w:val="2"/>
          <w:sz w:val="32"/>
          <w:szCs w:val="32"/>
        </w:rPr>
        <w:t>商务文件偏离表</w:t>
      </w:r>
      <w:bookmarkEnd w:id="78"/>
      <w:bookmarkEnd w:id="79"/>
      <w:bookmarkEnd w:id="80"/>
    </w:p>
    <w:p>
      <w:pPr>
        <w:widowControl/>
        <w:spacing w:line="400" w:lineRule="exact"/>
        <w:ind w:firstLine="420" w:firstLineChars="200"/>
        <w:rPr>
          <w:rFonts w:eastAsiaTheme="minorEastAsia"/>
          <w:kern w:val="0"/>
          <w:szCs w:val="21"/>
        </w:rPr>
      </w:pPr>
      <w:r>
        <w:rPr>
          <w:rFonts w:eastAsiaTheme="minorEastAsia"/>
          <w:kern w:val="0"/>
          <w:szCs w:val="21"/>
        </w:rPr>
        <w:t>如谈判供应商提交的商务文件与谈判文件的要求存在偏离，需逐项填写商务文件偏离表，否则认为谈判供应商完全接受谈判文件的要求。</w:t>
      </w:r>
    </w:p>
    <w:p>
      <w:pPr>
        <w:widowControl/>
        <w:spacing w:line="400" w:lineRule="exact"/>
        <w:ind w:firstLine="420" w:firstLineChars="200"/>
        <w:rPr>
          <w:rFonts w:eastAsiaTheme="minorEastAsia"/>
          <w:kern w:val="0"/>
          <w:szCs w:val="21"/>
        </w:rPr>
      </w:pPr>
      <w:r>
        <mc:AlternateContent>
          <mc:Choice Requires="wps">
            <w:drawing>
              <wp:anchor distT="0" distB="0" distL="114300" distR="114300" simplePos="0" relativeHeight="251659264" behindDoc="1" locked="0" layoutInCell="1" allowOverlap="1">
                <wp:simplePos x="0" y="0"/>
                <wp:positionH relativeFrom="column">
                  <wp:posOffset>-38100</wp:posOffset>
                </wp:positionH>
                <wp:positionV relativeFrom="paragraph">
                  <wp:posOffset>35560</wp:posOffset>
                </wp:positionV>
                <wp:extent cx="5394960" cy="2773680"/>
                <wp:effectExtent l="0" t="0" r="15240" b="26670"/>
                <wp:wrapNone/>
                <wp:docPr id="3" name="矩形 3"/>
                <wp:cNvGraphicFramePr/>
                <a:graphic xmlns:a="http://schemas.openxmlformats.org/drawingml/2006/main">
                  <a:graphicData uri="http://schemas.microsoft.com/office/word/2010/wordprocessingShape">
                    <wps:wsp>
                      <wps:cNvSpPr>
                        <a:spLocks noChangeArrowheads="1"/>
                      </wps:cNvSpPr>
                      <wps:spPr bwMode="auto">
                        <a:xfrm>
                          <a:off x="0" y="0"/>
                          <a:ext cx="5394960" cy="277368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3pt;margin-top:2.8pt;height:218.4pt;width:424.8pt;z-index:-251657216;mso-width-relative:page;mso-height-relative:page;" fillcolor="#FFFFFF" filled="t" stroked="t" coordsize="21600,21600" o:gfxdata="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BXQgI9cAAAAIAQAADwAAAAAAAAABACAA&#10;AAAiAAAAZHJzL2Rvd25yZXYueG1sUEsBAhQAFAAAAAgAh07iQIa3g25HAgAAlwQAAA4AAAAAAAAA&#10;AQAgAAAAJgEAAGRycy9lMm9Eb2MueG1sUEsFBgAAAAAGAAYAWQEAAN8FAAAAAA==&#10;">
                <v:fill on="t" focussize="0,0"/>
                <v:stroke weight="1pt" color="#000000" miterlimit="8" joinstyle="miter" dashstyle="dash"/>
                <v:imagedata o:title=""/>
                <o:lock v:ext="edit" aspectratio="f"/>
              </v:rect>
            </w:pict>
          </mc:Fallback>
        </mc:AlternateContent>
      </w:r>
      <w:r>
        <w:rPr>
          <w:rFonts w:eastAsiaTheme="minorEastAsia"/>
          <w:kern w:val="0"/>
          <w:szCs w:val="21"/>
        </w:rPr>
        <w:t>项目名称：</w:t>
      </w:r>
      <w:r>
        <w:rPr>
          <w:rFonts w:eastAsiaTheme="minorEastAsia"/>
          <w:kern w:val="0"/>
          <w:szCs w:val="21"/>
          <w:u w:val="single"/>
        </w:rPr>
        <w:t xml:space="preserve">                                     </w:t>
      </w:r>
    </w:p>
    <w:p>
      <w:pPr>
        <w:widowControl/>
        <w:spacing w:line="400" w:lineRule="exact"/>
        <w:ind w:firstLine="420" w:firstLineChars="200"/>
        <w:rPr>
          <w:rFonts w:eastAsiaTheme="minorEastAsia"/>
          <w:kern w:val="0"/>
          <w:szCs w:val="21"/>
        </w:rPr>
      </w:pPr>
      <w:r>
        <w:rPr>
          <w:rFonts w:eastAsiaTheme="minorEastAsia"/>
          <w:kern w:val="0"/>
          <w:szCs w:val="21"/>
        </w:rPr>
        <w:t>项目编号：</w:t>
      </w:r>
      <w:r>
        <w:rPr>
          <w:rFonts w:eastAsiaTheme="minorEastAsia"/>
          <w:kern w:val="0"/>
          <w:szCs w:val="21"/>
          <w:u w:val="single"/>
        </w:rPr>
        <w:t xml:space="preserve">                                      </w:t>
      </w:r>
    </w:p>
    <w:p>
      <w:pPr>
        <w:widowControl/>
        <w:spacing w:line="400" w:lineRule="exact"/>
        <w:ind w:firstLine="420" w:firstLineChars="200"/>
        <w:rPr>
          <w:rFonts w:eastAsiaTheme="minorEastAsia"/>
          <w:kern w:val="0"/>
          <w:szCs w:val="21"/>
        </w:rPr>
      </w:pPr>
    </w:p>
    <w:tbl>
      <w:tblPr>
        <w:tblStyle w:val="17"/>
        <w:tblW w:w="82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8"/>
        <w:gridCol w:w="1800"/>
        <w:gridCol w:w="2400"/>
        <w:gridCol w:w="2294"/>
        <w:gridCol w:w="10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40"/>
            </w:pPr>
            <w:r>
              <w:rPr>
                <w:rFonts w:hint="eastAsia"/>
              </w:rPr>
              <w:t>序号</w:t>
            </w:r>
          </w:p>
        </w:tc>
        <w:tc>
          <w:tcPr>
            <w:tcW w:w="1800" w:type="dxa"/>
          </w:tcPr>
          <w:p>
            <w:pPr>
              <w:pStyle w:val="40"/>
            </w:pPr>
            <w:r>
              <w:rPr>
                <w:rFonts w:hint="eastAsia"/>
              </w:rPr>
              <w:t>谈判文件条目号</w:t>
            </w:r>
          </w:p>
        </w:tc>
        <w:tc>
          <w:tcPr>
            <w:tcW w:w="2400" w:type="dxa"/>
          </w:tcPr>
          <w:p>
            <w:pPr>
              <w:pStyle w:val="40"/>
            </w:pPr>
            <w:r>
              <w:rPr>
                <w:rFonts w:hint="eastAsia"/>
              </w:rPr>
              <w:t>谈判文件商务文件要求</w:t>
            </w:r>
          </w:p>
        </w:tc>
        <w:tc>
          <w:tcPr>
            <w:tcW w:w="2294" w:type="dxa"/>
          </w:tcPr>
          <w:p>
            <w:pPr>
              <w:pStyle w:val="40"/>
            </w:pPr>
            <w:r>
              <w:rPr>
                <w:rFonts w:hint="eastAsia"/>
              </w:rPr>
              <w:t>谈判文件的应答</w:t>
            </w:r>
          </w:p>
        </w:tc>
        <w:tc>
          <w:tcPr>
            <w:tcW w:w="1015" w:type="dxa"/>
          </w:tcPr>
          <w:p>
            <w:pPr>
              <w:pStyle w:val="40"/>
            </w:pPr>
            <w:r>
              <w:rPr>
                <w:rFonts w:hint="eastAsia"/>
              </w:rPr>
              <w:t>说  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40"/>
            </w:pPr>
          </w:p>
        </w:tc>
        <w:tc>
          <w:tcPr>
            <w:tcW w:w="1800" w:type="dxa"/>
          </w:tcPr>
          <w:p>
            <w:pPr>
              <w:pStyle w:val="40"/>
            </w:pPr>
          </w:p>
        </w:tc>
        <w:tc>
          <w:tcPr>
            <w:tcW w:w="2400" w:type="dxa"/>
          </w:tcPr>
          <w:p>
            <w:pPr>
              <w:pStyle w:val="40"/>
            </w:pPr>
          </w:p>
        </w:tc>
        <w:tc>
          <w:tcPr>
            <w:tcW w:w="2294" w:type="dxa"/>
          </w:tcPr>
          <w:p>
            <w:pPr>
              <w:pStyle w:val="40"/>
            </w:pPr>
            <w:r>
              <w:rPr>
                <w:rFonts w:hint="eastAsia"/>
              </w:rPr>
              <w:t>满足/不满足</w:t>
            </w:r>
          </w:p>
        </w:tc>
        <w:tc>
          <w:tcPr>
            <w:tcW w:w="1015" w:type="dxa"/>
          </w:tcPr>
          <w:p>
            <w:pPr>
              <w:pStyle w:val="40"/>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8" w:type="dxa"/>
          </w:tcPr>
          <w:p>
            <w:pPr>
              <w:pStyle w:val="40"/>
            </w:pPr>
          </w:p>
        </w:tc>
        <w:tc>
          <w:tcPr>
            <w:tcW w:w="1800" w:type="dxa"/>
          </w:tcPr>
          <w:p>
            <w:pPr>
              <w:pStyle w:val="40"/>
            </w:pPr>
          </w:p>
        </w:tc>
        <w:tc>
          <w:tcPr>
            <w:tcW w:w="2400" w:type="dxa"/>
          </w:tcPr>
          <w:p>
            <w:pPr>
              <w:pStyle w:val="40"/>
            </w:pPr>
          </w:p>
        </w:tc>
        <w:tc>
          <w:tcPr>
            <w:tcW w:w="2294" w:type="dxa"/>
          </w:tcPr>
          <w:p>
            <w:pPr>
              <w:pStyle w:val="40"/>
            </w:pPr>
          </w:p>
        </w:tc>
        <w:tc>
          <w:tcPr>
            <w:tcW w:w="1015" w:type="dxa"/>
          </w:tcPr>
          <w:p>
            <w:pPr>
              <w:pStyle w:val="40"/>
            </w:pPr>
          </w:p>
        </w:tc>
      </w:tr>
    </w:tbl>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eastAsiaTheme="minorEastAsia"/>
          <w:kern w:val="0"/>
          <w:szCs w:val="21"/>
        </w:rPr>
        <w:t>谈判供应商公章：</w:t>
      </w:r>
    </w:p>
    <w:p>
      <w:pPr>
        <w:widowControl/>
        <w:spacing w:line="400" w:lineRule="exact"/>
        <w:ind w:firstLine="420" w:firstLineChars="200"/>
        <w:rPr>
          <w:rFonts w:eastAsiaTheme="minorEastAsia"/>
          <w:kern w:val="0"/>
          <w:szCs w:val="21"/>
        </w:rPr>
      </w:pPr>
      <w:r>
        <w:rPr>
          <w:rFonts w:eastAsiaTheme="minorEastAsia"/>
          <w:kern w:val="0"/>
          <w:szCs w:val="21"/>
        </w:rPr>
        <w:t>谈判供应商代表签字：</w:t>
      </w:r>
      <w:r>
        <w:rPr>
          <w:rFonts w:eastAsiaTheme="minorEastAsia"/>
          <w:kern w:val="0"/>
          <w:szCs w:val="21"/>
          <w:u w:val="single"/>
        </w:rPr>
        <w:t xml:space="preserve">                              </w:t>
      </w:r>
    </w:p>
    <w:p>
      <w:pPr>
        <w:pStyle w:val="40"/>
      </w:pPr>
      <w:r>
        <w:rPr>
          <w:rFonts w:hint="eastAsia"/>
        </w:rPr>
        <w:t>年  月  日</w:t>
      </w:r>
    </w:p>
    <w:p>
      <w:pPr>
        <w:widowControl/>
        <w:spacing w:line="400" w:lineRule="exact"/>
        <w:ind w:firstLine="420" w:firstLineChars="200"/>
        <w:rPr>
          <w:rFonts w:eastAsiaTheme="minorEastAsia"/>
          <w:kern w:val="0"/>
          <w:szCs w:val="21"/>
          <w:u w:val="single"/>
        </w:rPr>
      </w:pPr>
    </w:p>
    <w:p>
      <w:pPr>
        <w:widowControl/>
        <w:spacing w:line="400" w:lineRule="exact"/>
        <w:ind w:firstLine="420" w:firstLineChars="200"/>
        <w:rPr>
          <w:rFonts w:eastAsiaTheme="minorEastAsia"/>
          <w:kern w:val="0"/>
          <w:szCs w:val="21"/>
        </w:rPr>
      </w:pPr>
    </w:p>
    <w:p>
      <w:pPr>
        <w:widowControl/>
        <w:spacing w:line="400" w:lineRule="exact"/>
        <w:ind w:firstLine="420" w:firstLineChars="200"/>
        <w:rPr>
          <w:rFonts w:eastAsiaTheme="minorEastAsia"/>
          <w:kern w:val="0"/>
          <w:szCs w:val="21"/>
        </w:rPr>
      </w:pPr>
      <w:r>
        <w:rPr>
          <w:rFonts w:hint="eastAsia" w:eastAsiaTheme="minorEastAsia"/>
          <w:kern w:val="0"/>
          <w:szCs w:val="21"/>
        </w:rPr>
        <w:t>注：本表格式可自制，若无商务偏离，请注明。</w:t>
      </w:r>
    </w:p>
    <w:p>
      <w:pPr>
        <w:widowControl/>
        <w:jc w:val="left"/>
        <w:rPr>
          <w:rFonts w:eastAsiaTheme="minorEastAsia"/>
          <w:kern w:val="0"/>
          <w:szCs w:val="21"/>
          <w:u w:val="single"/>
        </w:rPr>
      </w:pPr>
      <w:r>
        <w:rPr>
          <w:rFonts w:eastAsiaTheme="minorEastAsia"/>
          <w:kern w:val="0"/>
          <w:szCs w:val="21"/>
          <w:u w:val="single"/>
        </w:rPr>
        <w:br w:type="page"/>
      </w: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bookmarkStart w:id="81" w:name="_Toc86202649"/>
      <w:bookmarkEnd w:id="81"/>
      <w:bookmarkStart w:id="82" w:name="_Toc86202650"/>
      <w:bookmarkEnd w:id="82"/>
      <w:r>
        <mc:AlternateContent>
          <mc:Choice Requires="wps">
            <w:drawing>
              <wp:anchor distT="0" distB="0" distL="114300" distR="114300" simplePos="0" relativeHeight="251660288" behindDoc="1" locked="0" layoutInCell="1" allowOverlap="1">
                <wp:simplePos x="0" y="0"/>
                <wp:positionH relativeFrom="margin">
                  <wp:align>left</wp:align>
                </wp:positionH>
                <wp:positionV relativeFrom="paragraph">
                  <wp:posOffset>561340</wp:posOffset>
                </wp:positionV>
                <wp:extent cx="5234940" cy="6734175"/>
                <wp:effectExtent l="0" t="0" r="22860" b="28575"/>
                <wp:wrapNone/>
                <wp:docPr id="4" name="矩形 4"/>
                <wp:cNvGraphicFramePr/>
                <a:graphic xmlns:a="http://schemas.openxmlformats.org/drawingml/2006/main">
                  <a:graphicData uri="http://schemas.microsoft.com/office/word/2010/wordprocessingShape">
                    <wps:wsp>
                      <wps:cNvSpPr>
                        <a:spLocks noChangeArrowheads="1"/>
                      </wps:cNvSpPr>
                      <wps:spPr bwMode="auto">
                        <a:xfrm>
                          <a:off x="0" y="0"/>
                          <a:ext cx="5234940" cy="6734175"/>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top:44.2pt;height:530.25pt;width:412.2pt;mso-position-horizontal:left;mso-position-horizontal-relative:margin;z-index:-251656192;mso-width-relative:page;mso-height-relative:page;" fillcolor="#FFFFFF" filled="t" stroked="t" coordsize="21600,21600" o:gfxdata="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ErfvTdYAAAAIAQAADwAAAAAAAAABACAAAAAi&#10;AAAAZHJzL2Rvd25yZXYueG1sUEsBAhQAFAAAAAgAh07iQHKFHc5FAgAAlwQAAA4AAAAAAAAAAQAg&#10;AAAAJQEAAGRycy9lMm9Eb2MueG1sUEsFBgAAAAAGAAYAWQEAANwFAAAAAA==&#10;">
                <v:fill on="t" focussize="0,0"/>
                <v:stroke weight="1pt" color="#000000" miterlimit="8" joinstyle="miter" dashstyle="dash"/>
                <v:imagedata o:title=""/>
                <o:lock v:ext="edit" aspectratio="f"/>
              </v:rect>
            </w:pict>
          </mc:Fallback>
        </mc:AlternateContent>
      </w:r>
      <w:r>
        <w:rPr>
          <w:rFonts w:ascii="Times New Roman" w:hAnsi="Times New Roman" w:eastAsiaTheme="minorEastAsia"/>
          <w:bCs/>
          <w:kern w:val="2"/>
          <w:sz w:val="32"/>
          <w:szCs w:val="32"/>
        </w:rPr>
        <w:t xml:space="preserve"> </w:t>
      </w:r>
      <w:r>
        <w:rPr>
          <w:rFonts w:hint="default" w:ascii="Times New Roman" w:hAnsi="Times New Roman" w:eastAsiaTheme="minorEastAsia"/>
          <w:bCs/>
          <w:kern w:val="2"/>
          <w:sz w:val="32"/>
          <w:szCs w:val="32"/>
        </w:rPr>
        <w:t xml:space="preserve"> </w:t>
      </w:r>
      <w:bookmarkStart w:id="83" w:name="_Ref477978168"/>
      <w:bookmarkStart w:id="84" w:name="_Toc477981731"/>
      <w:r>
        <w:rPr>
          <w:rFonts w:ascii="Times New Roman" w:hAnsi="Times New Roman" w:eastAsiaTheme="minorEastAsia"/>
          <w:bCs/>
          <w:kern w:val="2"/>
          <w:sz w:val="32"/>
          <w:szCs w:val="32"/>
        </w:rPr>
        <w:t>报价一览表</w:t>
      </w:r>
      <w:bookmarkEnd w:id="83"/>
      <w:bookmarkEnd w:id="84"/>
    </w:p>
    <w:p>
      <w:pPr>
        <w:snapToGrid w:val="0"/>
        <w:spacing w:line="400" w:lineRule="exact"/>
        <w:ind w:firstLine="420" w:firstLineChars="200"/>
        <w:rPr>
          <w:rFonts w:eastAsiaTheme="minorEastAsia"/>
          <w:szCs w:val="21"/>
        </w:rPr>
      </w:pPr>
      <w:r>
        <w:rPr>
          <w:rFonts w:eastAsiaTheme="minorEastAsia"/>
          <w:szCs w:val="21"/>
        </w:rPr>
        <w:t>项目名称：</w:t>
      </w:r>
      <w:r>
        <w:rPr>
          <w:rFonts w:eastAsiaTheme="minorEastAsia"/>
          <w:szCs w:val="21"/>
        </w:rPr>
        <w:fldChar w:fldCharType="begin"/>
      </w:r>
      <w:r>
        <w:rPr>
          <w:rFonts w:eastAsiaTheme="minorEastAsia"/>
          <w:szCs w:val="21"/>
        </w:rPr>
        <w:instrText xml:space="preserve"> REF 项目名称 \h </w:instrText>
      </w:r>
      <w:r>
        <w:rPr>
          <w:rFonts w:eastAsiaTheme="minorEastAsia"/>
          <w:szCs w:val="21"/>
        </w:rPr>
        <w:fldChar w:fldCharType="separate"/>
      </w:r>
      <w:r>
        <w:t>中央财经大学                          采购项目</w:t>
      </w:r>
      <w:r>
        <w:rPr>
          <w:rFonts w:eastAsiaTheme="minorEastAsia"/>
          <w:szCs w:val="21"/>
        </w:rPr>
        <w:fldChar w:fldCharType="end"/>
      </w:r>
    </w:p>
    <w:p>
      <w:pPr>
        <w:snapToGrid w:val="0"/>
        <w:spacing w:line="400" w:lineRule="exact"/>
        <w:ind w:firstLine="420" w:firstLineChars="200"/>
        <w:rPr>
          <w:rFonts w:eastAsiaTheme="minorEastAsia"/>
          <w:szCs w:val="21"/>
          <w:u w:val="single"/>
        </w:rPr>
      </w:pPr>
      <w:r>
        <w:rPr>
          <w:rFonts w:eastAsiaTheme="minorEastAsia"/>
          <w:szCs w:val="21"/>
        </w:rPr>
        <w:t>项目编号：</w:t>
      </w:r>
      <w:r>
        <w:rPr>
          <w:rFonts w:eastAsiaTheme="minorEastAsia"/>
          <w:szCs w:val="21"/>
          <w:u w:val="single"/>
        </w:rPr>
        <w:t xml:space="preserve">                                </w:t>
      </w:r>
    </w:p>
    <w:p>
      <w:pPr>
        <w:snapToGrid w:val="0"/>
        <w:spacing w:line="400" w:lineRule="exact"/>
        <w:ind w:firstLine="420" w:firstLineChars="200"/>
        <w:rPr>
          <w:rFonts w:eastAsiaTheme="minorEastAsia"/>
          <w:szCs w:val="21"/>
          <w:u w:val="single"/>
        </w:rPr>
      </w:pPr>
      <w:r>
        <w:rPr>
          <w:rFonts w:eastAsiaTheme="minorEastAsia"/>
          <w:szCs w:val="21"/>
        </w:rPr>
        <w:t xml:space="preserve">谈判供应商名称： </w:t>
      </w:r>
      <w:r>
        <w:rPr>
          <w:rFonts w:eastAsiaTheme="minorEastAsia"/>
          <w:szCs w:val="21"/>
          <w:u w:val="single"/>
        </w:rPr>
        <w:t xml:space="preserve">                           </w:t>
      </w:r>
    </w:p>
    <w:p>
      <w:pPr>
        <w:snapToGrid w:val="0"/>
        <w:spacing w:line="400" w:lineRule="exact"/>
        <w:ind w:firstLine="420" w:firstLineChars="200"/>
        <w:rPr>
          <w:rFonts w:eastAsiaTheme="minorEastAsia"/>
          <w:szCs w:val="21"/>
        </w:rPr>
      </w:pPr>
      <w:r>
        <w:rPr>
          <w:rFonts w:hint="eastAsia" w:eastAsiaTheme="minorEastAsia"/>
          <w:szCs w:val="21"/>
        </w:rPr>
        <w:t>包号：（以包为单位分别填报，如无此项可不填写）</w:t>
      </w:r>
    </w:p>
    <w:p>
      <w:pPr>
        <w:snapToGrid w:val="0"/>
        <w:spacing w:line="400" w:lineRule="exact"/>
        <w:ind w:firstLine="420" w:firstLineChars="200"/>
        <w:rPr>
          <w:rFonts w:eastAsiaTheme="minorEastAsia"/>
          <w:szCs w:val="21"/>
        </w:rPr>
      </w:pPr>
      <w:r>
        <w:rPr>
          <w:rFonts w:hint="eastAsia" w:eastAsiaTheme="minorEastAsia"/>
          <w:szCs w:val="21"/>
        </w:rPr>
        <w:t>价格单位：人民币元</w:t>
      </w:r>
    </w:p>
    <w:tbl>
      <w:tblPr>
        <w:tblStyle w:val="17"/>
        <w:tblW w:w="8080" w:type="dxa"/>
        <w:tblInd w:w="-15"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958"/>
        <w:gridCol w:w="1112"/>
        <w:gridCol w:w="709"/>
        <w:gridCol w:w="709"/>
        <w:gridCol w:w="709"/>
        <w:gridCol w:w="708"/>
        <w:gridCol w:w="709"/>
        <w:gridCol w:w="887"/>
        <w:gridCol w:w="729"/>
        <w:gridCol w:w="850"/>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958" w:type="dxa"/>
            <w:tcBorders>
              <w:top w:val="single" w:color="auto" w:sz="12" w:space="0"/>
              <w:left w:val="single" w:color="auto" w:sz="12" w:space="0"/>
              <w:bottom w:val="single" w:color="auto" w:sz="4" w:space="0"/>
              <w:right w:val="single" w:color="auto" w:sz="4" w:space="0"/>
            </w:tcBorders>
            <w:vAlign w:val="center"/>
          </w:tcPr>
          <w:p>
            <w:pPr>
              <w:pStyle w:val="40"/>
            </w:pPr>
            <w:r>
              <w:t>序号</w:t>
            </w:r>
          </w:p>
        </w:tc>
        <w:tc>
          <w:tcPr>
            <w:tcW w:w="1112" w:type="dxa"/>
            <w:tcBorders>
              <w:top w:val="single" w:color="auto" w:sz="12" w:space="0"/>
              <w:left w:val="single" w:color="auto" w:sz="4" w:space="0"/>
              <w:bottom w:val="single" w:color="auto" w:sz="4" w:space="0"/>
              <w:right w:val="single" w:color="auto" w:sz="4" w:space="0"/>
            </w:tcBorders>
            <w:vAlign w:val="center"/>
          </w:tcPr>
          <w:p>
            <w:pPr>
              <w:pStyle w:val="40"/>
            </w:pPr>
            <w:r>
              <w:t>货物名称</w:t>
            </w:r>
          </w:p>
        </w:tc>
        <w:tc>
          <w:tcPr>
            <w:tcW w:w="709" w:type="dxa"/>
            <w:tcBorders>
              <w:top w:val="single" w:color="auto" w:sz="12" w:space="0"/>
              <w:left w:val="single" w:color="auto" w:sz="4" w:space="0"/>
              <w:bottom w:val="single" w:color="auto" w:sz="4" w:space="0"/>
              <w:right w:val="single" w:color="auto" w:sz="4" w:space="0"/>
            </w:tcBorders>
            <w:vAlign w:val="center"/>
          </w:tcPr>
          <w:p>
            <w:pPr>
              <w:pStyle w:val="40"/>
            </w:pPr>
            <w:r>
              <w:t>品牌</w:t>
            </w:r>
          </w:p>
        </w:tc>
        <w:tc>
          <w:tcPr>
            <w:tcW w:w="709" w:type="dxa"/>
            <w:tcBorders>
              <w:top w:val="single" w:color="auto" w:sz="12" w:space="0"/>
              <w:left w:val="single" w:color="auto" w:sz="4" w:space="0"/>
              <w:bottom w:val="single" w:color="auto" w:sz="4" w:space="0"/>
              <w:right w:val="single" w:color="auto" w:sz="4" w:space="0"/>
            </w:tcBorders>
            <w:vAlign w:val="center"/>
          </w:tcPr>
          <w:p>
            <w:pPr>
              <w:pStyle w:val="40"/>
            </w:pPr>
            <w:r>
              <w:t>型号</w:t>
            </w:r>
          </w:p>
        </w:tc>
        <w:tc>
          <w:tcPr>
            <w:tcW w:w="709" w:type="dxa"/>
            <w:tcBorders>
              <w:top w:val="single" w:color="auto" w:sz="12" w:space="0"/>
              <w:left w:val="single" w:color="auto" w:sz="4" w:space="0"/>
              <w:bottom w:val="single" w:color="auto" w:sz="4" w:space="0"/>
              <w:right w:val="single" w:color="auto" w:sz="4" w:space="0"/>
            </w:tcBorders>
            <w:vAlign w:val="center"/>
          </w:tcPr>
          <w:p>
            <w:pPr>
              <w:pStyle w:val="40"/>
            </w:pPr>
            <w:r>
              <w:t>数量</w:t>
            </w:r>
          </w:p>
        </w:tc>
        <w:tc>
          <w:tcPr>
            <w:tcW w:w="708" w:type="dxa"/>
            <w:tcBorders>
              <w:top w:val="single" w:color="auto" w:sz="12" w:space="0"/>
              <w:left w:val="single" w:color="auto" w:sz="4" w:space="0"/>
              <w:bottom w:val="single" w:color="auto" w:sz="4" w:space="0"/>
              <w:right w:val="single" w:color="auto" w:sz="4" w:space="0"/>
            </w:tcBorders>
            <w:vAlign w:val="center"/>
          </w:tcPr>
          <w:p>
            <w:pPr>
              <w:pStyle w:val="40"/>
            </w:pPr>
            <w:r>
              <w:t>单价</w:t>
            </w:r>
          </w:p>
        </w:tc>
        <w:tc>
          <w:tcPr>
            <w:tcW w:w="709" w:type="dxa"/>
            <w:tcBorders>
              <w:top w:val="single" w:color="auto" w:sz="12" w:space="0"/>
              <w:left w:val="single" w:color="auto" w:sz="4" w:space="0"/>
              <w:bottom w:val="single" w:color="auto" w:sz="4" w:space="0"/>
              <w:right w:val="single" w:color="auto" w:sz="4" w:space="0"/>
            </w:tcBorders>
            <w:vAlign w:val="center"/>
          </w:tcPr>
          <w:p>
            <w:pPr>
              <w:pStyle w:val="40"/>
            </w:pPr>
            <w:r>
              <w:t>总价</w:t>
            </w:r>
          </w:p>
        </w:tc>
        <w:tc>
          <w:tcPr>
            <w:tcW w:w="887" w:type="dxa"/>
            <w:tcBorders>
              <w:top w:val="single" w:color="auto" w:sz="12" w:space="0"/>
              <w:left w:val="single" w:color="auto" w:sz="4" w:space="0"/>
              <w:bottom w:val="single" w:color="auto" w:sz="4" w:space="0"/>
              <w:right w:val="single" w:color="auto" w:sz="4" w:space="0"/>
            </w:tcBorders>
            <w:vAlign w:val="center"/>
          </w:tcPr>
          <w:p>
            <w:pPr>
              <w:pStyle w:val="40"/>
            </w:pPr>
            <w:r>
              <w:t>交货期</w:t>
            </w:r>
          </w:p>
        </w:tc>
        <w:tc>
          <w:tcPr>
            <w:tcW w:w="729" w:type="dxa"/>
            <w:tcBorders>
              <w:top w:val="single" w:color="auto" w:sz="12" w:space="0"/>
              <w:left w:val="single" w:color="auto" w:sz="4" w:space="0"/>
              <w:bottom w:val="single" w:color="auto" w:sz="4" w:space="0"/>
              <w:right w:val="single" w:color="auto" w:sz="4" w:space="0"/>
            </w:tcBorders>
            <w:vAlign w:val="center"/>
          </w:tcPr>
          <w:p>
            <w:pPr>
              <w:pStyle w:val="40"/>
            </w:pPr>
            <w:r>
              <w:t>交货地点</w:t>
            </w:r>
          </w:p>
        </w:tc>
        <w:tc>
          <w:tcPr>
            <w:tcW w:w="850" w:type="dxa"/>
            <w:tcBorders>
              <w:top w:val="single" w:color="auto" w:sz="12" w:space="0"/>
              <w:left w:val="single" w:color="auto" w:sz="4" w:space="0"/>
              <w:bottom w:val="single" w:color="auto" w:sz="4" w:space="0"/>
              <w:right w:val="single" w:color="auto" w:sz="4" w:space="0"/>
            </w:tcBorders>
            <w:vAlign w:val="center"/>
          </w:tcPr>
          <w:p>
            <w:pPr>
              <w:pStyle w:val="40"/>
            </w:pPr>
            <w:r>
              <w:t>售后服务承诺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8" w:type="dxa"/>
            <w:tcBorders>
              <w:top w:val="single" w:color="auto" w:sz="4" w:space="0"/>
              <w:left w:val="single" w:color="auto" w:sz="12" w:space="0"/>
              <w:bottom w:val="single" w:color="auto" w:sz="4" w:space="0"/>
              <w:right w:val="single" w:color="auto" w:sz="4" w:space="0"/>
            </w:tcBorders>
            <w:vAlign w:val="center"/>
          </w:tcPr>
          <w:p>
            <w:pPr>
              <w:pStyle w:val="40"/>
              <w:ind w:firstLine="0" w:firstLineChars="0"/>
            </w:pPr>
            <w:r>
              <w:rPr>
                <w:rFonts w:hint="eastAsia"/>
              </w:rPr>
              <w:t>1、</w:t>
            </w:r>
          </w:p>
        </w:tc>
        <w:tc>
          <w:tcPr>
            <w:tcW w:w="111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bCs/>
              </w:rPr>
            </w:pPr>
            <w:r>
              <w:rPr>
                <w:rFonts w:hint="eastAsia" w:ascii="宋体" w:hAnsi="宋体" w:cs="宋体"/>
                <w:bCs/>
              </w:rPr>
              <w:t>ATS系统配电柜及强电电路改造</w:t>
            </w: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887" w:type="dxa"/>
            <w:tcBorders>
              <w:top w:val="single" w:color="auto" w:sz="4" w:space="0"/>
              <w:left w:val="single" w:color="auto" w:sz="4" w:space="0"/>
              <w:bottom w:val="single" w:color="auto" w:sz="4" w:space="0"/>
              <w:right w:val="single" w:color="auto" w:sz="4" w:space="0"/>
            </w:tcBorders>
            <w:vAlign w:val="center"/>
          </w:tcPr>
          <w:p>
            <w:pPr>
              <w:pStyle w:val="40"/>
            </w:pPr>
          </w:p>
        </w:tc>
        <w:tc>
          <w:tcPr>
            <w:tcW w:w="729" w:type="dxa"/>
            <w:tcBorders>
              <w:top w:val="single" w:color="auto" w:sz="4" w:space="0"/>
              <w:left w:val="single" w:color="auto" w:sz="4" w:space="0"/>
              <w:bottom w:val="single" w:color="auto" w:sz="4" w:space="0"/>
              <w:right w:val="single" w:color="auto" w:sz="4" w:space="0"/>
            </w:tcBorders>
            <w:vAlign w:val="center"/>
          </w:tcPr>
          <w:p>
            <w:pPr>
              <w:pStyle w:val="40"/>
            </w:pPr>
          </w:p>
        </w:tc>
        <w:tc>
          <w:tcPr>
            <w:tcW w:w="850" w:type="dxa"/>
            <w:tcBorders>
              <w:top w:val="single" w:color="auto" w:sz="4" w:space="0"/>
              <w:left w:val="single" w:color="auto" w:sz="4" w:space="0"/>
              <w:bottom w:val="single" w:color="auto" w:sz="4" w:space="0"/>
              <w:right w:val="single" w:color="auto" w:sz="4" w:space="0"/>
            </w:tcBorders>
            <w:vAlign w:val="center"/>
          </w:tcPr>
          <w:p>
            <w:pPr>
              <w:pStyle w:val="4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8" w:type="dxa"/>
            <w:tcBorders>
              <w:top w:val="single" w:color="auto" w:sz="4" w:space="0"/>
              <w:left w:val="single" w:color="auto" w:sz="12" w:space="0"/>
              <w:bottom w:val="single" w:color="auto" w:sz="4" w:space="0"/>
              <w:right w:val="single" w:color="auto" w:sz="4" w:space="0"/>
            </w:tcBorders>
            <w:vAlign w:val="center"/>
          </w:tcPr>
          <w:p>
            <w:pPr>
              <w:pStyle w:val="40"/>
              <w:ind w:firstLine="0" w:firstLineChars="0"/>
            </w:pPr>
            <w:r>
              <w:rPr>
                <w:rFonts w:hint="eastAsia"/>
              </w:rPr>
              <w:t>2、</w:t>
            </w:r>
          </w:p>
        </w:tc>
        <w:tc>
          <w:tcPr>
            <w:tcW w:w="111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pPr>
            <w:r>
              <w:rPr>
                <w:rFonts w:hint="eastAsia" w:ascii="宋体" w:hAnsi="宋体" w:cs="宋体"/>
                <w:bCs/>
              </w:rPr>
              <w:t>强电配电系统</w:t>
            </w: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887" w:type="dxa"/>
            <w:tcBorders>
              <w:top w:val="single" w:color="auto" w:sz="4" w:space="0"/>
              <w:left w:val="single" w:color="auto" w:sz="4" w:space="0"/>
              <w:bottom w:val="single" w:color="auto" w:sz="4" w:space="0"/>
              <w:right w:val="single" w:color="auto" w:sz="4" w:space="0"/>
            </w:tcBorders>
            <w:vAlign w:val="center"/>
          </w:tcPr>
          <w:p>
            <w:pPr>
              <w:pStyle w:val="40"/>
            </w:pPr>
          </w:p>
        </w:tc>
        <w:tc>
          <w:tcPr>
            <w:tcW w:w="729" w:type="dxa"/>
            <w:tcBorders>
              <w:top w:val="single" w:color="auto" w:sz="4" w:space="0"/>
              <w:left w:val="single" w:color="auto" w:sz="4" w:space="0"/>
              <w:bottom w:val="single" w:color="auto" w:sz="4" w:space="0"/>
              <w:right w:val="single" w:color="auto" w:sz="4" w:space="0"/>
            </w:tcBorders>
            <w:vAlign w:val="center"/>
          </w:tcPr>
          <w:p>
            <w:pPr>
              <w:pStyle w:val="40"/>
            </w:pPr>
          </w:p>
        </w:tc>
        <w:tc>
          <w:tcPr>
            <w:tcW w:w="850" w:type="dxa"/>
            <w:tcBorders>
              <w:top w:val="single" w:color="auto" w:sz="4" w:space="0"/>
              <w:left w:val="single" w:color="auto" w:sz="4" w:space="0"/>
              <w:bottom w:val="single" w:color="auto" w:sz="4" w:space="0"/>
              <w:right w:val="single" w:color="auto" w:sz="4" w:space="0"/>
            </w:tcBorders>
            <w:vAlign w:val="center"/>
          </w:tcPr>
          <w:p>
            <w:pPr>
              <w:pStyle w:val="4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8" w:type="dxa"/>
            <w:tcBorders>
              <w:top w:val="single" w:color="auto" w:sz="4" w:space="0"/>
              <w:left w:val="single" w:color="auto" w:sz="12" w:space="0"/>
              <w:bottom w:val="single" w:color="auto" w:sz="4" w:space="0"/>
              <w:right w:val="single" w:color="auto" w:sz="4" w:space="0"/>
            </w:tcBorders>
            <w:vAlign w:val="center"/>
          </w:tcPr>
          <w:p>
            <w:pPr>
              <w:pStyle w:val="40"/>
              <w:ind w:firstLine="0" w:firstLineChars="0"/>
            </w:pPr>
            <w:r>
              <w:rPr>
                <w:rFonts w:hint="eastAsia"/>
              </w:rPr>
              <w:t>3、</w:t>
            </w:r>
            <w:r>
              <w:rPr>
                <w:rFonts w:hint="eastAsia"/>
              </w:rPr>
              <w:tab/>
            </w:r>
          </w:p>
        </w:tc>
        <w:tc>
          <w:tcPr>
            <w:tcW w:w="111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rPr>
                <w:rFonts w:ascii="宋体" w:hAnsi="宋体" w:cs="宋体"/>
                <w:bCs/>
              </w:rPr>
            </w:pPr>
            <w:r>
              <w:rPr>
                <w:rFonts w:hint="eastAsia"/>
              </w:rPr>
              <w:t>UPS系统</w:t>
            </w: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887" w:type="dxa"/>
            <w:tcBorders>
              <w:top w:val="single" w:color="auto" w:sz="4" w:space="0"/>
              <w:left w:val="single" w:color="auto" w:sz="4" w:space="0"/>
              <w:bottom w:val="single" w:color="auto" w:sz="4" w:space="0"/>
              <w:right w:val="single" w:color="auto" w:sz="4" w:space="0"/>
            </w:tcBorders>
            <w:vAlign w:val="center"/>
          </w:tcPr>
          <w:p>
            <w:pPr>
              <w:pStyle w:val="40"/>
            </w:pPr>
          </w:p>
        </w:tc>
        <w:tc>
          <w:tcPr>
            <w:tcW w:w="729" w:type="dxa"/>
            <w:tcBorders>
              <w:top w:val="single" w:color="auto" w:sz="4" w:space="0"/>
              <w:left w:val="single" w:color="auto" w:sz="4" w:space="0"/>
              <w:bottom w:val="single" w:color="auto" w:sz="4" w:space="0"/>
              <w:right w:val="single" w:color="auto" w:sz="4" w:space="0"/>
            </w:tcBorders>
            <w:vAlign w:val="center"/>
          </w:tcPr>
          <w:p>
            <w:pPr>
              <w:pStyle w:val="40"/>
            </w:pPr>
          </w:p>
        </w:tc>
        <w:tc>
          <w:tcPr>
            <w:tcW w:w="850" w:type="dxa"/>
            <w:tcBorders>
              <w:top w:val="single" w:color="auto" w:sz="4" w:space="0"/>
              <w:left w:val="single" w:color="auto" w:sz="4" w:space="0"/>
              <w:bottom w:val="single" w:color="auto" w:sz="4" w:space="0"/>
              <w:right w:val="single" w:color="auto" w:sz="4" w:space="0"/>
            </w:tcBorders>
            <w:vAlign w:val="center"/>
          </w:tcPr>
          <w:p>
            <w:pPr>
              <w:pStyle w:val="4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8" w:type="dxa"/>
            <w:tcBorders>
              <w:top w:val="single" w:color="auto" w:sz="4" w:space="0"/>
              <w:left w:val="single" w:color="auto" w:sz="12" w:space="0"/>
              <w:bottom w:val="single" w:color="auto" w:sz="4" w:space="0"/>
              <w:right w:val="single" w:color="auto" w:sz="4" w:space="0"/>
            </w:tcBorders>
            <w:vAlign w:val="center"/>
          </w:tcPr>
          <w:p>
            <w:pPr>
              <w:pStyle w:val="40"/>
              <w:ind w:firstLine="0" w:firstLineChars="0"/>
            </w:pPr>
            <w:r>
              <w:rPr>
                <w:rFonts w:hint="eastAsia"/>
              </w:rPr>
              <w:t>4、</w:t>
            </w:r>
          </w:p>
        </w:tc>
        <w:tc>
          <w:tcPr>
            <w:tcW w:w="111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pPr>
            <w:r>
              <w:rPr>
                <w:rFonts w:hint="eastAsia" w:ascii="宋体" w:hAnsi="宋体" w:cs="宋体"/>
                <w:bCs/>
              </w:rPr>
              <w:t>环境监控系统</w:t>
            </w: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r>
              <w:rPr>
                <w:rFonts w:hint="eastAsia"/>
              </w:rPr>
              <w:t>1</w:t>
            </w:r>
          </w:p>
        </w:tc>
        <w:tc>
          <w:tcPr>
            <w:tcW w:w="708"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887" w:type="dxa"/>
            <w:tcBorders>
              <w:top w:val="single" w:color="auto" w:sz="4" w:space="0"/>
              <w:left w:val="single" w:color="auto" w:sz="4" w:space="0"/>
              <w:bottom w:val="single" w:color="auto" w:sz="4" w:space="0"/>
              <w:right w:val="single" w:color="auto" w:sz="4" w:space="0"/>
            </w:tcBorders>
            <w:vAlign w:val="center"/>
          </w:tcPr>
          <w:p>
            <w:pPr>
              <w:pStyle w:val="40"/>
            </w:pPr>
          </w:p>
        </w:tc>
        <w:tc>
          <w:tcPr>
            <w:tcW w:w="729" w:type="dxa"/>
            <w:tcBorders>
              <w:top w:val="single" w:color="auto" w:sz="4" w:space="0"/>
              <w:left w:val="single" w:color="auto" w:sz="4" w:space="0"/>
              <w:bottom w:val="single" w:color="auto" w:sz="4" w:space="0"/>
              <w:right w:val="single" w:color="auto" w:sz="4" w:space="0"/>
            </w:tcBorders>
            <w:vAlign w:val="center"/>
          </w:tcPr>
          <w:p>
            <w:pPr>
              <w:pStyle w:val="40"/>
            </w:pPr>
          </w:p>
        </w:tc>
        <w:tc>
          <w:tcPr>
            <w:tcW w:w="850" w:type="dxa"/>
            <w:tcBorders>
              <w:top w:val="single" w:color="auto" w:sz="4" w:space="0"/>
              <w:left w:val="single" w:color="auto" w:sz="4" w:space="0"/>
              <w:bottom w:val="single" w:color="auto" w:sz="4" w:space="0"/>
              <w:right w:val="single" w:color="auto" w:sz="4" w:space="0"/>
            </w:tcBorders>
            <w:vAlign w:val="center"/>
          </w:tcPr>
          <w:p>
            <w:pPr>
              <w:pStyle w:val="4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13" w:hRule="atLeast"/>
        </w:trPr>
        <w:tc>
          <w:tcPr>
            <w:tcW w:w="958" w:type="dxa"/>
            <w:tcBorders>
              <w:top w:val="single" w:color="auto" w:sz="4" w:space="0"/>
              <w:left w:val="single" w:color="auto" w:sz="12" w:space="0"/>
              <w:bottom w:val="single" w:color="auto" w:sz="4" w:space="0"/>
              <w:right w:val="single" w:color="auto" w:sz="4" w:space="0"/>
            </w:tcBorders>
            <w:vAlign w:val="center"/>
          </w:tcPr>
          <w:p>
            <w:pPr>
              <w:pStyle w:val="40"/>
              <w:ind w:firstLine="0" w:firstLineChars="0"/>
            </w:pPr>
            <w:r>
              <w:rPr>
                <w:rFonts w:hint="eastAsia"/>
              </w:rPr>
              <w:t>5、</w:t>
            </w:r>
          </w:p>
        </w:tc>
        <w:tc>
          <w:tcPr>
            <w:tcW w:w="1112"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pPr>
            <w:r>
              <w:rPr>
                <w:rFonts w:hint="eastAsia" w:ascii="宋体" w:hAnsi="宋体" w:cs="宋体"/>
                <w:bCs/>
              </w:rPr>
              <w:t>可拆卸抗静电活动防火地板</w:t>
            </w: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ind w:firstLine="0" w:firstLineChars="0"/>
            </w:pPr>
            <w:r>
              <w:rPr>
                <w:rFonts w:hint="eastAsia" w:ascii="宋体" w:hAnsi="宋体" w:cs="宋体"/>
                <w:bCs/>
              </w:rPr>
              <w:t>24平米</w:t>
            </w:r>
          </w:p>
        </w:tc>
        <w:tc>
          <w:tcPr>
            <w:tcW w:w="708" w:type="dxa"/>
            <w:tcBorders>
              <w:top w:val="single" w:color="auto" w:sz="4" w:space="0"/>
              <w:left w:val="single" w:color="auto" w:sz="4" w:space="0"/>
              <w:bottom w:val="single" w:color="auto" w:sz="4" w:space="0"/>
              <w:right w:val="single" w:color="auto" w:sz="4" w:space="0"/>
            </w:tcBorders>
            <w:vAlign w:val="center"/>
          </w:tcPr>
          <w:p>
            <w:pPr>
              <w:pStyle w:val="40"/>
            </w:pPr>
          </w:p>
        </w:tc>
        <w:tc>
          <w:tcPr>
            <w:tcW w:w="709" w:type="dxa"/>
            <w:tcBorders>
              <w:top w:val="single" w:color="auto" w:sz="4" w:space="0"/>
              <w:left w:val="single" w:color="auto" w:sz="4" w:space="0"/>
              <w:bottom w:val="single" w:color="auto" w:sz="4" w:space="0"/>
              <w:right w:val="single" w:color="auto" w:sz="4" w:space="0"/>
            </w:tcBorders>
            <w:vAlign w:val="center"/>
          </w:tcPr>
          <w:p>
            <w:pPr>
              <w:pStyle w:val="40"/>
            </w:pPr>
          </w:p>
        </w:tc>
        <w:tc>
          <w:tcPr>
            <w:tcW w:w="887" w:type="dxa"/>
            <w:tcBorders>
              <w:top w:val="single" w:color="auto" w:sz="4" w:space="0"/>
              <w:left w:val="single" w:color="auto" w:sz="4" w:space="0"/>
              <w:bottom w:val="single" w:color="auto" w:sz="4" w:space="0"/>
              <w:right w:val="single" w:color="auto" w:sz="4" w:space="0"/>
            </w:tcBorders>
            <w:vAlign w:val="center"/>
          </w:tcPr>
          <w:p>
            <w:pPr>
              <w:pStyle w:val="40"/>
            </w:pPr>
          </w:p>
        </w:tc>
        <w:tc>
          <w:tcPr>
            <w:tcW w:w="729" w:type="dxa"/>
            <w:tcBorders>
              <w:top w:val="single" w:color="auto" w:sz="4" w:space="0"/>
              <w:left w:val="single" w:color="auto" w:sz="4" w:space="0"/>
              <w:bottom w:val="single" w:color="auto" w:sz="4" w:space="0"/>
              <w:right w:val="single" w:color="auto" w:sz="4" w:space="0"/>
            </w:tcBorders>
            <w:vAlign w:val="center"/>
          </w:tcPr>
          <w:p>
            <w:pPr>
              <w:pStyle w:val="40"/>
            </w:pPr>
          </w:p>
        </w:tc>
        <w:tc>
          <w:tcPr>
            <w:tcW w:w="850" w:type="dxa"/>
            <w:tcBorders>
              <w:top w:val="single" w:color="auto" w:sz="4" w:space="0"/>
              <w:left w:val="single" w:color="auto" w:sz="4" w:space="0"/>
              <w:bottom w:val="single" w:color="auto" w:sz="4" w:space="0"/>
              <w:right w:val="single" w:color="auto" w:sz="4" w:space="0"/>
            </w:tcBorders>
            <w:vAlign w:val="center"/>
          </w:tcPr>
          <w:p>
            <w:pPr>
              <w:pStyle w:val="40"/>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33" w:hRule="atLeast"/>
        </w:trPr>
        <w:tc>
          <w:tcPr>
            <w:tcW w:w="958" w:type="dxa"/>
            <w:tcBorders>
              <w:top w:val="single" w:color="auto" w:sz="4" w:space="0"/>
              <w:left w:val="single" w:color="auto" w:sz="12" w:space="0"/>
              <w:bottom w:val="single" w:color="auto" w:sz="4" w:space="0"/>
              <w:right w:val="single" w:color="auto" w:sz="4" w:space="0"/>
            </w:tcBorders>
            <w:vAlign w:val="center"/>
          </w:tcPr>
          <w:p>
            <w:pPr>
              <w:pStyle w:val="40"/>
            </w:pPr>
            <w:r>
              <w:t>合计：</w:t>
            </w:r>
          </w:p>
        </w:tc>
        <w:tc>
          <w:tcPr>
            <w:tcW w:w="2530" w:type="dxa"/>
            <w:gridSpan w:val="3"/>
            <w:tcBorders>
              <w:top w:val="single" w:color="auto" w:sz="4" w:space="0"/>
              <w:left w:val="single" w:color="auto" w:sz="4" w:space="0"/>
              <w:bottom w:val="single" w:color="auto" w:sz="4" w:space="0"/>
              <w:right w:val="single" w:color="auto" w:sz="4" w:space="0"/>
            </w:tcBorders>
            <w:vAlign w:val="center"/>
          </w:tcPr>
          <w:p>
            <w:pPr>
              <w:pStyle w:val="40"/>
            </w:pPr>
            <w:r>
              <w:t>小写：        元</w:t>
            </w:r>
          </w:p>
        </w:tc>
        <w:tc>
          <w:tcPr>
            <w:tcW w:w="4592" w:type="dxa"/>
            <w:gridSpan w:val="6"/>
            <w:tcBorders>
              <w:top w:val="single" w:color="auto" w:sz="4" w:space="0"/>
              <w:left w:val="single" w:color="auto" w:sz="4" w:space="0"/>
              <w:bottom w:val="single" w:color="auto" w:sz="4" w:space="0"/>
              <w:right w:val="single" w:color="auto" w:sz="4" w:space="0"/>
            </w:tcBorders>
            <w:vAlign w:val="center"/>
          </w:tcPr>
          <w:p>
            <w:pPr>
              <w:pStyle w:val="40"/>
            </w:pPr>
            <w:r>
              <w:t>大写：                                          元</w:t>
            </w:r>
          </w:p>
        </w:tc>
      </w:tr>
    </w:tbl>
    <w:p>
      <w:pPr>
        <w:pStyle w:val="9"/>
        <w:tabs>
          <w:tab w:val="left" w:pos="5580"/>
        </w:tabs>
        <w:spacing w:before="120" w:line="400" w:lineRule="exact"/>
        <w:ind w:firstLine="422" w:firstLineChars="200"/>
        <w:rPr>
          <w:rFonts w:ascii="Times New Roman" w:hAnsi="Times New Roman" w:eastAsiaTheme="minorEastAsia"/>
          <w:b/>
          <w:color w:val="000000"/>
        </w:rPr>
      </w:pPr>
    </w:p>
    <w:p>
      <w:pPr>
        <w:pStyle w:val="9"/>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9"/>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40"/>
      </w:pPr>
      <w:r>
        <w:t>年  月  日</w:t>
      </w:r>
    </w:p>
    <w:p>
      <w:pPr>
        <w:pStyle w:val="40"/>
      </w:pPr>
    </w:p>
    <w:p>
      <w:pPr>
        <w:snapToGrid w:val="0"/>
        <w:spacing w:line="400" w:lineRule="exact"/>
        <w:ind w:firstLine="420" w:firstLineChars="200"/>
        <w:rPr>
          <w:rFonts w:eastAsiaTheme="minorEastAsia"/>
          <w:szCs w:val="21"/>
        </w:rPr>
      </w:pPr>
      <w:r>
        <w:rPr>
          <w:rFonts w:eastAsiaTheme="minorEastAsia"/>
          <w:szCs w:val="21"/>
        </w:rPr>
        <w:t>注：1、此表应按响应人须知的规定密封标记并单独递交。</w:t>
      </w:r>
    </w:p>
    <w:p>
      <w:pPr>
        <w:snapToGrid w:val="0"/>
        <w:spacing w:line="400" w:lineRule="exact"/>
        <w:ind w:firstLine="420" w:firstLineChars="200"/>
        <w:rPr>
          <w:rFonts w:eastAsiaTheme="minorEastAsia"/>
          <w:szCs w:val="21"/>
        </w:rPr>
      </w:pPr>
      <w:r>
        <w:rPr>
          <w:rFonts w:eastAsiaTheme="minorEastAsia"/>
          <w:szCs w:val="21"/>
        </w:rPr>
        <w:t>2、各项货物详细技术性能应另页描述。</w:t>
      </w:r>
    </w:p>
    <w:p>
      <w:pPr>
        <w:snapToGrid w:val="0"/>
        <w:spacing w:line="400" w:lineRule="exact"/>
        <w:ind w:firstLine="420" w:firstLineChars="200"/>
        <w:rPr>
          <w:rFonts w:eastAsiaTheme="minorEastAsia"/>
          <w:szCs w:val="21"/>
        </w:rPr>
      </w:pPr>
      <w:r>
        <w:rPr>
          <w:rFonts w:eastAsiaTheme="minorEastAsia"/>
          <w:szCs w:val="21"/>
        </w:rPr>
        <w:t>3、除可填报项目外，对本表的任何实质性修改将被视为非实质性响应，从而导致响应被拒绝。</w:t>
      </w:r>
    </w:p>
    <w:p>
      <w:pPr>
        <w:pStyle w:val="40"/>
      </w:pPr>
      <w:r>
        <w:t xml:space="preserve"> </w:t>
      </w:r>
    </w:p>
    <w:p>
      <w:pPr>
        <w:widowControl/>
        <w:snapToGrid w:val="0"/>
        <w:spacing w:line="400" w:lineRule="exact"/>
        <w:ind w:left="426" w:firstLine="422" w:firstLineChars="200"/>
        <w:jc w:val="left"/>
        <w:rPr>
          <w:rFonts w:eastAsiaTheme="minorEastAsia"/>
          <w:b/>
          <w:bCs/>
          <w:kern w:val="0"/>
          <w:szCs w:val="21"/>
        </w:rPr>
        <w:sectPr>
          <w:pgSz w:w="11906" w:h="16838"/>
          <w:pgMar w:top="1440" w:right="1800" w:bottom="1440" w:left="1800" w:header="851" w:footer="992" w:gutter="0"/>
          <w:cols w:space="720" w:num="1"/>
          <w:docGrid w:type="lines" w:linePitch="312" w:charSpace="0"/>
        </w:sectPr>
      </w:pP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85" w:name="_Toc477981732"/>
      <w:bookmarkStart w:id="86" w:name="_Ref477978171"/>
      <w:r>
        <w:rPr>
          <w:rFonts w:ascii="Times New Roman" w:hAnsi="Times New Roman" w:eastAsiaTheme="minorEastAsia"/>
          <w:bCs/>
          <w:kern w:val="2"/>
          <w:sz w:val="32"/>
          <w:szCs w:val="32"/>
        </w:rPr>
        <w:t>技术规范偏离表</w:t>
      </w:r>
      <w:bookmarkEnd w:id="85"/>
      <w:bookmarkEnd w:id="86"/>
    </w:p>
    <w:p>
      <w:pPr>
        <w:snapToGrid w:val="0"/>
        <w:spacing w:line="400" w:lineRule="exact"/>
        <w:ind w:firstLine="420" w:firstLineChars="200"/>
        <w:rPr>
          <w:rFonts w:eastAsiaTheme="minorEastAsia"/>
          <w:szCs w:val="21"/>
        </w:rPr>
      </w:pPr>
      <w:r>
        <w:rPr>
          <w:rFonts w:hint="eastAsia" w:eastAsiaTheme="minorEastAsia"/>
          <w:szCs w:val="21"/>
        </w:rPr>
        <w:t>如响应人提供的货物、服务与谈判文件的要求存在偏离，需逐项填写该表，完全满足谈判文件要求的响应人需应答“完全满足谈判文件的全部要求”。</w:t>
      </w:r>
    </w:p>
    <w:p>
      <w:pPr>
        <w:spacing w:line="400" w:lineRule="exact"/>
        <w:ind w:firstLine="420" w:firstLineChars="200"/>
        <w:rPr>
          <w:rFonts w:eastAsiaTheme="minorEastAsia"/>
          <w:szCs w:val="21"/>
        </w:rPr>
      </w:pPr>
      <w:r>
        <mc:AlternateContent>
          <mc:Choice Requires="wps">
            <w:drawing>
              <wp:anchor distT="0" distB="0" distL="114300" distR="114300" simplePos="0" relativeHeight="251661312" behindDoc="1" locked="0" layoutInCell="1" allowOverlap="1">
                <wp:simplePos x="0" y="0"/>
                <wp:positionH relativeFrom="column">
                  <wp:posOffset>0</wp:posOffset>
                </wp:positionH>
                <wp:positionV relativeFrom="paragraph">
                  <wp:posOffset>129540</wp:posOffset>
                </wp:positionV>
                <wp:extent cx="5295900" cy="4328160"/>
                <wp:effectExtent l="0" t="0" r="19050" b="15240"/>
                <wp:wrapNone/>
                <wp:docPr id="5" name="矩形 5"/>
                <wp:cNvGraphicFramePr/>
                <a:graphic xmlns:a="http://schemas.openxmlformats.org/drawingml/2006/main">
                  <a:graphicData uri="http://schemas.microsoft.com/office/word/2010/wordprocessingShape">
                    <wps:wsp>
                      <wps:cNvSpPr>
                        <a:spLocks noChangeArrowheads="1"/>
                      </wps:cNvSpPr>
                      <wps:spPr bwMode="auto">
                        <a:xfrm>
                          <a:off x="0" y="0"/>
                          <a:ext cx="5295900" cy="432816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0.2pt;height:340.8pt;width:417pt;z-index:-251655168;mso-width-relative:page;mso-height-relative:page;" fillcolor="#FFFFFF" filled="t" stroked="t" coordsize="21600,21600" o:gfxdata="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">
                <v:fill on="t" focussize="0,0"/>
                <v:stroke weight="1pt" color="#000000" miterlimit="8" joinstyle="miter" dashstyle="dash"/>
                <v:imagedata o:title=""/>
                <o:lock v:ext="edit" aspectratio="f"/>
              </v:rect>
            </w:pict>
          </mc:Fallback>
        </mc:AlternateContent>
      </w:r>
    </w:p>
    <w:p>
      <w:pPr>
        <w:spacing w:line="400" w:lineRule="exact"/>
        <w:ind w:firstLine="420" w:firstLineChars="200"/>
        <w:rPr>
          <w:rFonts w:eastAsiaTheme="minorEastAsia"/>
          <w:szCs w:val="21"/>
          <w:u w:val="single"/>
        </w:rPr>
      </w:pPr>
      <w:r>
        <w:rPr>
          <w:rFonts w:eastAsiaTheme="minorEastAsia"/>
          <w:szCs w:val="21"/>
        </w:rPr>
        <w:t>项目名称：</w:t>
      </w:r>
      <w:r>
        <w:rPr>
          <w:rFonts w:eastAsiaTheme="minorEastAsia"/>
          <w:szCs w:val="21"/>
        </w:rPr>
        <w:fldChar w:fldCharType="begin"/>
      </w:r>
      <w:r>
        <w:rPr>
          <w:rFonts w:eastAsiaTheme="minorEastAsia"/>
          <w:szCs w:val="21"/>
        </w:rPr>
        <w:instrText xml:space="preserve"> REF 项目名称 \h  \* MERGEFORMAT </w:instrText>
      </w:r>
      <w:r>
        <w:rPr>
          <w:rFonts w:eastAsiaTheme="minorEastAsia"/>
          <w:szCs w:val="21"/>
        </w:rPr>
        <w:fldChar w:fldCharType="separate"/>
      </w:r>
      <w:r>
        <w:t>中央财经大学                          采购项目</w:t>
      </w:r>
      <w:r>
        <w:rPr>
          <w:rFonts w:eastAsiaTheme="minorEastAsia"/>
          <w:szCs w:val="21"/>
        </w:rPr>
        <w:fldChar w:fldCharType="end"/>
      </w:r>
    </w:p>
    <w:p>
      <w:pPr>
        <w:spacing w:line="400" w:lineRule="exact"/>
        <w:ind w:firstLine="420" w:firstLineChars="200"/>
        <w:rPr>
          <w:rFonts w:eastAsiaTheme="minorEastAsia"/>
          <w:szCs w:val="21"/>
          <w:u w:val="single"/>
        </w:rPr>
      </w:pPr>
      <w:r>
        <w:rPr>
          <w:rFonts w:eastAsiaTheme="minorEastAsia"/>
          <w:szCs w:val="21"/>
        </w:rPr>
        <w:t>项目编号：</w:t>
      </w:r>
    </w:p>
    <w:p>
      <w:pPr>
        <w:spacing w:line="400" w:lineRule="exact"/>
        <w:ind w:firstLine="420" w:firstLineChars="200"/>
        <w:rPr>
          <w:rFonts w:eastAsiaTheme="minorEastAsia"/>
          <w:szCs w:val="21"/>
        </w:rPr>
      </w:pPr>
      <w:r>
        <w:rPr>
          <w:rFonts w:eastAsiaTheme="minorEastAsia"/>
          <w:szCs w:val="21"/>
        </w:rPr>
        <w:t>响应人名称：</w:t>
      </w:r>
    </w:p>
    <w:p>
      <w:pPr>
        <w:spacing w:line="400" w:lineRule="exact"/>
        <w:ind w:firstLine="420" w:firstLineChars="200"/>
      </w:pPr>
      <w:r>
        <w:rPr>
          <w:szCs w:val="21"/>
        </w:rPr>
        <w:t>包号：</w:t>
      </w:r>
      <w:r>
        <w:t>（以包为单位分别填报，如无此项可不填写）</w:t>
      </w:r>
    </w:p>
    <w:p>
      <w:pPr>
        <w:adjustRightInd w:val="0"/>
        <w:spacing w:line="400" w:lineRule="exact"/>
        <w:ind w:firstLine="420" w:firstLineChars="200"/>
        <w:jc w:val="left"/>
        <w:textAlignment w:val="baseline"/>
        <w:rPr>
          <w:rFonts w:eastAsiaTheme="minorEastAsia"/>
          <w:kern w:val="0"/>
          <w:szCs w:val="21"/>
        </w:rPr>
      </w:pPr>
    </w:p>
    <w:tbl>
      <w:tblPr>
        <w:tblStyle w:val="17"/>
        <w:tblW w:w="7789" w:type="dxa"/>
        <w:jc w:val="center"/>
        <w:tblLayout w:type="fixed"/>
        <w:tblCellMar>
          <w:top w:w="0" w:type="dxa"/>
          <w:left w:w="28" w:type="dxa"/>
          <w:bottom w:w="0" w:type="dxa"/>
          <w:right w:w="28" w:type="dxa"/>
        </w:tblCellMar>
      </w:tblPr>
      <w:tblGrid>
        <w:gridCol w:w="1126"/>
        <w:gridCol w:w="2410"/>
        <w:gridCol w:w="1985"/>
        <w:gridCol w:w="1275"/>
        <w:gridCol w:w="993"/>
      </w:tblGrid>
      <w:tr>
        <w:tblPrEx>
          <w:tblCellMar>
            <w:top w:w="0" w:type="dxa"/>
            <w:left w:w="28" w:type="dxa"/>
            <w:bottom w:w="0" w:type="dxa"/>
            <w:right w:w="28" w:type="dxa"/>
          </w:tblCellMar>
        </w:tblPrEx>
        <w:trPr>
          <w:trHeight w:val="567" w:hRule="atLeast"/>
          <w:jc w:val="center"/>
        </w:trPr>
        <w:tc>
          <w:tcPr>
            <w:tcW w:w="1126" w:type="dxa"/>
            <w:tcBorders>
              <w:top w:val="single" w:color="000000" w:sz="6" w:space="0"/>
              <w:left w:val="single" w:color="000000" w:sz="6" w:space="0"/>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序号</w:t>
            </w:r>
          </w:p>
        </w:tc>
        <w:tc>
          <w:tcPr>
            <w:tcW w:w="2410"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谈判文件指标要求</w:t>
            </w:r>
          </w:p>
        </w:tc>
        <w:tc>
          <w:tcPr>
            <w:tcW w:w="198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响应文件的应答</w:t>
            </w:r>
          </w:p>
        </w:tc>
        <w:tc>
          <w:tcPr>
            <w:tcW w:w="1275"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偏离情况</w:t>
            </w:r>
          </w:p>
        </w:tc>
        <w:tc>
          <w:tcPr>
            <w:tcW w:w="993" w:type="dxa"/>
            <w:tcBorders>
              <w:top w:val="single" w:color="000000" w:sz="6" w:space="0"/>
              <w:left w:val="nil"/>
              <w:bottom w:val="single" w:color="000000" w:sz="6" w:space="0"/>
              <w:right w:val="single" w:color="000000" w:sz="6" w:space="0"/>
            </w:tcBorders>
            <w:vAlign w:val="center"/>
          </w:tcPr>
          <w:p>
            <w:pPr>
              <w:adjustRightInd w:val="0"/>
              <w:spacing w:line="400" w:lineRule="exact"/>
              <w:jc w:val="center"/>
              <w:textAlignment w:val="baseline"/>
              <w:rPr>
                <w:rFonts w:eastAsiaTheme="minorEastAsia"/>
                <w:kern w:val="0"/>
                <w:szCs w:val="21"/>
              </w:rPr>
            </w:pPr>
            <w:r>
              <w:rPr>
                <w:rFonts w:eastAsiaTheme="minorEastAsia"/>
                <w:kern w:val="0"/>
                <w:szCs w:val="21"/>
              </w:rPr>
              <w:t>备注</w:t>
            </w: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r>
      <w:tr>
        <w:tblPrEx>
          <w:tblCellMar>
            <w:top w:w="0" w:type="dxa"/>
            <w:left w:w="28" w:type="dxa"/>
            <w:bottom w:w="0" w:type="dxa"/>
            <w:right w:w="28" w:type="dxa"/>
          </w:tblCellMar>
        </w:tblPrEx>
        <w:trPr>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r>
      <w:tr>
        <w:tblPrEx>
          <w:tblCellMar>
            <w:top w:w="0" w:type="dxa"/>
            <w:left w:w="28" w:type="dxa"/>
            <w:bottom w:w="0" w:type="dxa"/>
            <w:right w:w="28" w:type="dxa"/>
          </w:tblCellMar>
        </w:tblPrEx>
        <w:trPr>
          <w:trHeight w:val="90" w:hRule="atLeast"/>
          <w:jc w:val="center"/>
        </w:trPr>
        <w:tc>
          <w:tcPr>
            <w:tcW w:w="1126" w:type="dxa"/>
            <w:tcBorders>
              <w:top w:val="single" w:color="000000" w:sz="6" w:space="0"/>
              <w:left w:val="single" w:color="000000" w:sz="6" w:space="0"/>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2410"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98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1275"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c>
          <w:tcPr>
            <w:tcW w:w="993" w:type="dxa"/>
            <w:tcBorders>
              <w:top w:val="single" w:color="000000" w:sz="6" w:space="0"/>
              <w:left w:val="nil"/>
              <w:bottom w:val="single" w:color="000000" w:sz="6" w:space="0"/>
              <w:right w:val="single" w:color="000000" w:sz="6" w:space="0"/>
            </w:tcBorders>
          </w:tcPr>
          <w:p>
            <w:pPr>
              <w:adjustRightInd w:val="0"/>
              <w:spacing w:line="400" w:lineRule="exact"/>
              <w:jc w:val="left"/>
              <w:textAlignment w:val="baseline"/>
              <w:rPr>
                <w:rFonts w:eastAsiaTheme="minorEastAsia"/>
                <w:kern w:val="0"/>
                <w:szCs w:val="21"/>
              </w:rPr>
            </w:pPr>
          </w:p>
        </w:tc>
      </w:tr>
    </w:tbl>
    <w:p>
      <w:pPr>
        <w:pStyle w:val="9"/>
        <w:tabs>
          <w:tab w:val="left" w:pos="5580"/>
        </w:tabs>
        <w:spacing w:before="120" w:line="400" w:lineRule="exact"/>
        <w:ind w:firstLine="420" w:firstLineChars="200"/>
        <w:rPr>
          <w:rFonts w:ascii="Times New Roman" w:hAnsi="Times New Roman" w:eastAsiaTheme="minorEastAsia"/>
          <w:color w:val="000000"/>
          <w:u w:val="single"/>
        </w:rPr>
      </w:pPr>
      <w:r>
        <w:rPr>
          <w:rFonts w:ascii="Times New Roman" w:hAnsi="Times New Roman" w:eastAsiaTheme="minorEastAsia"/>
          <w:color w:val="000000"/>
        </w:rPr>
        <w:t>响应人名称（盖章）：</w:t>
      </w:r>
    </w:p>
    <w:p>
      <w:pPr>
        <w:pStyle w:val="9"/>
        <w:tabs>
          <w:tab w:val="left" w:pos="5580"/>
        </w:tabs>
        <w:spacing w:before="120" w:line="400" w:lineRule="exact"/>
        <w:ind w:firstLine="420" w:firstLineChars="20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40"/>
        <w:rPr>
          <w:b/>
          <w:bCs/>
          <w:szCs w:val="21"/>
        </w:rPr>
      </w:pPr>
      <w:r>
        <w:t>年  月  日</w:t>
      </w:r>
    </w:p>
    <w:p>
      <w:pPr>
        <w:pStyle w:val="4"/>
        <w:keepNext/>
        <w:keepLines/>
        <w:numPr>
          <w:ilvl w:val="0"/>
          <w:numId w:val="43"/>
        </w:numPr>
        <w:spacing w:before="260" w:beforeAutospacing="0" w:after="260" w:afterAutospacing="0" w:line="415" w:lineRule="auto"/>
        <w:jc w:val="both"/>
        <w:rPr>
          <w:rFonts w:hint="default" w:eastAsiaTheme="minorEastAsia"/>
          <w:szCs w:val="21"/>
        </w:rPr>
      </w:pPr>
      <w:r>
        <w:rPr>
          <w:rFonts w:ascii="Times New Roman" w:hAnsi="Times New Roman" w:eastAsiaTheme="minorEastAsia"/>
          <w:bCs/>
          <w:kern w:val="2"/>
          <w:sz w:val="32"/>
          <w:szCs w:val="32"/>
        </w:rPr>
        <w:br w:type="page"/>
      </w:r>
    </w:p>
    <w:p>
      <w:pPr>
        <w:pStyle w:val="4"/>
        <w:keepNext/>
        <w:keepLines/>
        <w:numPr>
          <w:ilvl w:val="0"/>
          <w:numId w:val="43"/>
        </w:numPr>
        <w:spacing w:before="260" w:beforeAutospacing="0" w:after="260" w:afterAutospacing="0" w:line="415" w:lineRule="auto"/>
        <w:jc w:val="both"/>
        <w:rPr>
          <w:rFonts w:hint="default" w:ascii="Times New Roman" w:hAnsi="Times New Roman" w:eastAsiaTheme="minorEastAsia"/>
          <w:bCs/>
          <w:kern w:val="2"/>
          <w:sz w:val="32"/>
          <w:szCs w:val="32"/>
        </w:rPr>
      </w:pPr>
      <w:r>
        <w:rPr>
          <w:rFonts w:ascii="Times New Roman" w:hAnsi="Times New Roman" w:eastAsiaTheme="minorEastAsia"/>
          <w:bCs/>
          <w:kern w:val="2"/>
          <w:sz w:val="32"/>
          <w:szCs w:val="32"/>
        </w:rPr>
        <w:t xml:space="preserve">  </w:t>
      </w:r>
      <w:bookmarkStart w:id="87" w:name="_Toc477981733"/>
      <w:bookmarkStart w:id="88" w:name="_Ref477978174"/>
      <w:r>
        <w:rPr>
          <w:rFonts w:ascii="Times New Roman" w:hAnsi="Times New Roman" w:eastAsiaTheme="minorEastAsia"/>
          <w:bCs/>
          <w:kern w:val="2"/>
          <w:sz w:val="32"/>
          <w:szCs w:val="32"/>
        </w:rPr>
        <w:t>响应供应商服务项目偏离表</w:t>
      </w:r>
      <w:bookmarkEnd w:id="87"/>
      <w:bookmarkEnd w:id="88"/>
    </w:p>
    <w:p>
      <w:pPr>
        <w:pStyle w:val="46"/>
        <w:spacing w:line="400" w:lineRule="exact"/>
        <w:ind w:left="420" w:firstLine="0" w:firstLineChars="0"/>
        <w:rPr>
          <w:rFonts w:eastAsiaTheme="minorEastAsia"/>
          <w:szCs w:val="21"/>
        </w:rPr>
      </w:pPr>
      <w:r>
        <mc:AlternateContent>
          <mc:Choice Requires="wps">
            <w:drawing>
              <wp:anchor distT="0" distB="0" distL="114300" distR="114300" simplePos="0" relativeHeight="251662336" behindDoc="1" locked="0" layoutInCell="1" allowOverlap="1">
                <wp:simplePos x="0" y="0"/>
                <wp:positionH relativeFrom="column">
                  <wp:posOffset>0</wp:posOffset>
                </wp:positionH>
                <wp:positionV relativeFrom="paragraph">
                  <wp:posOffset>139700</wp:posOffset>
                </wp:positionV>
                <wp:extent cx="5265420" cy="3444240"/>
                <wp:effectExtent l="0" t="0" r="11430" b="22860"/>
                <wp:wrapNone/>
                <wp:docPr id="1" name="矩形 1"/>
                <wp:cNvGraphicFramePr/>
                <a:graphic xmlns:a="http://schemas.openxmlformats.org/drawingml/2006/main">
                  <a:graphicData uri="http://schemas.microsoft.com/office/word/2010/wordprocessingShape">
                    <wps:wsp>
                      <wps:cNvSpPr>
                        <a:spLocks noChangeArrowheads="1"/>
                      </wps:cNvSpPr>
                      <wps:spPr bwMode="auto">
                        <a:xfrm>
                          <a:off x="0" y="0"/>
                          <a:ext cx="5265420" cy="3444240"/>
                        </a:xfrm>
                        <a:prstGeom prst="rect">
                          <a:avLst/>
                        </a:prstGeom>
                        <a:solidFill>
                          <a:srgbClr val="FFFFFF"/>
                        </a:solidFill>
                        <a:ln w="12700">
                          <a:solidFill>
                            <a:srgbClr val="000000"/>
                          </a:solidFill>
                          <a:prstDash val="dash"/>
                          <a:miter lim="800000"/>
                        </a:ln>
                        <a:effectLst/>
                      </wps:spPr>
                      <wps:bodyPr rot="0" vert="horz" wrap="square" lIns="91440" tIns="45720" rIns="91440" bIns="45720" anchor="t" anchorCtr="0" upright="1">
                        <a:noAutofit/>
                      </wps:bodyPr>
                    </wps:wsp>
                  </a:graphicData>
                </a:graphic>
              </wp:anchor>
            </w:drawing>
          </mc:Choice>
          <mc:Fallback>
            <w:pict>
              <v:rect id="_x0000_s1026" o:spid="_x0000_s1026" o:spt="1" style="position:absolute;left:0pt;margin-left:0pt;margin-top:11pt;height:271.2pt;width:414.6pt;z-index:-251654144;mso-width-relative:page;mso-height-relative:page;" fillcolor="#FFFFFF" filled="t" stroked="t" coordsize="21600,21600" o:gfxdata="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AnDfZrWAAAABwEAAA8AAAAAAAAAAQAgAAAA&#10;IgAAAGRycy9kb3ducmV2LnhtbFBLAQIUABQAAAAIAIdO4kBeJSd4RgIAAJcEAAAOAAAAAAAAAAEA&#10;IAAAACUBAABkcnMvZTJvRG9jLnhtbFBLBQYAAAAABgAGAFkBAADdBQAAAAA=&#10;">
                <v:fill on="t" focussize="0,0"/>
                <v:stroke weight="1pt" color="#000000" miterlimit="8" joinstyle="miter" dashstyle="dash"/>
                <v:imagedata o:title=""/>
                <o:lock v:ext="edit" aspectratio="f"/>
              </v:rect>
            </w:pict>
          </mc:Fallback>
        </mc:AlternateContent>
      </w:r>
    </w:p>
    <w:p>
      <w:pPr>
        <w:adjustRightInd w:val="0"/>
        <w:spacing w:line="400" w:lineRule="exact"/>
        <w:ind w:left="420"/>
        <w:jc w:val="left"/>
        <w:textAlignment w:val="baseline"/>
        <w:rPr>
          <w:rFonts w:eastAsiaTheme="minorEastAsia"/>
          <w:kern w:val="0"/>
          <w:szCs w:val="21"/>
        </w:rPr>
      </w:pPr>
      <w:r>
        <w:rPr>
          <w:rFonts w:eastAsiaTheme="minorEastAsia"/>
          <w:szCs w:val="21"/>
        </w:rPr>
        <w:t>项</w:t>
      </w:r>
      <w:r>
        <w:rPr>
          <w:rFonts w:eastAsiaTheme="minorEastAsia"/>
          <w:kern w:val="0"/>
          <w:szCs w:val="21"/>
        </w:rPr>
        <w:t>目名称：</w:t>
      </w:r>
      <w:r>
        <w:rPr>
          <w:rFonts w:eastAsiaTheme="minorEastAsia"/>
          <w:kern w:val="0"/>
          <w:szCs w:val="21"/>
        </w:rPr>
        <w:fldChar w:fldCharType="begin"/>
      </w:r>
      <w:r>
        <w:rPr>
          <w:rFonts w:eastAsiaTheme="minorEastAsia"/>
          <w:kern w:val="0"/>
          <w:szCs w:val="21"/>
        </w:rPr>
        <w:instrText xml:space="preserve"> REF 项目名称 \h  \* MERGEFORMAT </w:instrText>
      </w:r>
      <w:r>
        <w:rPr>
          <w:rFonts w:eastAsiaTheme="minorEastAsia"/>
          <w:kern w:val="0"/>
          <w:szCs w:val="21"/>
        </w:rPr>
        <w:fldChar w:fldCharType="separate"/>
      </w:r>
      <w:r>
        <w:rPr>
          <w:rFonts w:eastAsiaTheme="minorEastAsia"/>
          <w:kern w:val="0"/>
          <w:szCs w:val="21"/>
        </w:rPr>
        <w:t>中央财经大学                          采购项目</w:t>
      </w:r>
      <w:r>
        <w:rPr>
          <w:rFonts w:eastAsiaTheme="minorEastAsia"/>
          <w:kern w:val="0"/>
          <w:szCs w:val="21"/>
        </w:rPr>
        <w:fldChar w:fldCharType="end"/>
      </w:r>
    </w:p>
    <w:p>
      <w:pPr>
        <w:adjustRightInd w:val="0"/>
        <w:spacing w:line="400" w:lineRule="exact"/>
        <w:ind w:left="420"/>
        <w:jc w:val="left"/>
        <w:textAlignment w:val="baseline"/>
        <w:rPr>
          <w:rFonts w:eastAsiaTheme="minorEastAsia"/>
          <w:kern w:val="0"/>
          <w:szCs w:val="21"/>
        </w:rPr>
      </w:pPr>
      <w:r>
        <w:rPr>
          <w:rFonts w:eastAsiaTheme="minorEastAsia"/>
          <w:kern w:val="0"/>
          <w:szCs w:val="21"/>
        </w:rPr>
        <w:t>项目编号：</w:t>
      </w:r>
    </w:p>
    <w:p>
      <w:pPr>
        <w:adjustRightInd w:val="0"/>
        <w:spacing w:line="400" w:lineRule="exact"/>
        <w:ind w:left="420"/>
        <w:jc w:val="left"/>
        <w:textAlignment w:val="baseline"/>
        <w:rPr>
          <w:rFonts w:eastAsiaTheme="minorEastAsia"/>
          <w:kern w:val="0"/>
          <w:szCs w:val="21"/>
        </w:rPr>
      </w:pPr>
      <w:r>
        <w:rPr>
          <w:rFonts w:eastAsiaTheme="minorEastAsia"/>
          <w:kern w:val="0"/>
          <w:szCs w:val="21"/>
        </w:rPr>
        <w:t>响应人名称：</w:t>
      </w:r>
    </w:p>
    <w:p>
      <w:pPr>
        <w:adjustRightInd w:val="0"/>
        <w:spacing w:line="400" w:lineRule="exact"/>
        <w:ind w:left="420"/>
        <w:jc w:val="left"/>
        <w:textAlignment w:val="baseline"/>
        <w:rPr>
          <w:rFonts w:eastAsiaTheme="minorEastAsia"/>
          <w:kern w:val="0"/>
          <w:szCs w:val="21"/>
        </w:rPr>
      </w:pPr>
      <w:r>
        <w:rPr>
          <w:rFonts w:eastAsiaTheme="minorEastAsia"/>
          <w:kern w:val="0"/>
          <w:szCs w:val="21"/>
        </w:rPr>
        <w:t>包号：（以包为单位分别填报，如无此项可不填写）</w:t>
      </w:r>
    </w:p>
    <w:p>
      <w:pPr>
        <w:adjustRightInd w:val="0"/>
        <w:spacing w:line="400" w:lineRule="exact"/>
        <w:ind w:left="420"/>
        <w:jc w:val="left"/>
        <w:textAlignment w:val="baseline"/>
        <w:rPr>
          <w:rFonts w:eastAsiaTheme="minorEastAsia"/>
          <w:szCs w:val="21"/>
        </w:rPr>
      </w:pPr>
    </w:p>
    <w:tbl>
      <w:tblPr>
        <w:tblStyle w:val="17"/>
        <w:tblW w:w="7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60"/>
        <w:gridCol w:w="1701"/>
        <w:gridCol w:w="3055"/>
        <w:gridCol w:w="1275"/>
        <w:gridCol w:w="8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r>
              <w:rPr>
                <w:rFonts w:eastAsiaTheme="minorEastAsia"/>
                <w:szCs w:val="21"/>
              </w:rPr>
              <w:t>序号</w:t>
            </w:r>
          </w:p>
        </w:tc>
        <w:tc>
          <w:tcPr>
            <w:tcW w:w="1701" w:type="dxa"/>
          </w:tcPr>
          <w:p>
            <w:pPr>
              <w:spacing w:line="400" w:lineRule="exact"/>
              <w:jc w:val="center"/>
              <w:rPr>
                <w:rFonts w:eastAsiaTheme="minorEastAsia"/>
                <w:szCs w:val="21"/>
              </w:rPr>
            </w:pPr>
            <w:r>
              <w:rPr>
                <w:rFonts w:eastAsiaTheme="minorEastAsia"/>
                <w:szCs w:val="21"/>
              </w:rPr>
              <w:t>谈判文件要求</w:t>
            </w:r>
          </w:p>
        </w:tc>
        <w:tc>
          <w:tcPr>
            <w:tcW w:w="3055" w:type="dxa"/>
          </w:tcPr>
          <w:p>
            <w:pPr>
              <w:spacing w:line="400" w:lineRule="exact"/>
              <w:rPr>
                <w:rFonts w:eastAsiaTheme="minorEastAsia"/>
                <w:szCs w:val="21"/>
              </w:rPr>
            </w:pPr>
            <w:r>
              <w:rPr>
                <w:rFonts w:eastAsiaTheme="minorEastAsia"/>
                <w:szCs w:val="21"/>
              </w:rPr>
              <w:t>响应文件的应答</w:t>
            </w:r>
          </w:p>
        </w:tc>
        <w:tc>
          <w:tcPr>
            <w:tcW w:w="1275" w:type="dxa"/>
          </w:tcPr>
          <w:p>
            <w:pPr>
              <w:spacing w:line="400" w:lineRule="exact"/>
              <w:rPr>
                <w:rFonts w:eastAsiaTheme="minorEastAsia"/>
                <w:szCs w:val="21"/>
              </w:rPr>
            </w:pPr>
            <w:r>
              <w:rPr>
                <w:rFonts w:eastAsiaTheme="minorEastAsia"/>
                <w:szCs w:val="21"/>
              </w:rPr>
              <w:t>偏离情况</w:t>
            </w:r>
          </w:p>
        </w:tc>
        <w:tc>
          <w:tcPr>
            <w:tcW w:w="851" w:type="dxa"/>
          </w:tcPr>
          <w:p>
            <w:pPr>
              <w:spacing w:line="400" w:lineRule="exact"/>
              <w:rPr>
                <w:rFonts w:eastAsiaTheme="minorEastAsia"/>
                <w:szCs w:val="21"/>
              </w:rPr>
            </w:pPr>
            <w:r>
              <w:rPr>
                <w:rFonts w:eastAsiaTheme="minorEastAsia"/>
                <w:szCs w:val="21"/>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p>
        </w:tc>
        <w:tc>
          <w:tcPr>
            <w:tcW w:w="1701" w:type="dxa"/>
          </w:tcPr>
          <w:p>
            <w:pPr>
              <w:spacing w:line="400" w:lineRule="exact"/>
              <w:rPr>
                <w:rFonts w:eastAsiaTheme="minorEastAsia"/>
                <w:szCs w:val="21"/>
              </w:rPr>
            </w:pPr>
          </w:p>
        </w:tc>
        <w:tc>
          <w:tcPr>
            <w:tcW w:w="3055" w:type="dxa"/>
          </w:tcPr>
          <w:p>
            <w:pPr>
              <w:spacing w:line="400" w:lineRule="exact"/>
              <w:rPr>
                <w:rFonts w:eastAsiaTheme="minorEastAsia"/>
                <w:szCs w:val="21"/>
              </w:rPr>
            </w:pPr>
            <w:r>
              <w:rPr>
                <w:rFonts w:eastAsiaTheme="minorEastAsia"/>
                <w:szCs w:val="21"/>
              </w:rPr>
              <w:t>完全满足谈判文件的全部要求</w:t>
            </w:r>
          </w:p>
        </w:tc>
        <w:tc>
          <w:tcPr>
            <w:tcW w:w="1275" w:type="dxa"/>
          </w:tcPr>
          <w:p>
            <w:pPr>
              <w:spacing w:line="400" w:lineRule="exact"/>
              <w:rPr>
                <w:rFonts w:eastAsiaTheme="minorEastAsia"/>
                <w:szCs w:val="21"/>
              </w:rPr>
            </w:pPr>
          </w:p>
        </w:tc>
        <w:tc>
          <w:tcPr>
            <w:tcW w:w="851" w:type="dxa"/>
          </w:tcPr>
          <w:p>
            <w:pPr>
              <w:spacing w:line="400" w:lineRule="exact"/>
              <w:rPr>
                <w:rFonts w:eastAsia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60" w:type="dxa"/>
          </w:tcPr>
          <w:p>
            <w:pPr>
              <w:spacing w:line="400" w:lineRule="exact"/>
              <w:rPr>
                <w:rFonts w:eastAsiaTheme="minorEastAsia"/>
                <w:szCs w:val="21"/>
              </w:rPr>
            </w:pPr>
          </w:p>
        </w:tc>
        <w:tc>
          <w:tcPr>
            <w:tcW w:w="1701" w:type="dxa"/>
          </w:tcPr>
          <w:p>
            <w:pPr>
              <w:spacing w:line="400" w:lineRule="exact"/>
              <w:rPr>
                <w:rFonts w:eastAsiaTheme="minorEastAsia"/>
                <w:szCs w:val="21"/>
              </w:rPr>
            </w:pPr>
          </w:p>
        </w:tc>
        <w:tc>
          <w:tcPr>
            <w:tcW w:w="3055" w:type="dxa"/>
          </w:tcPr>
          <w:p>
            <w:pPr>
              <w:spacing w:line="400" w:lineRule="exact"/>
              <w:rPr>
                <w:rFonts w:eastAsiaTheme="minorEastAsia"/>
                <w:szCs w:val="21"/>
              </w:rPr>
            </w:pPr>
          </w:p>
        </w:tc>
        <w:tc>
          <w:tcPr>
            <w:tcW w:w="1275" w:type="dxa"/>
          </w:tcPr>
          <w:p>
            <w:pPr>
              <w:spacing w:line="400" w:lineRule="exact"/>
              <w:rPr>
                <w:rFonts w:eastAsiaTheme="minorEastAsia"/>
                <w:szCs w:val="21"/>
              </w:rPr>
            </w:pPr>
          </w:p>
        </w:tc>
        <w:tc>
          <w:tcPr>
            <w:tcW w:w="851" w:type="dxa"/>
          </w:tcPr>
          <w:p>
            <w:pPr>
              <w:spacing w:line="400" w:lineRule="exact"/>
              <w:rPr>
                <w:rFonts w:eastAsiaTheme="minorEastAsia"/>
                <w:szCs w:val="21"/>
              </w:rPr>
            </w:pPr>
          </w:p>
        </w:tc>
      </w:tr>
    </w:tbl>
    <w:p>
      <w:pPr>
        <w:pStyle w:val="9"/>
        <w:tabs>
          <w:tab w:val="left" w:pos="5580"/>
        </w:tabs>
        <w:spacing w:before="120" w:line="400" w:lineRule="exact"/>
        <w:ind w:left="420"/>
        <w:rPr>
          <w:rFonts w:ascii="Times New Roman" w:hAnsi="Times New Roman" w:eastAsiaTheme="minorEastAsia"/>
          <w:color w:val="000000"/>
        </w:rPr>
      </w:pPr>
      <w:r>
        <w:rPr>
          <w:rFonts w:ascii="Times New Roman" w:hAnsi="Times New Roman" w:eastAsiaTheme="minorEastAsia"/>
          <w:color w:val="000000"/>
        </w:rPr>
        <w:t>响应人名称（盖章）：</w:t>
      </w:r>
    </w:p>
    <w:p>
      <w:pPr>
        <w:pStyle w:val="9"/>
        <w:tabs>
          <w:tab w:val="left" w:pos="5580"/>
        </w:tabs>
        <w:spacing w:before="120" w:line="400" w:lineRule="exact"/>
        <w:ind w:left="420"/>
        <w:rPr>
          <w:rFonts w:ascii="Times New Roman" w:hAnsi="Times New Roman" w:eastAsiaTheme="minorEastAsia"/>
          <w:color w:val="000000"/>
        </w:rPr>
      </w:pPr>
      <w:r>
        <w:rPr>
          <w:rFonts w:ascii="Times New Roman" w:hAnsi="Times New Roman" w:eastAsiaTheme="minorEastAsia"/>
          <w:color w:val="000000"/>
        </w:rPr>
        <w:t>响应人授权代表（签字）：</w:t>
      </w:r>
    </w:p>
    <w:p>
      <w:pPr>
        <w:pStyle w:val="40"/>
      </w:pPr>
      <w:r>
        <w:t>年  月  日</w:t>
      </w:r>
    </w:p>
    <w:p>
      <w:pPr>
        <w:pStyle w:val="40"/>
      </w:pPr>
    </w:p>
    <w:p>
      <w:pPr>
        <w:pStyle w:val="40"/>
      </w:pPr>
    </w:p>
    <w:p>
      <w:pPr>
        <w:snapToGrid w:val="0"/>
        <w:spacing w:line="400" w:lineRule="exact"/>
        <w:ind w:firstLine="420" w:firstLineChars="200"/>
        <w:rPr>
          <w:rFonts w:eastAsiaTheme="minorEastAsia"/>
          <w:szCs w:val="21"/>
        </w:rPr>
      </w:pPr>
    </w:p>
    <w:sectPr>
      <w:pgSz w:w="11906" w:h="16838"/>
      <w:pgMar w:top="1440" w:right="1800" w:bottom="1440" w:left="1800" w:header="851" w:footer="992" w:gutter="0"/>
      <w:cols w:space="720" w:num="1"/>
      <w:docGrid w:type="lines" w:linePitch="312" w:charSpace="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comment w:id="0" w:author="货物与服务采购科" w:date="2017-03-22T09:47:00Z" w:initials="WL">
    <w:p w14:paraId="1F102A85">
      <w:pPr>
        <w:pStyle w:val="6"/>
      </w:pPr>
    </w:p>
    <w:p w14:paraId="13211728">
      <w:pPr>
        <w:pStyle w:val="6"/>
      </w:pPr>
      <w:r>
        <w:rPr>
          <w:rFonts w:hint="eastAsia"/>
        </w:rPr>
        <w:t>1、根据项目实际情况填写，包括但不限于项目整体情况，技术需求，售后服务、付款方式等等。</w:t>
      </w:r>
    </w:p>
    <w:p w14:paraId="1D370227">
      <w:pPr>
        <w:pStyle w:val="6"/>
        <w:rPr>
          <w:b/>
        </w:rPr>
      </w:pPr>
      <w:r>
        <w:rPr>
          <w:rFonts w:hint="eastAsia"/>
          <w:b/>
        </w:rPr>
        <w:t>2、注意保持格式统一：</w:t>
      </w:r>
    </w:p>
    <w:p w14:paraId="301220D1">
      <w:pPr>
        <w:pStyle w:val="6"/>
        <w:rPr>
          <w:b/>
        </w:rPr>
      </w:pPr>
      <w:r>
        <w:rPr>
          <w:rFonts w:hint="eastAsia"/>
          <w:b/>
        </w:rPr>
        <w:t>正文——字体宋体、五号；</w:t>
      </w:r>
    </w:p>
    <w:p w14:paraId="1CED2AD4">
      <w:pPr>
        <w:pStyle w:val="6"/>
      </w:pPr>
      <w:r>
        <w:rPr>
          <w:rFonts w:hint="eastAsia"/>
          <w:b/>
        </w:rPr>
        <w:t>行间距——为固定值20；</w:t>
      </w:r>
    </w:p>
    <w:p w14:paraId="6B794BBA">
      <w:pPr>
        <w:pStyle w:val="6"/>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6B794BBA"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libri Light">
    <w:panose1 w:val="020F0302020204030204"/>
    <w:charset w:val="00"/>
    <w:family w:val="swiss"/>
    <w:pitch w:val="default"/>
    <w:sig w:usb0="E4002EFF" w:usb1="C2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楷体_GB2312">
    <w:altName w:val="楷体"/>
    <w:panose1 w:val="00000000000000000000"/>
    <w:charset w:val="86"/>
    <w:family w:val="modern"/>
    <w:pitch w:val="default"/>
    <w:sig w:usb0="00000000" w:usb1="00000000" w:usb2="00000010" w:usb3="00000000" w:csb0="00040000" w:csb1="00000000"/>
  </w:font>
  <w:font w:name="PMingLiU">
    <w:altName w:val="PMingLiU-ExtB"/>
    <w:panose1 w:val="02020500000000000000"/>
    <w:charset w:val="88"/>
    <w:family w:val="auto"/>
    <w:pitch w:val="default"/>
    <w:sig w:usb0="00000000" w:usb1="00000000" w:usb2="00000016" w:usb3="00000000" w:csb0="0010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ab/>
    </w:r>
    <w:r>
      <w:t xml:space="preserve">- </w:t>
    </w:r>
    <w:r>
      <w:fldChar w:fldCharType="begin"/>
    </w:r>
    <w:r>
      <w:instrText xml:space="preserve"> PAGE </w:instrText>
    </w:r>
    <w:r>
      <w:fldChar w:fldCharType="separate"/>
    </w:r>
    <w:r>
      <w:t>21</w:t>
    </w:r>
    <w:r>
      <w:fldChar w:fldCharType="end"/>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Bdr>
        <w:bottom w:val="none" w:color="auto" w:sz="0" w:space="0"/>
      </w:pBdr>
      <w:tabs>
        <w:tab w:val="clear" w:pos="4153"/>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8"/>
    <w:multiLevelType w:val="multilevel"/>
    <w:tmpl w:val="00000008"/>
    <w:lvl w:ilvl="0" w:tentative="0">
      <w:start w:val="1"/>
      <w:numFmt w:val="decimal"/>
      <w:lvlText w:val="%1）"/>
      <w:lvlJc w:val="left"/>
      <w:pPr>
        <w:tabs>
          <w:tab w:val="left" w:pos="0"/>
        </w:tabs>
        <w:ind w:left="0" w:firstLine="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A"/>
    <w:multiLevelType w:val="multilevel"/>
    <w:tmpl w:val="0000000A"/>
    <w:lvl w:ilvl="0" w:tentative="0">
      <w:start w:val="1"/>
      <w:numFmt w:val="decimal"/>
      <w:pStyle w:val="34"/>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ascii="宋体" w:hAnsi="宋体" w:eastAsia="宋体"/>
        <w:b w:val="0"/>
        <w:color w:val="auto"/>
        <w:sz w:val="21"/>
        <w:szCs w:val="21"/>
      </w:rPr>
    </w:lvl>
    <w:lvl w:ilvl="2" w:tentative="0">
      <w:start w:val="1"/>
      <w:numFmt w:val="decimal"/>
      <w:lvlText w:val="%1.%2.%3."/>
      <w:lvlJc w:val="left"/>
      <w:pPr>
        <w:tabs>
          <w:tab w:val="left" w:pos="425"/>
        </w:tabs>
        <w:ind w:left="425" w:hanging="425"/>
      </w:pPr>
      <w:rPr>
        <w:rFonts w:hint="eastAsia"/>
        <w:sz w:val="21"/>
        <w:szCs w:val="21"/>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2">
    <w:nsid w:val="02454913"/>
    <w:multiLevelType w:val="multilevel"/>
    <w:tmpl w:val="02454913"/>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
    <w:nsid w:val="0817089F"/>
    <w:multiLevelType w:val="multilevel"/>
    <w:tmpl w:val="0817089F"/>
    <w:lvl w:ilvl="0" w:tentative="0">
      <w:start w:val="3"/>
      <w:numFmt w:val="none"/>
      <w:lvlText w:val="三、"/>
      <w:lvlJc w:val="left"/>
      <w:pPr>
        <w:ind w:left="660" w:hanging="6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08BA0543"/>
    <w:multiLevelType w:val="multilevel"/>
    <w:tmpl w:val="08BA054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0B020E2D"/>
    <w:multiLevelType w:val="multilevel"/>
    <w:tmpl w:val="0B020E2D"/>
    <w:lvl w:ilvl="0" w:tentative="0">
      <w:start w:val="1"/>
      <w:numFmt w:val="decimal"/>
      <w:lvlText w:val="（%1）"/>
      <w:lvlJc w:val="left"/>
      <w:pPr>
        <w:ind w:left="1265" w:hanging="420"/>
      </w:pPr>
      <w:rPr>
        <w:rFonts w:hint="eastAsia"/>
      </w:rPr>
    </w:lvl>
    <w:lvl w:ilvl="1" w:tentative="0">
      <w:start w:val="1"/>
      <w:numFmt w:val="lowerLetter"/>
      <w:lvlText w:val="%2)"/>
      <w:lvlJc w:val="left"/>
      <w:pPr>
        <w:ind w:left="1685" w:hanging="420"/>
      </w:pPr>
    </w:lvl>
    <w:lvl w:ilvl="2" w:tentative="0">
      <w:start w:val="1"/>
      <w:numFmt w:val="lowerRoman"/>
      <w:lvlText w:val="%3."/>
      <w:lvlJc w:val="right"/>
      <w:pPr>
        <w:ind w:left="2105" w:hanging="420"/>
      </w:pPr>
    </w:lvl>
    <w:lvl w:ilvl="3" w:tentative="0">
      <w:start w:val="1"/>
      <w:numFmt w:val="decimal"/>
      <w:lvlText w:val="%4."/>
      <w:lvlJc w:val="left"/>
      <w:pPr>
        <w:ind w:left="2525" w:hanging="420"/>
      </w:pPr>
    </w:lvl>
    <w:lvl w:ilvl="4" w:tentative="0">
      <w:start w:val="1"/>
      <w:numFmt w:val="lowerLetter"/>
      <w:lvlText w:val="%5)"/>
      <w:lvlJc w:val="left"/>
      <w:pPr>
        <w:ind w:left="2945" w:hanging="420"/>
      </w:pPr>
    </w:lvl>
    <w:lvl w:ilvl="5" w:tentative="0">
      <w:start w:val="1"/>
      <w:numFmt w:val="lowerRoman"/>
      <w:lvlText w:val="%6."/>
      <w:lvlJc w:val="right"/>
      <w:pPr>
        <w:ind w:left="3365" w:hanging="420"/>
      </w:pPr>
    </w:lvl>
    <w:lvl w:ilvl="6" w:tentative="0">
      <w:start w:val="1"/>
      <w:numFmt w:val="decimal"/>
      <w:lvlText w:val="%7."/>
      <w:lvlJc w:val="left"/>
      <w:pPr>
        <w:ind w:left="3785" w:hanging="420"/>
      </w:pPr>
    </w:lvl>
    <w:lvl w:ilvl="7" w:tentative="0">
      <w:start w:val="1"/>
      <w:numFmt w:val="lowerLetter"/>
      <w:lvlText w:val="%8)"/>
      <w:lvlJc w:val="left"/>
      <w:pPr>
        <w:ind w:left="4205" w:hanging="420"/>
      </w:pPr>
    </w:lvl>
    <w:lvl w:ilvl="8" w:tentative="0">
      <w:start w:val="1"/>
      <w:numFmt w:val="lowerRoman"/>
      <w:lvlText w:val="%9."/>
      <w:lvlJc w:val="right"/>
      <w:pPr>
        <w:ind w:left="4625" w:hanging="420"/>
      </w:pPr>
    </w:lvl>
  </w:abstractNum>
  <w:abstractNum w:abstractNumId="6">
    <w:nsid w:val="0BFF71BA"/>
    <w:multiLevelType w:val="multilevel"/>
    <w:tmpl w:val="0BFF71B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7">
    <w:nsid w:val="0EEE6A38"/>
    <w:multiLevelType w:val="multilevel"/>
    <w:tmpl w:val="0EEE6A3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8">
    <w:nsid w:val="13420CCA"/>
    <w:multiLevelType w:val="multilevel"/>
    <w:tmpl w:val="13420CCA"/>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9">
    <w:nsid w:val="18594D4C"/>
    <w:multiLevelType w:val="multilevel"/>
    <w:tmpl w:val="18594D4C"/>
    <w:lvl w:ilvl="0" w:tentative="0">
      <w:start w:val="1"/>
      <w:numFmt w:val="chineseCountingThousand"/>
      <w:suff w:val="space"/>
      <w:lvlText w:val="%1、"/>
      <w:lvlJc w:val="left"/>
      <w:pPr>
        <w:ind w:left="1262"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0">
    <w:nsid w:val="1A125679"/>
    <w:multiLevelType w:val="multilevel"/>
    <w:tmpl w:val="1A125679"/>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1">
    <w:nsid w:val="1A7647A2"/>
    <w:multiLevelType w:val="multilevel"/>
    <w:tmpl w:val="1A7647A2"/>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2">
    <w:nsid w:val="1C82507F"/>
    <w:multiLevelType w:val="multilevel"/>
    <w:tmpl w:val="1C82507F"/>
    <w:lvl w:ilvl="0" w:tentative="0">
      <w:start w:val="1"/>
      <w:numFmt w:val="decimal"/>
      <w:lvlText w:val="%1、"/>
      <w:lvlJc w:val="left"/>
      <w:pPr>
        <w:ind w:left="840" w:hanging="420"/>
      </w:pPr>
      <w:rPr>
        <w:rFonts w:hint="eastAsia" w:eastAsia="黑体"/>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13">
    <w:nsid w:val="1CB5774F"/>
    <w:multiLevelType w:val="multilevel"/>
    <w:tmpl w:val="1CB5774F"/>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4">
    <w:nsid w:val="23384692"/>
    <w:multiLevelType w:val="multilevel"/>
    <w:tmpl w:val="23384692"/>
    <w:lvl w:ilvl="0" w:tentative="0">
      <w:start w:val="1"/>
      <w:numFmt w:val="decimal"/>
      <w:lvlText w:val="%1、"/>
      <w:lvlJc w:val="left"/>
      <w:pPr>
        <w:ind w:left="770" w:hanging="360"/>
      </w:pPr>
      <w:rPr>
        <w:rFonts w:hint="default"/>
      </w:rPr>
    </w:lvl>
    <w:lvl w:ilvl="1" w:tentative="0">
      <w:start w:val="1"/>
      <w:numFmt w:val="lowerLetter"/>
      <w:lvlText w:val="%2)"/>
      <w:lvlJc w:val="left"/>
      <w:pPr>
        <w:ind w:left="1250" w:hanging="420"/>
      </w:pPr>
    </w:lvl>
    <w:lvl w:ilvl="2" w:tentative="0">
      <w:start w:val="1"/>
      <w:numFmt w:val="lowerRoman"/>
      <w:lvlText w:val="%3."/>
      <w:lvlJc w:val="right"/>
      <w:pPr>
        <w:ind w:left="1670" w:hanging="420"/>
      </w:pPr>
    </w:lvl>
    <w:lvl w:ilvl="3" w:tentative="0">
      <w:start w:val="1"/>
      <w:numFmt w:val="decimal"/>
      <w:lvlText w:val="%4."/>
      <w:lvlJc w:val="left"/>
      <w:pPr>
        <w:ind w:left="2090" w:hanging="420"/>
      </w:pPr>
    </w:lvl>
    <w:lvl w:ilvl="4" w:tentative="0">
      <w:start w:val="1"/>
      <w:numFmt w:val="lowerLetter"/>
      <w:lvlText w:val="%5)"/>
      <w:lvlJc w:val="left"/>
      <w:pPr>
        <w:ind w:left="2510" w:hanging="420"/>
      </w:pPr>
    </w:lvl>
    <w:lvl w:ilvl="5" w:tentative="0">
      <w:start w:val="1"/>
      <w:numFmt w:val="lowerRoman"/>
      <w:lvlText w:val="%6."/>
      <w:lvlJc w:val="right"/>
      <w:pPr>
        <w:ind w:left="2930" w:hanging="420"/>
      </w:pPr>
    </w:lvl>
    <w:lvl w:ilvl="6" w:tentative="0">
      <w:start w:val="1"/>
      <w:numFmt w:val="decimal"/>
      <w:lvlText w:val="%7."/>
      <w:lvlJc w:val="left"/>
      <w:pPr>
        <w:ind w:left="3350" w:hanging="420"/>
      </w:pPr>
    </w:lvl>
    <w:lvl w:ilvl="7" w:tentative="0">
      <w:start w:val="1"/>
      <w:numFmt w:val="lowerLetter"/>
      <w:lvlText w:val="%8)"/>
      <w:lvlJc w:val="left"/>
      <w:pPr>
        <w:ind w:left="3770" w:hanging="420"/>
      </w:pPr>
    </w:lvl>
    <w:lvl w:ilvl="8" w:tentative="0">
      <w:start w:val="1"/>
      <w:numFmt w:val="lowerRoman"/>
      <w:lvlText w:val="%9."/>
      <w:lvlJc w:val="right"/>
      <w:pPr>
        <w:ind w:left="4190" w:hanging="420"/>
      </w:pPr>
    </w:lvl>
  </w:abstractNum>
  <w:abstractNum w:abstractNumId="15">
    <w:nsid w:val="288937DB"/>
    <w:multiLevelType w:val="multilevel"/>
    <w:tmpl w:val="288937DB"/>
    <w:lvl w:ilvl="0" w:tentative="0">
      <w:start w:val="1"/>
      <w:numFmt w:val="bullet"/>
      <w:lvlText w:val=""/>
      <w:lvlJc w:val="left"/>
      <w:pPr>
        <w:ind w:left="1200" w:hanging="420"/>
      </w:pPr>
      <w:rPr>
        <w:rFonts w:hint="default" w:ascii="Wingdings" w:hAnsi="Wingdings"/>
      </w:rPr>
    </w:lvl>
    <w:lvl w:ilvl="1" w:tentative="0">
      <w:start w:val="1"/>
      <w:numFmt w:val="bullet"/>
      <w:lvlText w:val=""/>
      <w:lvlJc w:val="left"/>
      <w:pPr>
        <w:ind w:left="1620" w:hanging="420"/>
      </w:pPr>
      <w:rPr>
        <w:rFonts w:hint="default" w:ascii="Wingdings" w:hAnsi="Wingdings"/>
      </w:rPr>
    </w:lvl>
    <w:lvl w:ilvl="2" w:tentative="0">
      <w:start w:val="1"/>
      <w:numFmt w:val="bullet"/>
      <w:lvlText w:val=""/>
      <w:lvlJc w:val="left"/>
      <w:pPr>
        <w:ind w:left="2040" w:hanging="420"/>
      </w:pPr>
      <w:rPr>
        <w:rFonts w:hint="default" w:ascii="Wingdings" w:hAnsi="Wingdings"/>
      </w:rPr>
    </w:lvl>
    <w:lvl w:ilvl="3" w:tentative="0">
      <w:start w:val="1"/>
      <w:numFmt w:val="bullet"/>
      <w:lvlText w:val=""/>
      <w:lvlJc w:val="left"/>
      <w:pPr>
        <w:ind w:left="2460" w:hanging="420"/>
      </w:pPr>
      <w:rPr>
        <w:rFonts w:hint="default" w:ascii="Wingdings" w:hAnsi="Wingdings"/>
      </w:rPr>
    </w:lvl>
    <w:lvl w:ilvl="4" w:tentative="0">
      <w:start w:val="1"/>
      <w:numFmt w:val="bullet"/>
      <w:lvlText w:val=""/>
      <w:lvlJc w:val="left"/>
      <w:pPr>
        <w:ind w:left="2880" w:hanging="420"/>
      </w:pPr>
      <w:rPr>
        <w:rFonts w:hint="default" w:ascii="Wingdings" w:hAnsi="Wingdings"/>
      </w:rPr>
    </w:lvl>
    <w:lvl w:ilvl="5" w:tentative="0">
      <w:start w:val="1"/>
      <w:numFmt w:val="bullet"/>
      <w:lvlText w:val=""/>
      <w:lvlJc w:val="left"/>
      <w:pPr>
        <w:ind w:left="3300" w:hanging="420"/>
      </w:pPr>
      <w:rPr>
        <w:rFonts w:hint="default" w:ascii="Wingdings" w:hAnsi="Wingdings"/>
      </w:rPr>
    </w:lvl>
    <w:lvl w:ilvl="6" w:tentative="0">
      <w:start w:val="1"/>
      <w:numFmt w:val="bullet"/>
      <w:lvlText w:val=""/>
      <w:lvlJc w:val="left"/>
      <w:pPr>
        <w:ind w:left="3720" w:hanging="420"/>
      </w:pPr>
      <w:rPr>
        <w:rFonts w:hint="default" w:ascii="Wingdings" w:hAnsi="Wingdings"/>
      </w:rPr>
    </w:lvl>
    <w:lvl w:ilvl="7" w:tentative="0">
      <w:start w:val="1"/>
      <w:numFmt w:val="bullet"/>
      <w:lvlText w:val=""/>
      <w:lvlJc w:val="left"/>
      <w:pPr>
        <w:ind w:left="4140" w:hanging="420"/>
      </w:pPr>
      <w:rPr>
        <w:rFonts w:hint="default" w:ascii="Wingdings" w:hAnsi="Wingdings"/>
      </w:rPr>
    </w:lvl>
    <w:lvl w:ilvl="8" w:tentative="0">
      <w:start w:val="1"/>
      <w:numFmt w:val="bullet"/>
      <w:lvlText w:val=""/>
      <w:lvlJc w:val="left"/>
      <w:pPr>
        <w:ind w:left="4560" w:hanging="420"/>
      </w:pPr>
      <w:rPr>
        <w:rFonts w:hint="default" w:ascii="Wingdings" w:hAnsi="Wingdings"/>
      </w:rPr>
    </w:lvl>
  </w:abstractNum>
  <w:abstractNum w:abstractNumId="16">
    <w:nsid w:val="2A12291B"/>
    <w:multiLevelType w:val="multilevel"/>
    <w:tmpl w:val="2A12291B"/>
    <w:lvl w:ilvl="0" w:tentative="0">
      <w:start w:val="1"/>
      <w:numFmt w:val="decimal"/>
      <w:lvlText w:val="附件%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7">
    <w:nsid w:val="2D52633E"/>
    <w:multiLevelType w:val="multilevel"/>
    <w:tmpl w:val="2D52633E"/>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8">
    <w:nsid w:val="302F4046"/>
    <w:multiLevelType w:val="multilevel"/>
    <w:tmpl w:val="302F4046"/>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9">
    <w:nsid w:val="30A970AD"/>
    <w:multiLevelType w:val="multilevel"/>
    <w:tmpl w:val="30A970AD"/>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0">
    <w:nsid w:val="39FF258E"/>
    <w:multiLevelType w:val="multilevel"/>
    <w:tmpl w:val="39FF258E"/>
    <w:lvl w:ilvl="0" w:tentative="0">
      <w:start w:val="1"/>
      <w:numFmt w:val="decimal"/>
      <w:lvlText w:val="%1、"/>
      <w:lvlJc w:val="left"/>
      <w:pPr>
        <w:ind w:left="420" w:hanging="420"/>
      </w:pPr>
      <w:rPr>
        <w:rFonts w:hint="eastAsia" w:eastAsia="黑体"/>
      </w:rPr>
    </w:lvl>
    <w:lvl w:ilvl="1" w:tentative="0">
      <w:start w:val="1"/>
      <w:numFmt w:val="decimal"/>
      <w:lvlText w:val="（%2）"/>
      <w:lvlJc w:val="left"/>
      <w:pPr>
        <w:ind w:left="1140" w:hanging="7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1">
    <w:nsid w:val="3BA61791"/>
    <w:multiLevelType w:val="multilevel"/>
    <w:tmpl w:val="3BA61791"/>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2">
    <w:nsid w:val="3BCB2418"/>
    <w:multiLevelType w:val="multilevel"/>
    <w:tmpl w:val="3BCB2418"/>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3">
    <w:nsid w:val="3EA616D6"/>
    <w:multiLevelType w:val="multilevel"/>
    <w:tmpl w:val="3EA616D6"/>
    <w:lvl w:ilvl="0" w:tentative="0">
      <w:start w:val="1"/>
      <w:numFmt w:val="decimal"/>
      <w:suff w:val="nothing"/>
      <w:lvlText w:val="（%1）"/>
      <w:lvlJc w:val="left"/>
      <w:pPr>
        <w:ind w:left="709" w:hanging="709"/>
      </w:pPr>
      <w:rPr>
        <w:rFonts w:hint="eastAsia" w:eastAsia="黑体"/>
      </w:rPr>
    </w:lvl>
    <w:lvl w:ilvl="1" w:tentative="0">
      <w:start w:val="1"/>
      <w:numFmt w:val="decimal"/>
      <w:lvlText w:val="（%2）"/>
      <w:lvlJc w:val="left"/>
      <w:pPr>
        <w:ind w:left="840" w:hanging="420"/>
      </w:pPr>
      <w:rPr>
        <w:rFonts w:hint="eastAsia"/>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4">
    <w:nsid w:val="3EA910F5"/>
    <w:multiLevelType w:val="multilevel"/>
    <w:tmpl w:val="3EA910F5"/>
    <w:lvl w:ilvl="0" w:tentative="0">
      <w:start w:val="1"/>
      <w:numFmt w:val="decimal"/>
      <w:suff w:val="nothing"/>
      <w:lvlText w:val="%1、"/>
      <w:lvlJc w:val="left"/>
      <w:pPr>
        <w:ind w:left="420" w:hanging="420"/>
      </w:pPr>
      <w:rPr>
        <w:rFonts w:hint="eastAsia" w:eastAsia="黑体"/>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abstractNum w:abstractNumId="25">
    <w:nsid w:val="3F68303D"/>
    <w:multiLevelType w:val="multilevel"/>
    <w:tmpl w:val="3F68303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6">
    <w:nsid w:val="41082389"/>
    <w:multiLevelType w:val="multilevel"/>
    <w:tmpl w:val="4108238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suff w:val="nothing"/>
      <w:lvlText w:val="%4、"/>
      <w:lvlJc w:val="left"/>
      <w:pPr>
        <w:ind w:left="709" w:hanging="709"/>
      </w:pPr>
      <w:rPr>
        <w:rFonts w:hint="eastAsia" w:eastAsia="黑体"/>
      </w:r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7">
    <w:nsid w:val="427C5302"/>
    <w:multiLevelType w:val="multilevel"/>
    <w:tmpl w:val="427C5302"/>
    <w:lvl w:ilvl="0" w:tentative="0">
      <w:start w:val="1"/>
      <w:numFmt w:val="bullet"/>
      <w:lvlText w:val=""/>
      <w:lvlJc w:val="left"/>
      <w:pPr>
        <w:ind w:left="840" w:hanging="420"/>
      </w:pPr>
      <w:rPr>
        <w:rFonts w:hint="default" w:ascii="Wingdings" w:hAnsi="Wingdings"/>
      </w:rPr>
    </w:lvl>
    <w:lvl w:ilvl="1" w:tentative="0">
      <w:start w:val="1"/>
      <w:numFmt w:val="bullet"/>
      <w:lvlText w:val=""/>
      <w:lvlJc w:val="left"/>
      <w:pPr>
        <w:ind w:left="1260" w:hanging="420"/>
      </w:pPr>
      <w:rPr>
        <w:rFonts w:hint="default" w:ascii="Wingdings" w:hAnsi="Wingdings"/>
      </w:rPr>
    </w:lvl>
    <w:lvl w:ilvl="2" w:tentative="0">
      <w:start w:val="1"/>
      <w:numFmt w:val="bullet"/>
      <w:lvlText w:val=""/>
      <w:lvlJc w:val="left"/>
      <w:pPr>
        <w:ind w:left="1680" w:hanging="420"/>
      </w:pPr>
      <w:rPr>
        <w:rFonts w:hint="default" w:ascii="Wingdings" w:hAnsi="Wingdings"/>
      </w:rPr>
    </w:lvl>
    <w:lvl w:ilvl="3" w:tentative="0">
      <w:start w:val="1"/>
      <w:numFmt w:val="bullet"/>
      <w:lvlText w:val=""/>
      <w:lvlJc w:val="left"/>
      <w:pPr>
        <w:ind w:left="2100" w:hanging="420"/>
      </w:pPr>
      <w:rPr>
        <w:rFonts w:hint="default" w:ascii="Wingdings" w:hAnsi="Wingdings"/>
      </w:rPr>
    </w:lvl>
    <w:lvl w:ilvl="4" w:tentative="0">
      <w:start w:val="1"/>
      <w:numFmt w:val="bullet"/>
      <w:lvlText w:val=""/>
      <w:lvlJc w:val="left"/>
      <w:pPr>
        <w:ind w:left="2520" w:hanging="420"/>
      </w:pPr>
      <w:rPr>
        <w:rFonts w:hint="default" w:ascii="Wingdings" w:hAnsi="Wingdings"/>
      </w:rPr>
    </w:lvl>
    <w:lvl w:ilvl="5" w:tentative="0">
      <w:start w:val="1"/>
      <w:numFmt w:val="bullet"/>
      <w:lvlText w:val=""/>
      <w:lvlJc w:val="left"/>
      <w:pPr>
        <w:ind w:left="2940" w:hanging="420"/>
      </w:pPr>
      <w:rPr>
        <w:rFonts w:hint="default" w:ascii="Wingdings" w:hAnsi="Wingdings"/>
      </w:rPr>
    </w:lvl>
    <w:lvl w:ilvl="6" w:tentative="0">
      <w:start w:val="1"/>
      <w:numFmt w:val="bullet"/>
      <w:lvlText w:val=""/>
      <w:lvlJc w:val="left"/>
      <w:pPr>
        <w:ind w:left="3360" w:hanging="420"/>
      </w:pPr>
      <w:rPr>
        <w:rFonts w:hint="default" w:ascii="Wingdings" w:hAnsi="Wingdings"/>
      </w:rPr>
    </w:lvl>
    <w:lvl w:ilvl="7" w:tentative="0">
      <w:start w:val="1"/>
      <w:numFmt w:val="bullet"/>
      <w:lvlText w:val=""/>
      <w:lvlJc w:val="left"/>
      <w:pPr>
        <w:ind w:left="3780" w:hanging="420"/>
      </w:pPr>
      <w:rPr>
        <w:rFonts w:hint="default" w:ascii="Wingdings" w:hAnsi="Wingdings"/>
      </w:rPr>
    </w:lvl>
    <w:lvl w:ilvl="8" w:tentative="0">
      <w:start w:val="1"/>
      <w:numFmt w:val="bullet"/>
      <w:lvlText w:val=""/>
      <w:lvlJc w:val="left"/>
      <w:pPr>
        <w:ind w:left="4200" w:hanging="420"/>
      </w:pPr>
      <w:rPr>
        <w:rFonts w:hint="default" w:ascii="Wingdings" w:hAnsi="Wingdings"/>
      </w:rPr>
    </w:lvl>
  </w:abstractNum>
  <w:abstractNum w:abstractNumId="28">
    <w:nsid w:val="490456EF"/>
    <w:multiLevelType w:val="multilevel"/>
    <w:tmpl w:val="490456EF"/>
    <w:lvl w:ilvl="0" w:tentative="0">
      <w:start w:val="1"/>
      <w:numFmt w:val="decimal"/>
      <w:lvlText w:val="%1、"/>
      <w:lvlJc w:val="left"/>
      <w:pPr>
        <w:ind w:left="780" w:hanging="360"/>
      </w:pPr>
      <w:rPr>
        <w:rFonts w:hint="default"/>
      </w:rPr>
    </w:lvl>
    <w:lvl w:ilvl="1" w:tentative="0">
      <w:start w:val="1"/>
      <w:numFmt w:val="lowerLetter"/>
      <w:lvlText w:val="%2)"/>
      <w:lvlJc w:val="left"/>
      <w:pPr>
        <w:ind w:left="1260" w:hanging="420"/>
      </w:pPr>
    </w:lvl>
    <w:lvl w:ilvl="2" w:tentative="0">
      <w:start w:val="1"/>
      <w:numFmt w:val="lowerRoman"/>
      <w:lvlText w:val="%3."/>
      <w:lvlJc w:val="right"/>
      <w:pPr>
        <w:ind w:left="1680" w:hanging="420"/>
      </w:pPr>
    </w:lvl>
    <w:lvl w:ilvl="3" w:tentative="0">
      <w:start w:val="1"/>
      <w:numFmt w:val="decimal"/>
      <w:lvlText w:val="%4."/>
      <w:lvlJc w:val="left"/>
      <w:pPr>
        <w:ind w:left="2100" w:hanging="420"/>
      </w:pPr>
    </w:lvl>
    <w:lvl w:ilvl="4" w:tentative="0">
      <w:start w:val="1"/>
      <w:numFmt w:val="lowerLetter"/>
      <w:lvlText w:val="%5)"/>
      <w:lvlJc w:val="left"/>
      <w:pPr>
        <w:ind w:left="2520" w:hanging="420"/>
      </w:pPr>
    </w:lvl>
    <w:lvl w:ilvl="5" w:tentative="0">
      <w:start w:val="1"/>
      <w:numFmt w:val="lowerRoman"/>
      <w:lvlText w:val="%6."/>
      <w:lvlJc w:val="right"/>
      <w:pPr>
        <w:ind w:left="2940" w:hanging="420"/>
      </w:pPr>
    </w:lvl>
    <w:lvl w:ilvl="6" w:tentative="0">
      <w:start w:val="1"/>
      <w:numFmt w:val="decimal"/>
      <w:lvlText w:val="%7."/>
      <w:lvlJc w:val="left"/>
      <w:pPr>
        <w:ind w:left="3360" w:hanging="420"/>
      </w:pPr>
    </w:lvl>
    <w:lvl w:ilvl="7" w:tentative="0">
      <w:start w:val="1"/>
      <w:numFmt w:val="lowerLetter"/>
      <w:lvlText w:val="%8)"/>
      <w:lvlJc w:val="left"/>
      <w:pPr>
        <w:ind w:left="3780" w:hanging="420"/>
      </w:pPr>
    </w:lvl>
    <w:lvl w:ilvl="8" w:tentative="0">
      <w:start w:val="1"/>
      <w:numFmt w:val="lowerRoman"/>
      <w:lvlText w:val="%9."/>
      <w:lvlJc w:val="right"/>
      <w:pPr>
        <w:ind w:left="4200" w:hanging="420"/>
      </w:pPr>
    </w:lvl>
  </w:abstractNum>
  <w:abstractNum w:abstractNumId="29">
    <w:nsid w:val="4C95273C"/>
    <w:multiLevelType w:val="multilevel"/>
    <w:tmpl w:val="4C95273C"/>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0">
    <w:nsid w:val="51420983"/>
    <w:multiLevelType w:val="multilevel"/>
    <w:tmpl w:val="5142098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1">
    <w:nsid w:val="55A5535A"/>
    <w:multiLevelType w:val="multilevel"/>
    <w:tmpl w:val="55A5535A"/>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2">
    <w:nsid w:val="56595A13"/>
    <w:multiLevelType w:val="multilevel"/>
    <w:tmpl w:val="56595A13"/>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3">
    <w:nsid w:val="56CFB754"/>
    <w:multiLevelType w:val="singleLevel"/>
    <w:tmpl w:val="56CFB754"/>
    <w:lvl w:ilvl="0" w:tentative="0">
      <w:start w:val="2"/>
      <w:numFmt w:val="decimal"/>
      <w:suff w:val="nothing"/>
      <w:lvlText w:val="%1、"/>
      <w:lvlJc w:val="left"/>
    </w:lvl>
  </w:abstractNum>
  <w:abstractNum w:abstractNumId="34">
    <w:nsid w:val="5CC65A57"/>
    <w:multiLevelType w:val="multilevel"/>
    <w:tmpl w:val="5CC65A5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5">
    <w:nsid w:val="5EE307F9"/>
    <w:multiLevelType w:val="multilevel"/>
    <w:tmpl w:val="5EE307F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6">
    <w:nsid w:val="5FBC7CA6"/>
    <w:multiLevelType w:val="multilevel"/>
    <w:tmpl w:val="5FBC7CA6"/>
    <w:lvl w:ilvl="0" w:tentative="0">
      <w:start w:val="1"/>
      <w:numFmt w:val="decimal"/>
      <w:lvlText w:val="%1）"/>
      <w:lvlJc w:val="left"/>
      <w:pPr>
        <w:tabs>
          <w:tab w:val="left" w:pos="357"/>
        </w:tabs>
        <w:ind w:left="357" w:hanging="357"/>
      </w:pPr>
      <w:rPr>
        <w:rFonts w:hint="default"/>
        <w:color w:val="auto"/>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7">
    <w:nsid w:val="5FD54178"/>
    <w:multiLevelType w:val="multilevel"/>
    <w:tmpl w:val="5FD54178"/>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8">
    <w:nsid w:val="61041DE1"/>
    <w:multiLevelType w:val="multilevel"/>
    <w:tmpl w:val="61041DE1"/>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39">
    <w:nsid w:val="699370F8"/>
    <w:multiLevelType w:val="multilevel"/>
    <w:tmpl w:val="699370F8"/>
    <w:lvl w:ilvl="0" w:tentative="0">
      <w:start w:val="1"/>
      <w:numFmt w:val="chineseCountingThousand"/>
      <w:suff w:val="nothing"/>
      <w:lvlText w:val="%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0">
    <w:nsid w:val="6A6F01D7"/>
    <w:multiLevelType w:val="multilevel"/>
    <w:tmpl w:val="6A6F01D7"/>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1">
    <w:nsid w:val="6C9F69ED"/>
    <w:multiLevelType w:val="multilevel"/>
    <w:tmpl w:val="6C9F69ED"/>
    <w:lvl w:ilvl="0" w:tentative="0">
      <w:start w:val="1"/>
      <w:numFmt w:val="bullet"/>
      <w:lvlText w:val=""/>
      <w:lvlJc w:val="left"/>
      <w:pPr>
        <w:ind w:left="1260" w:hanging="420"/>
      </w:pPr>
      <w:rPr>
        <w:rFonts w:hint="default" w:ascii="Wingdings" w:hAnsi="Wingdings"/>
      </w:rPr>
    </w:lvl>
    <w:lvl w:ilvl="1" w:tentative="0">
      <w:start w:val="1"/>
      <w:numFmt w:val="bullet"/>
      <w:lvlText w:val=""/>
      <w:lvlJc w:val="left"/>
      <w:pPr>
        <w:ind w:left="1680" w:hanging="420"/>
      </w:pPr>
      <w:rPr>
        <w:rFonts w:hint="default" w:ascii="Wingdings" w:hAnsi="Wingdings"/>
      </w:rPr>
    </w:lvl>
    <w:lvl w:ilvl="2" w:tentative="0">
      <w:start w:val="1"/>
      <w:numFmt w:val="bullet"/>
      <w:lvlText w:val=""/>
      <w:lvlJc w:val="left"/>
      <w:pPr>
        <w:ind w:left="2100" w:hanging="420"/>
      </w:pPr>
      <w:rPr>
        <w:rFonts w:hint="default" w:ascii="Wingdings" w:hAnsi="Wingdings"/>
      </w:rPr>
    </w:lvl>
    <w:lvl w:ilvl="3" w:tentative="0">
      <w:start w:val="1"/>
      <w:numFmt w:val="bullet"/>
      <w:lvlText w:val=""/>
      <w:lvlJc w:val="left"/>
      <w:pPr>
        <w:ind w:left="2520" w:hanging="420"/>
      </w:pPr>
      <w:rPr>
        <w:rFonts w:hint="default" w:ascii="Wingdings" w:hAnsi="Wingdings"/>
      </w:rPr>
    </w:lvl>
    <w:lvl w:ilvl="4" w:tentative="0">
      <w:start w:val="1"/>
      <w:numFmt w:val="bullet"/>
      <w:lvlText w:val=""/>
      <w:lvlJc w:val="left"/>
      <w:pPr>
        <w:ind w:left="2940" w:hanging="420"/>
      </w:pPr>
      <w:rPr>
        <w:rFonts w:hint="default" w:ascii="Wingdings" w:hAnsi="Wingdings"/>
      </w:rPr>
    </w:lvl>
    <w:lvl w:ilvl="5" w:tentative="0">
      <w:start w:val="1"/>
      <w:numFmt w:val="bullet"/>
      <w:lvlText w:val=""/>
      <w:lvlJc w:val="left"/>
      <w:pPr>
        <w:ind w:left="3360" w:hanging="420"/>
      </w:pPr>
      <w:rPr>
        <w:rFonts w:hint="default" w:ascii="Wingdings" w:hAnsi="Wingdings"/>
      </w:rPr>
    </w:lvl>
    <w:lvl w:ilvl="6" w:tentative="0">
      <w:start w:val="1"/>
      <w:numFmt w:val="bullet"/>
      <w:lvlText w:val=""/>
      <w:lvlJc w:val="left"/>
      <w:pPr>
        <w:ind w:left="3780" w:hanging="420"/>
      </w:pPr>
      <w:rPr>
        <w:rFonts w:hint="default" w:ascii="Wingdings" w:hAnsi="Wingdings"/>
      </w:rPr>
    </w:lvl>
    <w:lvl w:ilvl="7" w:tentative="0">
      <w:start w:val="1"/>
      <w:numFmt w:val="bullet"/>
      <w:lvlText w:val=""/>
      <w:lvlJc w:val="left"/>
      <w:pPr>
        <w:ind w:left="4200" w:hanging="420"/>
      </w:pPr>
      <w:rPr>
        <w:rFonts w:hint="default" w:ascii="Wingdings" w:hAnsi="Wingdings"/>
      </w:rPr>
    </w:lvl>
    <w:lvl w:ilvl="8" w:tentative="0">
      <w:start w:val="1"/>
      <w:numFmt w:val="bullet"/>
      <w:lvlText w:val=""/>
      <w:lvlJc w:val="left"/>
      <w:pPr>
        <w:ind w:left="4620" w:hanging="420"/>
      </w:pPr>
      <w:rPr>
        <w:rFonts w:hint="default" w:ascii="Wingdings" w:hAnsi="Wingdings"/>
      </w:rPr>
    </w:lvl>
  </w:abstractNum>
  <w:abstractNum w:abstractNumId="42">
    <w:nsid w:val="72C368C9"/>
    <w:multiLevelType w:val="multilevel"/>
    <w:tmpl w:val="72C368C9"/>
    <w:lvl w:ilvl="0" w:tentative="0">
      <w:start w:val="1"/>
      <w:numFmt w:val="decimal"/>
      <w:lvlText w:val="%1、"/>
      <w:lvlJc w:val="left"/>
      <w:pPr>
        <w:ind w:left="420" w:hanging="420"/>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3">
    <w:nsid w:val="7C324AD5"/>
    <w:multiLevelType w:val="multilevel"/>
    <w:tmpl w:val="7C324AD5"/>
    <w:lvl w:ilvl="0" w:tentative="0">
      <w:start w:val="1"/>
      <w:numFmt w:val="decimal"/>
      <w:suff w:val="nothing"/>
      <w:lvlText w:val="%1、"/>
      <w:lvlJc w:val="left"/>
      <w:pPr>
        <w:ind w:left="709" w:hanging="709"/>
      </w:pPr>
      <w:rPr>
        <w:rFonts w:hint="eastAsia" w:eastAsia="黑体"/>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4">
    <w:nsid w:val="7DCF46A9"/>
    <w:multiLevelType w:val="multilevel"/>
    <w:tmpl w:val="7DCF46A9"/>
    <w:lvl w:ilvl="0" w:tentative="0">
      <w:start w:val="1"/>
      <w:numFmt w:val="decimal"/>
      <w:lvlText w:val="（%1）"/>
      <w:lvlJc w:val="left"/>
      <w:pPr>
        <w:ind w:left="84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9"/>
  </w:num>
  <w:num w:numId="3">
    <w:abstractNumId w:val="12"/>
  </w:num>
  <w:num w:numId="4">
    <w:abstractNumId w:val="22"/>
  </w:num>
  <w:num w:numId="5">
    <w:abstractNumId w:val="42"/>
  </w:num>
  <w:num w:numId="6">
    <w:abstractNumId w:val="10"/>
  </w:num>
  <w:num w:numId="7">
    <w:abstractNumId w:val="20"/>
  </w:num>
  <w:num w:numId="8">
    <w:abstractNumId w:val="33"/>
  </w:num>
  <w:num w:numId="9">
    <w:abstractNumId w:val="38"/>
  </w:num>
  <w:num w:numId="10">
    <w:abstractNumId w:val="26"/>
  </w:num>
  <w:num w:numId="11">
    <w:abstractNumId w:val="23"/>
  </w:num>
  <w:num w:numId="12">
    <w:abstractNumId w:val="7"/>
  </w:num>
  <w:num w:numId="13">
    <w:abstractNumId w:val="8"/>
  </w:num>
  <w:num w:numId="14">
    <w:abstractNumId w:val="43"/>
  </w:num>
  <w:num w:numId="15">
    <w:abstractNumId w:val="17"/>
  </w:num>
  <w:num w:numId="16">
    <w:abstractNumId w:val="32"/>
  </w:num>
  <w:num w:numId="17">
    <w:abstractNumId w:val="2"/>
  </w:num>
  <w:num w:numId="18">
    <w:abstractNumId w:val="37"/>
  </w:num>
  <w:num w:numId="19">
    <w:abstractNumId w:val="40"/>
  </w:num>
  <w:num w:numId="20">
    <w:abstractNumId w:val="29"/>
  </w:num>
  <w:num w:numId="21">
    <w:abstractNumId w:val="13"/>
  </w:num>
  <w:num w:numId="22">
    <w:abstractNumId w:val="18"/>
  </w:num>
  <w:num w:numId="23">
    <w:abstractNumId w:val="6"/>
  </w:num>
  <w:num w:numId="24">
    <w:abstractNumId w:val="21"/>
  </w:num>
  <w:num w:numId="25">
    <w:abstractNumId w:val="31"/>
  </w:num>
  <w:num w:numId="26">
    <w:abstractNumId w:val="44"/>
  </w:num>
  <w:num w:numId="27">
    <w:abstractNumId w:val="4"/>
  </w:num>
  <w:num w:numId="28">
    <w:abstractNumId w:val="19"/>
  </w:num>
  <w:num w:numId="29">
    <w:abstractNumId w:val="28"/>
  </w:num>
  <w:num w:numId="30">
    <w:abstractNumId w:val="15"/>
  </w:num>
  <w:num w:numId="31">
    <w:abstractNumId w:val="11"/>
  </w:num>
  <w:num w:numId="32">
    <w:abstractNumId w:val="3"/>
  </w:num>
  <w:num w:numId="33">
    <w:abstractNumId w:val="25"/>
  </w:num>
  <w:num w:numId="34">
    <w:abstractNumId w:val="41"/>
  </w:num>
  <w:num w:numId="35">
    <w:abstractNumId w:val="27"/>
  </w:num>
  <w:num w:numId="36">
    <w:abstractNumId w:val="14"/>
  </w:num>
  <w:num w:numId="37">
    <w:abstractNumId w:val="36"/>
  </w:num>
  <w:num w:numId="38">
    <w:abstractNumId w:val="0"/>
  </w:num>
  <w:num w:numId="39">
    <w:abstractNumId w:val="39"/>
  </w:num>
  <w:num w:numId="40">
    <w:abstractNumId w:val="30"/>
  </w:num>
  <w:num w:numId="41">
    <w:abstractNumId w:val="24"/>
  </w:num>
  <w:num w:numId="42">
    <w:abstractNumId w:val="5"/>
  </w:num>
  <w:num w:numId="43">
    <w:abstractNumId w:val="16"/>
  </w:num>
  <w:num w:numId="44">
    <w:abstractNumId w:val="34"/>
  </w:num>
  <w:num w:numId="45">
    <w:abstractNumId w:val="3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货物与服务采购科">
    <w15:presenceInfo w15:providerId="None" w15:userId="货物与服务采购科"/>
  </w15:person>
  <w15:person w15:author="LQY">
    <w15:presenceInfo w15:providerId="None" w15:userId="LQ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bordersDoNotSurroundHeader w:val="1"/>
  <w:bordersDoNotSurroundFooter w:val="1"/>
  <w:attachedTemplate r:id="rId1"/>
  <w:trackRevisions w:val="1"/>
  <w:documentProtection w:enforcement="0"/>
  <w:defaultTabStop w:val="420"/>
  <w:drawingGridHorizontalSpacing w:val="105"/>
  <w:drawingGridVerticalSpacing w:val="156"/>
  <w:displayHorizontalDrawingGridEvery w:val="2"/>
  <w:displayVerticalDrawingGridEvery w:val="2"/>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kxZTNkYTE4MzcwZjBiNTE3ZTU5YTYxZWM3NjgzODMifQ=="/>
  </w:docVars>
  <w:rsids>
    <w:rsidRoot w:val="00F93A34"/>
    <w:rsid w:val="00003E2B"/>
    <w:rsid w:val="0001125E"/>
    <w:rsid w:val="00032F04"/>
    <w:rsid w:val="000407B5"/>
    <w:rsid w:val="00040AB1"/>
    <w:rsid w:val="00057897"/>
    <w:rsid w:val="00057ABB"/>
    <w:rsid w:val="00062B8A"/>
    <w:rsid w:val="00062D5E"/>
    <w:rsid w:val="0008024D"/>
    <w:rsid w:val="00093274"/>
    <w:rsid w:val="000A233D"/>
    <w:rsid w:val="000A362E"/>
    <w:rsid w:val="000A38D8"/>
    <w:rsid w:val="000A7465"/>
    <w:rsid w:val="00103907"/>
    <w:rsid w:val="00134BF4"/>
    <w:rsid w:val="00141CDB"/>
    <w:rsid w:val="00172A27"/>
    <w:rsid w:val="001834B5"/>
    <w:rsid w:val="00187AD9"/>
    <w:rsid w:val="00196A76"/>
    <w:rsid w:val="001B1677"/>
    <w:rsid w:val="001C279D"/>
    <w:rsid w:val="001C2D53"/>
    <w:rsid w:val="001E5D8E"/>
    <w:rsid w:val="00200977"/>
    <w:rsid w:val="002064DE"/>
    <w:rsid w:val="00206E70"/>
    <w:rsid w:val="00212889"/>
    <w:rsid w:val="002276A2"/>
    <w:rsid w:val="0024005E"/>
    <w:rsid w:val="00243A7F"/>
    <w:rsid w:val="00253D9D"/>
    <w:rsid w:val="002567B1"/>
    <w:rsid w:val="00265666"/>
    <w:rsid w:val="002843C9"/>
    <w:rsid w:val="002921EE"/>
    <w:rsid w:val="002A2550"/>
    <w:rsid w:val="002A454B"/>
    <w:rsid w:val="002A6002"/>
    <w:rsid w:val="002D2AE8"/>
    <w:rsid w:val="002E08FD"/>
    <w:rsid w:val="002E2931"/>
    <w:rsid w:val="002E2A5E"/>
    <w:rsid w:val="002F5ABB"/>
    <w:rsid w:val="002F62B2"/>
    <w:rsid w:val="00316F6F"/>
    <w:rsid w:val="003210C9"/>
    <w:rsid w:val="00331D51"/>
    <w:rsid w:val="00351108"/>
    <w:rsid w:val="003C318C"/>
    <w:rsid w:val="003D0C08"/>
    <w:rsid w:val="003D143D"/>
    <w:rsid w:val="003D4C71"/>
    <w:rsid w:val="003F61CD"/>
    <w:rsid w:val="00400B2C"/>
    <w:rsid w:val="004070F7"/>
    <w:rsid w:val="004263FD"/>
    <w:rsid w:val="00444F78"/>
    <w:rsid w:val="00451680"/>
    <w:rsid w:val="00456CA6"/>
    <w:rsid w:val="0046138D"/>
    <w:rsid w:val="004622E2"/>
    <w:rsid w:val="00472A65"/>
    <w:rsid w:val="00474C0F"/>
    <w:rsid w:val="00476407"/>
    <w:rsid w:val="00476804"/>
    <w:rsid w:val="004877E0"/>
    <w:rsid w:val="00487918"/>
    <w:rsid w:val="004919FF"/>
    <w:rsid w:val="004A5EA5"/>
    <w:rsid w:val="004B0E9C"/>
    <w:rsid w:val="004C0424"/>
    <w:rsid w:val="004C6298"/>
    <w:rsid w:val="004E5FED"/>
    <w:rsid w:val="004E69E8"/>
    <w:rsid w:val="004E7068"/>
    <w:rsid w:val="004F5B39"/>
    <w:rsid w:val="00503293"/>
    <w:rsid w:val="00535DFC"/>
    <w:rsid w:val="00553C23"/>
    <w:rsid w:val="00555047"/>
    <w:rsid w:val="005842A8"/>
    <w:rsid w:val="00587D2F"/>
    <w:rsid w:val="005A1393"/>
    <w:rsid w:val="005A6A10"/>
    <w:rsid w:val="005B179C"/>
    <w:rsid w:val="005D098B"/>
    <w:rsid w:val="005D4F0B"/>
    <w:rsid w:val="005D6448"/>
    <w:rsid w:val="00603AF0"/>
    <w:rsid w:val="00612AF5"/>
    <w:rsid w:val="006132DD"/>
    <w:rsid w:val="00626478"/>
    <w:rsid w:val="00635793"/>
    <w:rsid w:val="0064300C"/>
    <w:rsid w:val="00644ABE"/>
    <w:rsid w:val="006535C6"/>
    <w:rsid w:val="006652D4"/>
    <w:rsid w:val="00670F36"/>
    <w:rsid w:val="00672254"/>
    <w:rsid w:val="006C33F9"/>
    <w:rsid w:val="006C6566"/>
    <w:rsid w:val="006E6174"/>
    <w:rsid w:val="006E76A8"/>
    <w:rsid w:val="006F2A57"/>
    <w:rsid w:val="00715A48"/>
    <w:rsid w:val="007161A4"/>
    <w:rsid w:val="00716654"/>
    <w:rsid w:val="00723E30"/>
    <w:rsid w:val="00747031"/>
    <w:rsid w:val="00751596"/>
    <w:rsid w:val="00756B9C"/>
    <w:rsid w:val="00777365"/>
    <w:rsid w:val="00783B8D"/>
    <w:rsid w:val="00791F3A"/>
    <w:rsid w:val="007A12FB"/>
    <w:rsid w:val="007A1417"/>
    <w:rsid w:val="007A48E7"/>
    <w:rsid w:val="007A5A0E"/>
    <w:rsid w:val="007B41A5"/>
    <w:rsid w:val="007B7ADB"/>
    <w:rsid w:val="007C0A21"/>
    <w:rsid w:val="007C4BD3"/>
    <w:rsid w:val="007D0787"/>
    <w:rsid w:val="007E746E"/>
    <w:rsid w:val="007F1F46"/>
    <w:rsid w:val="007F3628"/>
    <w:rsid w:val="00802F75"/>
    <w:rsid w:val="00814904"/>
    <w:rsid w:val="008202A3"/>
    <w:rsid w:val="00820FCC"/>
    <w:rsid w:val="00826871"/>
    <w:rsid w:val="00830A46"/>
    <w:rsid w:val="0083104E"/>
    <w:rsid w:val="008374BC"/>
    <w:rsid w:val="00844D5B"/>
    <w:rsid w:val="00846BC7"/>
    <w:rsid w:val="0085371B"/>
    <w:rsid w:val="00882D7A"/>
    <w:rsid w:val="00886F60"/>
    <w:rsid w:val="008926F6"/>
    <w:rsid w:val="00892BB2"/>
    <w:rsid w:val="008A31BC"/>
    <w:rsid w:val="008A3FFB"/>
    <w:rsid w:val="008A520D"/>
    <w:rsid w:val="008A73EC"/>
    <w:rsid w:val="008B0EDB"/>
    <w:rsid w:val="008C015A"/>
    <w:rsid w:val="00900612"/>
    <w:rsid w:val="00914654"/>
    <w:rsid w:val="00917EA8"/>
    <w:rsid w:val="00924E4B"/>
    <w:rsid w:val="0092532E"/>
    <w:rsid w:val="00932228"/>
    <w:rsid w:val="00941D3C"/>
    <w:rsid w:val="00941E90"/>
    <w:rsid w:val="009423C4"/>
    <w:rsid w:val="00956219"/>
    <w:rsid w:val="00957A78"/>
    <w:rsid w:val="00964AF2"/>
    <w:rsid w:val="00986425"/>
    <w:rsid w:val="009925B4"/>
    <w:rsid w:val="009A7A6C"/>
    <w:rsid w:val="009C58CD"/>
    <w:rsid w:val="009D38B2"/>
    <w:rsid w:val="009F1981"/>
    <w:rsid w:val="00A048D9"/>
    <w:rsid w:val="00A100F4"/>
    <w:rsid w:val="00A34E95"/>
    <w:rsid w:val="00A5251B"/>
    <w:rsid w:val="00A65227"/>
    <w:rsid w:val="00A70A59"/>
    <w:rsid w:val="00A93664"/>
    <w:rsid w:val="00A9782A"/>
    <w:rsid w:val="00AA3965"/>
    <w:rsid w:val="00AA3DEA"/>
    <w:rsid w:val="00AB48B6"/>
    <w:rsid w:val="00AE2A69"/>
    <w:rsid w:val="00AE7423"/>
    <w:rsid w:val="00AF08DE"/>
    <w:rsid w:val="00AF1365"/>
    <w:rsid w:val="00B02DA3"/>
    <w:rsid w:val="00B07B1A"/>
    <w:rsid w:val="00B14175"/>
    <w:rsid w:val="00B22243"/>
    <w:rsid w:val="00B461B4"/>
    <w:rsid w:val="00B603F2"/>
    <w:rsid w:val="00B65625"/>
    <w:rsid w:val="00B65FD4"/>
    <w:rsid w:val="00B73389"/>
    <w:rsid w:val="00B75AF2"/>
    <w:rsid w:val="00B80462"/>
    <w:rsid w:val="00B82722"/>
    <w:rsid w:val="00B94A88"/>
    <w:rsid w:val="00BA41A9"/>
    <w:rsid w:val="00BA6003"/>
    <w:rsid w:val="00BA7E28"/>
    <w:rsid w:val="00BD1647"/>
    <w:rsid w:val="00BD18F7"/>
    <w:rsid w:val="00BE76A6"/>
    <w:rsid w:val="00BF3838"/>
    <w:rsid w:val="00C00A3C"/>
    <w:rsid w:val="00C1415C"/>
    <w:rsid w:val="00C1600A"/>
    <w:rsid w:val="00C17A3D"/>
    <w:rsid w:val="00C36F8B"/>
    <w:rsid w:val="00C65A51"/>
    <w:rsid w:val="00C675D4"/>
    <w:rsid w:val="00C75DA9"/>
    <w:rsid w:val="00C86D72"/>
    <w:rsid w:val="00CB3F75"/>
    <w:rsid w:val="00CB472B"/>
    <w:rsid w:val="00CB5A1D"/>
    <w:rsid w:val="00CB5C8E"/>
    <w:rsid w:val="00CC0516"/>
    <w:rsid w:val="00CC474A"/>
    <w:rsid w:val="00CC5A2E"/>
    <w:rsid w:val="00CD161C"/>
    <w:rsid w:val="00CD16BA"/>
    <w:rsid w:val="00CD569D"/>
    <w:rsid w:val="00CF3CFD"/>
    <w:rsid w:val="00CF6B28"/>
    <w:rsid w:val="00D0051A"/>
    <w:rsid w:val="00D41EE2"/>
    <w:rsid w:val="00D5571F"/>
    <w:rsid w:val="00D6112F"/>
    <w:rsid w:val="00D87C28"/>
    <w:rsid w:val="00D92B4A"/>
    <w:rsid w:val="00D963C3"/>
    <w:rsid w:val="00DA20D4"/>
    <w:rsid w:val="00DB049A"/>
    <w:rsid w:val="00DB4724"/>
    <w:rsid w:val="00DC2E26"/>
    <w:rsid w:val="00DC6F80"/>
    <w:rsid w:val="00DD14DC"/>
    <w:rsid w:val="00DD2468"/>
    <w:rsid w:val="00DE1B47"/>
    <w:rsid w:val="00DE2D28"/>
    <w:rsid w:val="00DE7AA1"/>
    <w:rsid w:val="00DF59E1"/>
    <w:rsid w:val="00E04B31"/>
    <w:rsid w:val="00E06D76"/>
    <w:rsid w:val="00E121D8"/>
    <w:rsid w:val="00E15FCC"/>
    <w:rsid w:val="00E6321F"/>
    <w:rsid w:val="00E650E9"/>
    <w:rsid w:val="00E70AA2"/>
    <w:rsid w:val="00E72B1A"/>
    <w:rsid w:val="00E84B38"/>
    <w:rsid w:val="00E93FAA"/>
    <w:rsid w:val="00E97858"/>
    <w:rsid w:val="00EA1EDD"/>
    <w:rsid w:val="00EB22EA"/>
    <w:rsid w:val="00EB2BC2"/>
    <w:rsid w:val="00EB36C5"/>
    <w:rsid w:val="00EB46AF"/>
    <w:rsid w:val="00EB6727"/>
    <w:rsid w:val="00EB6B14"/>
    <w:rsid w:val="00EC1015"/>
    <w:rsid w:val="00EC117D"/>
    <w:rsid w:val="00EC2798"/>
    <w:rsid w:val="00EC5055"/>
    <w:rsid w:val="00EC61C9"/>
    <w:rsid w:val="00ED589D"/>
    <w:rsid w:val="00EE22B6"/>
    <w:rsid w:val="00EF0DFA"/>
    <w:rsid w:val="00EF4DDB"/>
    <w:rsid w:val="00F047BF"/>
    <w:rsid w:val="00F07EEA"/>
    <w:rsid w:val="00F253F4"/>
    <w:rsid w:val="00F25AAF"/>
    <w:rsid w:val="00F26F99"/>
    <w:rsid w:val="00F47ED8"/>
    <w:rsid w:val="00F7160A"/>
    <w:rsid w:val="00F75A84"/>
    <w:rsid w:val="00F9374E"/>
    <w:rsid w:val="00F93A34"/>
    <w:rsid w:val="00FB0DB8"/>
    <w:rsid w:val="00FB2353"/>
    <w:rsid w:val="00FC17E4"/>
    <w:rsid w:val="00FD6358"/>
    <w:rsid w:val="00FD68B3"/>
    <w:rsid w:val="01585E83"/>
    <w:rsid w:val="02440AA8"/>
    <w:rsid w:val="026C54E5"/>
    <w:rsid w:val="02A40C64"/>
    <w:rsid w:val="04150C2A"/>
    <w:rsid w:val="04537FF5"/>
    <w:rsid w:val="049A36CB"/>
    <w:rsid w:val="04E12BEF"/>
    <w:rsid w:val="05754C01"/>
    <w:rsid w:val="05E11A82"/>
    <w:rsid w:val="067175D8"/>
    <w:rsid w:val="06E13574"/>
    <w:rsid w:val="07072354"/>
    <w:rsid w:val="0723312E"/>
    <w:rsid w:val="0789738C"/>
    <w:rsid w:val="0826548F"/>
    <w:rsid w:val="092D4D54"/>
    <w:rsid w:val="09810800"/>
    <w:rsid w:val="09930918"/>
    <w:rsid w:val="09DE716A"/>
    <w:rsid w:val="0A770CC7"/>
    <w:rsid w:val="0B175320"/>
    <w:rsid w:val="0B986FE5"/>
    <w:rsid w:val="0B9A6D04"/>
    <w:rsid w:val="0BAB315F"/>
    <w:rsid w:val="0C580FBC"/>
    <w:rsid w:val="0C6342E7"/>
    <w:rsid w:val="0C9E2BE7"/>
    <w:rsid w:val="0CB03B7B"/>
    <w:rsid w:val="0D113CEA"/>
    <w:rsid w:val="0D222545"/>
    <w:rsid w:val="0DB01738"/>
    <w:rsid w:val="0E2012D5"/>
    <w:rsid w:val="0E7726AB"/>
    <w:rsid w:val="0F5217C5"/>
    <w:rsid w:val="0FA7133E"/>
    <w:rsid w:val="102E7036"/>
    <w:rsid w:val="11CB4400"/>
    <w:rsid w:val="11EC6F34"/>
    <w:rsid w:val="12E17037"/>
    <w:rsid w:val="13893694"/>
    <w:rsid w:val="13BC194B"/>
    <w:rsid w:val="143717D3"/>
    <w:rsid w:val="147365E5"/>
    <w:rsid w:val="15E438BC"/>
    <w:rsid w:val="161946FA"/>
    <w:rsid w:val="162B3B3E"/>
    <w:rsid w:val="16806D0E"/>
    <w:rsid w:val="16DD4385"/>
    <w:rsid w:val="1710441B"/>
    <w:rsid w:val="172B336B"/>
    <w:rsid w:val="19105D34"/>
    <w:rsid w:val="19636521"/>
    <w:rsid w:val="19862FA8"/>
    <w:rsid w:val="1A5D6F2D"/>
    <w:rsid w:val="1C502501"/>
    <w:rsid w:val="1C57111D"/>
    <w:rsid w:val="1C773200"/>
    <w:rsid w:val="1CBB7632"/>
    <w:rsid w:val="1CD15271"/>
    <w:rsid w:val="1D2E5C8A"/>
    <w:rsid w:val="1E9E170E"/>
    <w:rsid w:val="1F13068E"/>
    <w:rsid w:val="1F4B7507"/>
    <w:rsid w:val="206855D4"/>
    <w:rsid w:val="21C834E6"/>
    <w:rsid w:val="22EB5411"/>
    <w:rsid w:val="237633D7"/>
    <w:rsid w:val="237C2E93"/>
    <w:rsid w:val="240B46E0"/>
    <w:rsid w:val="246376B7"/>
    <w:rsid w:val="247D728C"/>
    <w:rsid w:val="24A31E89"/>
    <w:rsid w:val="24AE7004"/>
    <w:rsid w:val="25E145B1"/>
    <w:rsid w:val="293B2025"/>
    <w:rsid w:val="294474E7"/>
    <w:rsid w:val="29A04058"/>
    <w:rsid w:val="29FD639F"/>
    <w:rsid w:val="2C0570B3"/>
    <w:rsid w:val="2CF44C23"/>
    <w:rsid w:val="2D347D05"/>
    <w:rsid w:val="2DD26485"/>
    <w:rsid w:val="2E40220C"/>
    <w:rsid w:val="2EFD29D7"/>
    <w:rsid w:val="302864C8"/>
    <w:rsid w:val="309B0A4D"/>
    <w:rsid w:val="3185448E"/>
    <w:rsid w:val="32146CFC"/>
    <w:rsid w:val="32293491"/>
    <w:rsid w:val="339661F2"/>
    <w:rsid w:val="340F5972"/>
    <w:rsid w:val="341E3F64"/>
    <w:rsid w:val="343B170B"/>
    <w:rsid w:val="35447E0B"/>
    <w:rsid w:val="35923A74"/>
    <w:rsid w:val="35C036FC"/>
    <w:rsid w:val="36734B5E"/>
    <w:rsid w:val="367C3064"/>
    <w:rsid w:val="36D460A6"/>
    <w:rsid w:val="37907CC1"/>
    <w:rsid w:val="38535CE1"/>
    <w:rsid w:val="39B96B02"/>
    <w:rsid w:val="3BE47268"/>
    <w:rsid w:val="3C4905AB"/>
    <w:rsid w:val="3C7E7ED2"/>
    <w:rsid w:val="3DF51246"/>
    <w:rsid w:val="3E397603"/>
    <w:rsid w:val="3E6E7D7C"/>
    <w:rsid w:val="3E8905B2"/>
    <w:rsid w:val="3E934B5B"/>
    <w:rsid w:val="3F4853ED"/>
    <w:rsid w:val="40030609"/>
    <w:rsid w:val="400B616E"/>
    <w:rsid w:val="4025720C"/>
    <w:rsid w:val="41142065"/>
    <w:rsid w:val="4119387C"/>
    <w:rsid w:val="41552C05"/>
    <w:rsid w:val="41592B8C"/>
    <w:rsid w:val="416D1C19"/>
    <w:rsid w:val="41A518A7"/>
    <w:rsid w:val="421A45D8"/>
    <w:rsid w:val="42923286"/>
    <w:rsid w:val="45124E7C"/>
    <w:rsid w:val="4616787B"/>
    <w:rsid w:val="461807D2"/>
    <w:rsid w:val="465D5AE3"/>
    <w:rsid w:val="46CF08CC"/>
    <w:rsid w:val="47520F42"/>
    <w:rsid w:val="480152CA"/>
    <w:rsid w:val="48DC58BD"/>
    <w:rsid w:val="496D311C"/>
    <w:rsid w:val="4A9B02A8"/>
    <w:rsid w:val="4B22041E"/>
    <w:rsid w:val="4B2A7596"/>
    <w:rsid w:val="4B3451B7"/>
    <w:rsid w:val="4B9C68A7"/>
    <w:rsid w:val="4CC36B85"/>
    <w:rsid w:val="4DF12105"/>
    <w:rsid w:val="4E0D4DE4"/>
    <w:rsid w:val="50AD1664"/>
    <w:rsid w:val="50F655A3"/>
    <w:rsid w:val="53BA4E4A"/>
    <w:rsid w:val="547F7282"/>
    <w:rsid w:val="55265272"/>
    <w:rsid w:val="55F1650B"/>
    <w:rsid w:val="5689007D"/>
    <w:rsid w:val="56E57CCC"/>
    <w:rsid w:val="582108F8"/>
    <w:rsid w:val="59F21AD5"/>
    <w:rsid w:val="5B5966BC"/>
    <w:rsid w:val="5DF81DDD"/>
    <w:rsid w:val="5E125075"/>
    <w:rsid w:val="5E68011A"/>
    <w:rsid w:val="5E7F4718"/>
    <w:rsid w:val="60267021"/>
    <w:rsid w:val="61611EC7"/>
    <w:rsid w:val="626A0B0F"/>
    <w:rsid w:val="62796489"/>
    <w:rsid w:val="629C2C4C"/>
    <w:rsid w:val="636B0C03"/>
    <w:rsid w:val="63746AEA"/>
    <w:rsid w:val="63BD264D"/>
    <w:rsid w:val="643651D6"/>
    <w:rsid w:val="64A44F03"/>
    <w:rsid w:val="64F4109A"/>
    <w:rsid w:val="658016D0"/>
    <w:rsid w:val="67775B3D"/>
    <w:rsid w:val="67E6255E"/>
    <w:rsid w:val="67F14F59"/>
    <w:rsid w:val="6A534EA7"/>
    <w:rsid w:val="6B1E539C"/>
    <w:rsid w:val="6B51291E"/>
    <w:rsid w:val="6C6C3B5F"/>
    <w:rsid w:val="6C822A2B"/>
    <w:rsid w:val="6E3B7105"/>
    <w:rsid w:val="6EE97B4A"/>
    <w:rsid w:val="6F835C67"/>
    <w:rsid w:val="6FEB702D"/>
    <w:rsid w:val="70046742"/>
    <w:rsid w:val="7016697E"/>
    <w:rsid w:val="71B81546"/>
    <w:rsid w:val="71EF19E7"/>
    <w:rsid w:val="7224635F"/>
    <w:rsid w:val="723A3889"/>
    <w:rsid w:val="725B51B9"/>
    <w:rsid w:val="72E7392E"/>
    <w:rsid w:val="737D7F01"/>
    <w:rsid w:val="744C301F"/>
    <w:rsid w:val="74A861CC"/>
    <w:rsid w:val="7561184D"/>
    <w:rsid w:val="75C42647"/>
    <w:rsid w:val="75C91FF3"/>
    <w:rsid w:val="7607795F"/>
    <w:rsid w:val="761F1459"/>
    <w:rsid w:val="763B2F62"/>
    <w:rsid w:val="764D0AB2"/>
    <w:rsid w:val="77CF33B2"/>
    <w:rsid w:val="77E60091"/>
    <w:rsid w:val="781E2BDA"/>
    <w:rsid w:val="79656054"/>
    <w:rsid w:val="7BAF584D"/>
    <w:rsid w:val="7BFF33EC"/>
    <w:rsid w:val="7C48743C"/>
    <w:rsid w:val="7C6B2E39"/>
    <w:rsid w:val="7CA91A02"/>
    <w:rsid w:val="7CD71F36"/>
    <w:rsid w:val="7D0564AB"/>
    <w:rsid w:val="7D2718A8"/>
    <w:rsid w:val="7E0F1B6B"/>
    <w:rsid w:val="7E1D7A61"/>
    <w:rsid w:val="7E640E1B"/>
    <w:rsid w:val="7F1D14F1"/>
    <w:rsid w:val="7F451D02"/>
    <w:rsid w:val="7F5901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6" w:lineRule="auto"/>
      <w:outlineLvl w:val="0"/>
    </w:pPr>
    <w:rPr>
      <w:b/>
      <w:bCs/>
      <w:kern w:val="44"/>
      <w:sz w:val="44"/>
      <w:szCs w:val="44"/>
    </w:rPr>
  </w:style>
  <w:style w:type="paragraph" w:styleId="3">
    <w:name w:val="heading 2"/>
    <w:basedOn w:val="1"/>
    <w:next w:val="1"/>
    <w:link w:val="44"/>
    <w:qFormat/>
    <w:uiPriority w:val="9"/>
    <w:pPr>
      <w:keepNext/>
      <w:keepLines/>
      <w:spacing w:before="260" w:after="260" w:line="416" w:lineRule="atLeast"/>
      <w:outlineLvl w:val="1"/>
    </w:pPr>
    <w:rPr>
      <w:rFonts w:ascii="Arial" w:hAnsi="Arial" w:eastAsia="黑体"/>
      <w:b/>
      <w:bCs/>
      <w:sz w:val="32"/>
      <w:szCs w:val="32"/>
    </w:rPr>
  </w:style>
  <w:style w:type="paragraph" w:styleId="4">
    <w:name w:val="heading 3"/>
    <w:basedOn w:val="1"/>
    <w:next w:val="1"/>
    <w:link w:val="48"/>
    <w:qFormat/>
    <w:uiPriority w:val="9"/>
    <w:pPr>
      <w:spacing w:before="100" w:beforeAutospacing="1" w:after="100" w:afterAutospacing="1"/>
      <w:jc w:val="left"/>
      <w:outlineLvl w:val="2"/>
    </w:pPr>
    <w:rPr>
      <w:rFonts w:hint="eastAsia" w:ascii="宋体" w:hAnsi="宋体"/>
      <w:b/>
      <w:kern w:val="0"/>
      <w:sz w:val="27"/>
      <w:szCs w:val="27"/>
    </w:rPr>
  </w:style>
  <w:style w:type="paragraph" w:styleId="5">
    <w:name w:val="heading 4"/>
    <w:basedOn w:val="1"/>
    <w:next w:val="1"/>
    <w:link w:val="47"/>
    <w:qFormat/>
    <w:uiPriority w:val="9"/>
    <w:pPr>
      <w:keepNext/>
      <w:keepLines/>
      <w:spacing w:before="200"/>
      <w:outlineLvl w:val="3"/>
    </w:pPr>
    <w:rPr>
      <w:rFonts w:ascii="Calibri" w:hAnsi="Calibri"/>
      <w:b/>
      <w:i/>
      <w:color w:val="7E97AD"/>
      <w:sz w:val="20"/>
    </w:rPr>
  </w:style>
  <w:style w:type="character" w:default="1" w:styleId="18">
    <w:name w:val="Default Paragraph Font"/>
    <w:unhideWhenUsed/>
    <w:qFormat/>
    <w:uiPriority w:val="1"/>
  </w:style>
  <w:style w:type="table" w:default="1" w:styleId="17">
    <w:name w:val="Normal Table"/>
    <w:unhideWhenUsed/>
    <w:qFormat/>
    <w:uiPriority w:val="99"/>
    <w:tblPr>
      <w:tblCellMar>
        <w:top w:w="0" w:type="dxa"/>
        <w:left w:w="108" w:type="dxa"/>
        <w:bottom w:w="0" w:type="dxa"/>
        <w:right w:w="108" w:type="dxa"/>
      </w:tblCellMar>
    </w:tblPr>
  </w:style>
  <w:style w:type="paragraph" w:styleId="6">
    <w:name w:val="annotation text"/>
    <w:basedOn w:val="1"/>
    <w:link w:val="43"/>
    <w:qFormat/>
    <w:uiPriority w:val="0"/>
    <w:pPr>
      <w:jc w:val="left"/>
    </w:pPr>
  </w:style>
  <w:style w:type="paragraph" w:styleId="7">
    <w:name w:val="Body Text"/>
    <w:basedOn w:val="1"/>
    <w:link w:val="51"/>
    <w:qFormat/>
    <w:uiPriority w:val="0"/>
    <w:pPr>
      <w:spacing w:after="120"/>
    </w:pPr>
  </w:style>
  <w:style w:type="paragraph" w:styleId="8">
    <w:name w:val="toc 3"/>
    <w:basedOn w:val="1"/>
    <w:next w:val="1"/>
    <w:qFormat/>
    <w:uiPriority w:val="39"/>
    <w:pPr>
      <w:ind w:left="840" w:leftChars="400"/>
    </w:pPr>
  </w:style>
  <w:style w:type="paragraph" w:styleId="9">
    <w:name w:val="Plain Text"/>
    <w:basedOn w:val="1"/>
    <w:link w:val="49"/>
    <w:qFormat/>
    <w:uiPriority w:val="0"/>
    <w:rPr>
      <w:rFonts w:ascii="宋体" w:hAnsi="Courier New"/>
      <w:szCs w:val="21"/>
    </w:rPr>
  </w:style>
  <w:style w:type="paragraph" w:styleId="10">
    <w:name w:val="Balloon Text"/>
    <w:basedOn w:val="1"/>
    <w:link w:val="25"/>
    <w:qFormat/>
    <w:uiPriority w:val="0"/>
    <w:rPr>
      <w:kern w:val="0"/>
      <w:sz w:val="18"/>
      <w:szCs w:val="18"/>
      <w:lang w:val="zh-CN"/>
    </w:rPr>
  </w:style>
  <w:style w:type="paragraph" w:styleId="11">
    <w:name w:val="footer"/>
    <w:basedOn w:val="1"/>
    <w:link w:val="24"/>
    <w:qFormat/>
    <w:uiPriority w:val="0"/>
    <w:pPr>
      <w:tabs>
        <w:tab w:val="center" w:pos="4153"/>
        <w:tab w:val="right" w:pos="8306"/>
      </w:tabs>
      <w:snapToGrid w:val="0"/>
      <w:jc w:val="left"/>
    </w:pPr>
    <w:rPr>
      <w:kern w:val="0"/>
      <w:sz w:val="18"/>
      <w:szCs w:val="18"/>
      <w:lang w:val="zh-CN"/>
    </w:rPr>
  </w:style>
  <w:style w:type="paragraph" w:styleId="12">
    <w:name w:val="header"/>
    <w:basedOn w:val="1"/>
    <w:link w:val="22"/>
    <w:qFormat/>
    <w:uiPriority w:val="0"/>
    <w:pPr>
      <w:pBdr>
        <w:bottom w:val="single" w:color="auto" w:sz="6" w:space="1"/>
      </w:pBdr>
      <w:tabs>
        <w:tab w:val="center" w:pos="4153"/>
        <w:tab w:val="right" w:pos="8306"/>
      </w:tabs>
      <w:snapToGrid w:val="0"/>
      <w:jc w:val="center"/>
    </w:pPr>
    <w:rPr>
      <w:kern w:val="0"/>
      <w:sz w:val="18"/>
      <w:szCs w:val="18"/>
      <w:lang w:val="zh-CN"/>
    </w:rPr>
  </w:style>
  <w:style w:type="paragraph" w:styleId="13">
    <w:name w:val="toc 1"/>
    <w:basedOn w:val="1"/>
    <w:next w:val="1"/>
    <w:qFormat/>
    <w:uiPriority w:val="39"/>
  </w:style>
  <w:style w:type="paragraph" w:styleId="14">
    <w:name w:val="toc 2"/>
    <w:basedOn w:val="1"/>
    <w:next w:val="1"/>
    <w:qFormat/>
    <w:uiPriority w:val="39"/>
    <w:pPr>
      <w:ind w:left="420" w:leftChars="200"/>
    </w:pPr>
  </w:style>
  <w:style w:type="paragraph" w:styleId="15">
    <w:name w:val="Normal (Web)"/>
    <w:basedOn w:val="1"/>
    <w:qFormat/>
    <w:uiPriority w:val="0"/>
    <w:rPr>
      <w:sz w:val="24"/>
    </w:rPr>
  </w:style>
  <w:style w:type="paragraph" w:styleId="16">
    <w:name w:val="annotation subject"/>
    <w:basedOn w:val="6"/>
    <w:next w:val="6"/>
    <w:link w:val="45"/>
    <w:qFormat/>
    <w:uiPriority w:val="0"/>
    <w:rPr>
      <w:b/>
      <w:bCs/>
    </w:rPr>
  </w:style>
  <w:style w:type="character" w:styleId="19">
    <w:name w:val="page number"/>
    <w:basedOn w:val="18"/>
    <w:qFormat/>
    <w:uiPriority w:val="0"/>
  </w:style>
  <w:style w:type="character" w:styleId="20">
    <w:name w:val="Hyperlink"/>
    <w:qFormat/>
    <w:uiPriority w:val="99"/>
    <w:rPr>
      <w:rFonts w:hint="eastAsia" w:ascii="宋体" w:hAnsi="宋体" w:eastAsia="宋体" w:cs="宋体"/>
      <w:color w:val="000000"/>
      <w:sz w:val="18"/>
      <w:szCs w:val="18"/>
      <w:u w:val="single"/>
    </w:rPr>
  </w:style>
  <w:style w:type="character" w:styleId="21">
    <w:name w:val="annotation reference"/>
    <w:qFormat/>
    <w:uiPriority w:val="0"/>
    <w:rPr>
      <w:sz w:val="21"/>
      <w:szCs w:val="21"/>
    </w:rPr>
  </w:style>
  <w:style w:type="character" w:customStyle="1" w:styleId="22">
    <w:name w:val="页眉 Char"/>
    <w:link w:val="12"/>
    <w:qFormat/>
    <w:uiPriority w:val="0"/>
    <w:rPr>
      <w:rFonts w:ascii="Times New Roman" w:hAnsi="Times New Roman" w:eastAsia="宋体" w:cs="Times New Roman"/>
      <w:sz w:val="18"/>
      <w:szCs w:val="18"/>
    </w:rPr>
  </w:style>
  <w:style w:type="character" w:customStyle="1" w:styleId="23">
    <w:name w:val="已访问的超链接1"/>
    <w:qFormat/>
    <w:uiPriority w:val="0"/>
    <w:rPr>
      <w:rFonts w:hint="eastAsia" w:ascii="宋体" w:hAnsi="宋体" w:eastAsia="宋体" w:cs="宋体"/>
      <w:color w:val="0066CC"/>
      <w:sz w:val="18"/>
      <w:szCs w:val="18"/>
      <w:u w:val="single"/>
    </w:rPr>
  </w:style>
  <w:style w:type="character" w:customStyle="1" w:styleId="24">
    <w:name w:val="页脚 Char"/>
    <w:link w:val="11"/>
    <w:qFormat/>
    <w:uiPriority w:val="0"/>
    <w:rPr>
      <w:rFonts w:ascii="Times New Roman" w:hAnsi="Times New Roman" w:eastAsia="宋体" w:cs="Times New Roman"/>
      <w:sz w:val="18"/>
      <w:szCs w:val="18"/>
    </w:rPr>
  </w:style>
  <w:style w:type="character" w:customStyle="1" w:styleId="25">
    <w:name w:val="批注框文本 Char"/>
    <w:link w:val="10"/>
    <w:qFormat/>
    <w:uiPriority w:val="0"/>
    <w:rPr>
      <w:rFonts w:ascii="Times New Roman" w:hAnsi="Times New Roman" w:eastAsia="宋体" w:cs="Times New Roman"/>
      <w:sz w:val="18"/>
      <w:szCs w:val="18"/>
    </w:rPr>
  </w:style>
  <w:style w:type="character" w:customStyle="1" w:styleId="26">
    <w:name w:val="页码1"/>
    <w:basedOn w:val="18"/>
    <w:qFormat/>
    <w:uiPriority w:val="0"/>
  </w:style>
  <w:style w:type="character" w:customStyle="1" w:styleId="27">
    <w:name w:val="文档结构图 Char"/>
    <w:link w:val="28"/>
    <w:qFormat/>
    <w:uiPriority w:val="0"/>
    <w:rPr>
      <w:rFonts w:ascii="宋体" w:hAnsi="Times New Roman" w:eastAsia="宋体" w:cs="Times New Roman"/>
      <w:sz w:val="18"/>
      <w:szCs w:val="18"/>
    </w:rPr>
  </w:style>
  <w:style w:type="paragraph" w:customStyle="1" w:styleId="28">
    <w:name w:val="文档结构图1"/>
    <w:basedOn w:val="1"/>
    <w:link w:val="27"/>
    <w:qFormat/>
    <w:uiPriority w:val="0"/>
    <w:rPr>
      <w:rFonts w:ascii="宋体"/>
      <w:kern w:val="0"/>
      <w:sz w:val="18"/>
      <w:szCs w:val="18"/>
      <w:lang w:val="zh-CN"/>
    </w:rPr>
  </w:style>
  <w:style w:type="paragraph" w:customStyle="1" w:styleId="29">
    <w:name w:val="样式 标题 3h3H3sect1.2.3 + 五号 段前: 6 磅 段后: 6 磅 行距: 单倍行距"/>
    <w:basedOn w:val="4"/>
    <w:unhideWhenUsed/>
    <w:qFormat/>
    <w:uiPriority w:val="0"/>
    <w:pPr>
      <w:spacing w:before="120" w:after="120"/>
    </w:pPr>
    <w:rPr>
      <w:rFonts w:hint="default"/>
      <w:sz w:val="21"/>
    </w:rPr>
  </w:style>
  <w:style w:type="paragraph" w:customStyle="1" w:styleId="30">
    <w:name w:val="样式 标题 1 + 四号 居中 段前: 12 磅 段后: 12 磅 行距: 单倍行距"/>
    <w:basedOn w:val="2"/>
    <w:qFormat/>
    <w:uiPriority w:val="0"/>
    <w:pPr>
      <w:spacing w:before="240" w:after="240" w:line="240" w:lineRule="auto"/>
      <w:jc w:val="center"/>
    </w:pPr>
    <w:rPr>
      <w:rFonts w:cs="宋体"/>
      <w:sz w:val="28"/>
      <w:szCs w:val="20"/>
    </w:rPr>
  </w:style>
  <w:style w:type="paragraph" w:customStyle="1" w:styleId="31">
    <w:name w:val="列出段落1"/>
    <w:basedOn w:val="1"/>
    <w:qFormat/>
    <w:uiPriority w:val="0"/>
    <w:pPr>
      <w:ind w:firstLine="420" w:firstLineChars="200"/>
    </w:pPr>
  </w:style>
  <w:style w:type="paragraph" w:customStyle="1" w:styleId="32">
    <w:name w:val="样式 标题 2 + 宋体 五号 非加粗 黑色"/>
    <w:basedOn w:val="3"/>
    <w:qFormat/>
    <w:uiPriority w:val="0"/>
    <w:rPr>
      <w:rFonts w:ascii="宋体" w:hAnsi="宋体" w:eastAsia="宋体"/>
      <w:b w:val="0"/>
      <w:bCs w:val="0"/>
      <w:color w:val="000000"/>
      <w:sz w:val="21"/>
    </w:rPr>
  </w:style>
  <w:style w:type="paragraph" w:customStyle="1" w:styleId="33">
    <w:name w:val="列出段落11"/>
    <w:basedOn w:val="1"/>
    <w:qFormat/>
    <w:uiPriority w:val="0"/>
    <w:pPr>
      <w:adjustRightInd w:val="0"/>
      <w:spacing w:line="360" w:lineRule="atLeast"/>
      <w:ind w:firstLine="420" w:firstLineChars="200"/>
      <w:jc w:val="left"/>
      <w:textAlignment w:val="baseline"/>
    </w:pPr>
    <w:rPr>
      <w:kern w:val="0"/>
      <w:sz w:val="24"/>
    </w:rPr>
  </w:style>
  <w:style w:type="paragraph" w:customStyle="1" w:styleId="34">
    <w:name w:val="样式1"/>
    <w:basedOn w:val="1"/>
    <w:qFormat/>
    <w:uiPriority w:val="0"/>
    <w:pPr>
      <w:numPr>
        <w:ilvl w:val="0"/>
        <w:numId w:val="1"/>
      </w:numPr>
    </w:pPr>
    <w:rPr>
      <w:rFonts w:ascii="宋体" w:hAnsi="宋体"/>
      <w:szCs w:val="21"/>
    </w:rPr>
  </w:style>
  <w:style w:type="paragraph" w:customStyle="1" w:styleId="35">
    <w:name w:val="样式 标题 4 + 段前: 5 磅 段后: 5 磅 行距: 单倍行距"/>
    <w:basedOn w:val="5"/>
    <w:unhideWhenUsed/>
    <w:qFormat/>
    <w:uiPriority w:val="0"/>
    <w:pPr>
      <w:spacing w:before="100" w:after="100"/>
    </w:pPr>
    <w:rPr>
      <w:sz w:val="28"/>
    </w:rPr>
  </w:style>
  <w:style w:type="paragraph" w:customStyle="1" w:styleId="36">
    <w:name w:val="样式 样式 样式 样式 标题 2 + 宋体 五号 非加粗 黑色 + 段前: 6 磅 段后: 0 磅 行距: 单倍行距 + 段前:..."/>
    <w:basedOn w:val="37"/>
    <w:qFormat/>
    <w:uiPriority w:val="0"/>
    <w:rPr>
      <w:b/>
      <w:bCs/>
    </w:rPr>
  </w:style>
  <w:style w:type="paragraph" w:customStyle="1" w:styleId="37">
    <w:name w:val="样式 样式 样式 标题 2 + 宋体 五号 非加粗 黑色 + 段前: 6 磅 段后: 0 磅 行距: 单倍行距 + 段前: 12..."/>
    <w:basedOn w:val="38"/>
    <w:qFormat/>
    <w:uiPriority w:val="0"/>
    <w:pPr>
      <w:spacing w:before="240"/>
    </w:pPr>
  </w:style>
  <w:style w:type="paragraph" w:customStyle="1" w:styleId="38">
    <w:name w:val="样式 样式 标题 2 + 宋体 五号 非加粗 黑色 + 段前: 6 磅 段后: 0 磅 行距: 单倍行距"/>
    <w:basedOn w:val="32"/>
    <w:qFormat/>
    <w:uiPriority w:val="0"/>
    <w:pPr>
      <w:spacing w:before="120" w:after="0" w:line="240" w:lineRule="auto"/>
    </w:pPr>
    <w:rPr>
      <w:rFonts w:cs="宋体"/>
      <w:szCs w:val="20"/>
    </w:rPr>
  </w:style>
  <w:style w:type="paragraph" w:customStyle="1" w:styleId="39">
    <w:name w:val="表格标题"/>
    <w:basedOn w:val="1"/>
    <w:qFormat/>
    <w:uiPriority w:val="10"/>
    <w:pPr>
      <w:keepNext/>
      <w:pBdr>
        <w:top w:val="single" w:color="7E97AD" w:sz="4" w:space="1"/>
        <w:left w:val="single" w:color="7E97AD" w:sz="4" w:space="6"/>
        <w:bottom w:val="single" w:color="7E97AD" w:sz="4" w:space="2"/>
        <w:right w:val="single" w:color="7E97AD" w:sz="4" w:space="6"/>
      </w:pBdr>
      <w:shd w:val="clear" w:color="auto" w:fill="7E97AD"/>
      <w:spacing w:before="160"/>
      <w:ind w:left="144" w:right="144"/>
    </w:pPr>
    <w:rPr>
      <w:rFonts w:ascii="Calibri" w:hAnsi="Calibri" w:cs="黑体"/>
      <w:caps/>
      <w:color w:val="FFFFFF"/>
      <w:sz w:val="24"/>
    </w:rPr>
  </w:style>
  <w:style w:type="paragraph" w:customStyle="1" w:styleId="40">
    <w:name w:val="正文内容"/>
    <w:basedOn w:val="1"/>
    <w:link w:val="41"/>
    <w:qFormat/>
    <w:uiPriority w:val="0"/>
    <w:pPr>
      <w:spacing w:line="400" w:lineRule="exact"/>
      <w:ind w:right="225" w:rightChars="107" w:firstLine="420" w:firstLineChars="200"/>
      <w:jc w:val="left"/>
    </w:pPr>
    <w:rPr>
      <w:rFonts w:asciiTheme="minorEastAsia" w:hAnsiTheme="minorEastAsia" w:eastAsiaTheme="minorEastAsia" w:cstheme="minorBidi"/>
      <w:szCs w:val="22"/>
    </w:rPr>
  </w:style>
  <w:style w:type="character" w:customStyle="1" w:styleId="41">
    <w:name w:val="正文内容 Char"/>
    <w:basedOn w:val="18"/>
    <w:link w:val="40"/>
    <w:qFormat/>
    <w:uiPriority w:val="0"/>
    <w:rPr>
      <w:rFonts w:asciiTheme="minorEastAsia" w:hAnsiTheme="minorEastAsia" w:eastAsiaTheme="minorEastAsia" w:cstheme="minorBidi"/>
      <w:kern w:val="2"/>
      <w:sz w:val="21"/>
      <w:szCs w:val="22"/>
    </w:rPr>
  </w:style>
  <w:style w:type="paragraph" w:customStyle="1" w:styleId="42">
    <w:name w:val="正文字缩2字"/>
    <w:basedOn w:val="1"/>
    <w:qFormat/>
    <w:uiPriority w:val="0"/>
    <w:pPr>
      <w:spacing w:before="60" w:after="60" w:line="360" w:lineRule="auto"/>
      <w:ind w:left="200" w:leftChars="200" w:firstLine="200" w:firstLineChars="200"/>
    </w:pPr>
    <w:rPr>
      <w:sz w:val="24"/>
    </w:rPr>
  </w:style>
  <w:style w:type="character" w:customStyle="1" w:styleId="43">
    <w:name w:val="批注文字 Char"/>
    <w:link w:val="6"/>
    <w:qFormat/>
    <w:uiPriority w:val="0"/>
    <w:rPr>
      <w:kern w:val="2"/>
      <w:sz w:val="21"/>
      <w:szCs w:val="24"/>
    </w:rPr>
  </w:style>
  <w:style w:type="character" w:customStyle="1" w:styleId="44">
    <w:name w:val="标题 2 Char"/>
    <w:link w:val="3"/>
    <w:qFormat/>
    <w:uiPriority w:val="9"/>
    <w:rPr>
      <w:rFonts w:ascii="Arial" w:hAnsi="Arial" w:eastAsia="黑体"/>
      <w:b/>
      <w:bCs/>
      <w:kern w:val="2"/>
      <w:sz w:val="32"/>
      <w:szCs w:val="32"/>
    </w:rPr>
  </w:style>
  <w:style w:type="character" w:customStyle="1" w:styleId="45">
    <w:name w:val="批注主题 Char"/>
    <w:basedOn w:val="43"/>
    <w:link w:val="16"/>
    <w:qFormat/>
    <w:uiPriority w:val="0"/>
    <w:rPr>
      <w:b/>
      <w:bCs/>
      <w:kern w:val="2"/>
      <w:sz w:val="21"/>
      <w:szCs w:val="24"/>
    </w:rPr>
  </w:style>
  <w:style w:type="paragraph" w:customStyle="1" w:styleId="46">
    <w:name w:val="列出段落2"/>
    <w:basedOn w:val="1"/>
    <w:qFormat/>
    <w:uiPriority w:val="34"/>
    <w:pPr>
      <w:ind w:firstLine="420" w:firstLineChars="200"/>
    </w:pPr>
  </w:style>
  <w:style w:type="character" w:customStyle="1" w:styleId="47">
    <w:name w:val="标题 4 Char"/>
    <w:link w:val="5"/>
    <w:qFormat/>
    <w:uiPriority w:val="9"/>
    <w:rPr>
      <w:rFonts w:ascii="Calibri" w:hAnsi="Calibri"/>
      <w:b/>
      <w:i/>
      <w:color w:val="7E97AD"/>
      <w:kern w:val="2"/>
      <w:szCs w:val="24"/>
    </w:rPr>
  </w:style>
  <w:style w:type="character" w:customStyle="1" w:styleId="48">
    <w:name w:val="标题 3 Char"/>
    <w:link w:val="4"/>
    <w:qFormat/>
    <w:uiPriority w:val="9"/>
    <w:rPr>
      <w:rFonts w:ascii="宋体" w:hAnsi="宋体"/>
      <w:b/>
      <w:sz w:val="27"/>
      <w:szCs w:val="27"/>
    </w:rPr>
  </w:style>
  <w:style w:type="character" w:customStyle="1" w:styleId="49">
    <w:name w:val="纯文本 Char"/>
    <w:link w:val="9"/>
    <w:qFormat/>
    <w:uiPriority w:val="0"/>
    <w:rPr>
      <w:rFonts w:ascii="宋体" w:hAnsi="Courier New"/>
      <w:kern w:val="2"/>
      <w:sz w:val="21"/>
      <w:szCs w:val="21"/>
    </w:rPr>
  </w:style>
  <w:style w:type="paragraph" w:customStyle="1" w:styleId="50">
    <w:name w:val="TOC 标题1"/>
    <w:basedOn w:val="2"/>
    <w:next w:val="1"/>
    <w:unhideWhenUsed/>
    <w:qFormat/>
    <w:uiPriority w:val="39"/>
    <w:pPr>
      <w:widowControl/>
      <w:spacing w:before="240" w:after="0" w:line="259" w:lineRule="auto"/>
      <w:jc w:val="left"/>
      <w:outlineLvl w:val="9"/>
    </w:pPr>
    <w:rPr>
      <w:rFonts w:asciiTheme="majorHAnsi" w:hAnsiTheme="majorHAnsi" w:eastAsiaTheme="majorEastAsia" w:cstheme="majorBidi"/>
      <w:b w:val="0"/>
      <w:bCs w:val="0"/>
      <w:color w:val="2E75B6" w:themeColor="accent1" w:themeShade="BF"/>
      <w:kern w:val="0"/>
      <w:sz w:val="32"/>
      <w:szCs w:val="32"/>
    </w:rPr>
  </w:style>
  <w:style w:type="character" w:customStyle="1" w:styleId="51">
    <w:name w:val="正文文本 Char"/>
    <w:link w:val="7"/>
    <w:qFormat/>
    <w:uiPriority w:val="0"/>
    <w:rPr>
      <w:kern w:val="2"/>
      <w:sz w:val="21"/>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2.png"/><Relationship Id="rId8" Type="http://schemas.openxmlformats.org/officeDocument/2006/relationships/image" Target="media/image1.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microsoft.com/office/2011/relationships/commentsExtended" Target="commentsExtended.xml"/><Relationship Id="rId3" Type="http://schemas.openxmlformats.org/officeDocument/2006/relationships/comments" Target="comments.xml"/><Relationship Id="rId2" Type="http://schemas.openxmlformats.org/officeDocument/2006/relationships/settings" Target="settings.xml"/><Relationship Id="rId14" Type="http://schemas.microsoft.com/office/2011/relationships/people" Target="people.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E:\2017&#24180;&#19987;&#39033;\&#31454;&#20105;&#24615;&#35848;&#21028;&#27169;&#26495;20170316.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1DA82AF-66BA-4CA6-8847-5E45FD500E64}">
  <ds:schemaRefs/>
</ds:datastoreItem>
</file>

<file path=docProps/app.xml><?xml version="1.0" encoding="utf-8"?>
<Properties xmlns="http://schemas.openxmlformats.org/officeDocument/2006/extended-properties" xmlns:vt="http://schemas.openxmlformats.org/officeDocument/2006/docPropsVTypes">
  <Template>竞争性谈判模板20170316</Template>
  <Company>微软中国</Company>
  <Pages>47</Pages>
  <Words>4384</Words>
  <Characters>24992</Characters>
  <Lines>208</Lines>
  <Paragraphs>58</Paragraphs>
  <TotalTime>0</TotalTime>
  <ScaleCrop>false</ScaleCrop>
  <LinksUpToDate>false</LinksUpToDate>
  <CharactersWithSpaces>29318</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2017-06-28T02:49:00Z</dcterms:created>
  <dc:creator>lc</dc:creator>
  <cp:lastModifiedBy>LQY</cp:lastModifiedBy>
  <cp:lastPrinted>2013-12-10T01:56:00Z</cp:lastPrinted>
  <dcterms:modified xsi:type="dcterms:W3CDTF">2024-02-07T09:53:52Z</dcterms:modified>
  <dc:title>微软用户</dc:title>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D949E4835D764C4D991AC1D3EAB7325D_12</vt:lpwstr>
  </property>
</Properties>
</file>